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1DA84498" w14:textId="77777777" w:rsid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p w14:paraId="7D88F107" w14:textId="77777777" w:rsidR="00954A68" w:rsidRDefault="00954A68"/>
          <w:p w14:paraId="0A95C59B" w14:textId="780015B5" w:rsidR="00954A68" w:rsidRPr="00C90393" w:rsidRDefault="00954A68">
            <w:bookmarkStart w:id="0" w:name="_GoBack"/>
            <w:r w:rsidRPr="00954A68">
              <w:rPr>
                <w:b/>
              </w:rPr>
              <w:t>Samsung(Weiwei)</w:t>
            </w:r>
            <w:bookmarkEnd w:id="0"/>
            <w:r>
              <w:t>:</w:t>
            </w:r>
            <w:r>
              <w:t xml:space="preserve"> We have different understandings. </w:t>
            </w:r>
            <w:r>
              <w:rPr>
                <w:rFonts w:eastAsia="等线"/>
              </w:rPr>
              <w:t xml:space="preserve">The original intention of introducing of T421 in scenario 1 is to avoid spending a long period for PC5 link establishment, and the time spent by the indirect path addition/change can be restricted by T421. In our </w:t>
            </w:r>
            <w:r>
              <w:rPr>
                <w:rFonts w:eastAsia="等线"/>
              </w:rPr>
              <w:lastRenderedPageBreak/>
              <w:t>understanding, regardless of type of indirect path, the remote UE should have the same latency requirement for path addition/change. Thus, for scenario 2, the intention for T421 is still applicable, and it is more meaningful than scenario 1. The reason is that the N3C link establishment relies on the unknown non-3GPP technology; if T421 is not introduced for scenario 2, it means that the path addition/change procedure has no time restriction, and it completely relies on the procedure of N3C link.</w:t>
            </w:r>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lastRenderedPageBreak/>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N3C-RelayUE-InfoList-r18 ::=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7CF07B5F" w14:textId="17E0C6CB"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1"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r w:rsidRPr="0026652D">
              <w:rPr>
                <w:rFonts w:ascii="Times New Roman" w:hAnsi="Times New Roman" w:cs="Times New Roman"/>
                <w:i/>
                <w:color w:val="FF0000"/>
                <w:sz w:val="20"/>
                <w:lang w:eastAsia="ja-JP"/>
              </w:rPr>
              <w:t>RRCReconfigurationCompleteSidelink</w:t>
            </w:r>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lastRenderedPageBreak/>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4FF9774A" w14:textId="42C49D9F" w:rsidR="00460862" w:rsidRPr="00A644F2" w:rsidRDefault="00460862" w:rsidP="00460862">
            <w:pPr>
              <w:rPr>
                <w:rFonts w:ascii="Calibri" w:hAnsi="Calibri" w:cs="Calibri"/>
                <w:sz w:val="20"/>
                <w:szCs w:val="21"/>
              </w:rPr>
            </w:pPr>
            <w:r w:rsidRPr="00377633">
              <w:rPr>
                <w:rFonts w:ascii="Times New Roman" w:hAnsi="Times New Roman" w:cs="Times New Roman"/>
                <w:sz w:val="20"/>
                <w:lang w:eastAsia="ja-JP"/>
              </w:rPr>
              <w:t>Option 2: upon reception of RRCReconfigurationCompleteSidelink.</w:t>
            </w:r>
            <w:bookmarkEnd w:id="1"/>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2"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r w:rsidRPr="00C839EB">
              <w:rPr>
                <w:rFonts w:ascii="Times New Roman" w:eastAsia="Yu Mincho" w:hAnsi="Times New Roman" w:cs="Times New Roman"/>
                <w:color w:val="FF0000"/>
                <w:sz w:val="20"/>
                <w:szCs w:val="20"/>
                <w:lang w:eastAsia="ja-JP"/>
              </w:rPr>
              <w:t>UEInformationResponseSidelink</w:t>
            </w:r>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29BBC56" w:rsidR="00460862" w:rsidRPr="00A644F2"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r w:rsidRPr="00084EAC">
              <w:rPr>
                <w:rFonts w:ascii="Times New Roman" w:hAnsi="Times New Roman" w:cs="Times New Roman"/>
                <w:i/>
                <w:sz w:val="20"/>
                <w:szCs w:val="20"/>
              </w:rPr>
              <w:t>UEInformationRequestSidelink</w:t>
            </w:r>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or upon change in any of the information in the UEInformationResponseSidelink</w:t>
            </w:r>
            <w:r w:rsidRPr="00084EAC">
              <w:rPr>
                <w:rFonts w:ascii="Times New Roman" w:hAnsi="Times New Roman" w:cs="Times New Roman"/>
                <w:sz w:val="20"/>
                <w:szCs w:val="20"/>
              </w:rPr>
              <w:t>:</w:t>
            </w:r>
            <w:bookmarkEnd w:id="2"/>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rapp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0BD7D92C" w14:textId="5F7C99B3" w:rsidR="00460862" w:rsidRPr="00631B6F" w:rsidRDefault="00631B6F" w:rsidP="00460862">
            <w:pPr>
              <w:rPr>
                <w:rFonts w:ascii="Calibri" w:hAnsi="Calibri" w:cs="Calibri"/>
                <w:b/>
                <w:bCs/>
                <w:sz w:val="20"/>
                <w:szCs w:val="21"/>
              </w:rPr>
            </w:pPr>
            <w:r w:rsidRPr="00631B6F">
              <w:rPr>
                <w:rFonts w:ascii="Calibri" w:hAnsi="Calibri" w:cs="Calibri"/>
                <w:b/>
                <w:bCs/>
                <w:sz w:val="20"/>
                <w:szCs w:val="21"/>
              </w:rPr>
              <w:t>Lenovo</w:t>
            </w:r>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relay UE's bebahaviour</w:t>
            </w:r>
            <w:r w:rsidR="005F43C1">
              <w:rPr>
                <w:rFonts w:ascii="Calibri" w:hAnsi="Calibri" w:cs="Calibri"/>
                <w:sz w:val="20"/>
                <w:szCs w:val="21"/>
              </w:rPr>
              <w:t xml:space="preserve">. 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tc>
      </w:tr>
      <w:tr w:rsidR="00460862" w:rsidRPr="00A644F2" w14:paraId="5D8DB66B" w14:textId="77777777" w:rsidTr="00460862">
        <w:tc>
          <w:tcPr>
            <w:tcW w:w="994" w:type="dxa"/>
          </w:tcPr>
          <w:p w14:paraId="5B50534A" w14:textId="57357D15"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33982D74" w14:textId="06BBD37A"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 xml:space="preserve">430, </w:t>
            </w:r>
            <w:r w:rsidR="00674887">
              <w:rPr>
                <w:rFonts w:ascii="Calibri" w:hAnsi="Calibri" w:cs="Calibri"/>
                <w:sz w:val="20"/>
                <w:szCs w:val="21"/>
              </w:rPr>
              <w:t>O431, O432, O433</w:t>
            </w:r>
          </w:p>
        </w:tc>
        <w:tc>
          <w:tcPr>
            <w:tcW w:w="12066" w:type="dxa"/>
          </w:tcPr>
          <w:p w14:paraId="5A405FAB" w14:textId="77777777" w:rsidR="00460862" w:rsidRDefault="00674887" w:rsidP="00460862">
            <w:pPr>
              <w:rPr>
                <w:rFonts w:ascii="Calibri" w:hAnsi="Calibri" w:cs="Calibri"/>
                <w:sz w:val="20"/>
                <w:szCs w:val="21"/>
              </w:rPr>
            </w:pPr>
            <w:r w:rsidRPr="00674887">
              <w:rPr>
                <w:rFonts w:ascii="Calibri" w:hAnsi="Calibri" w:cs="Calibri"/>
                <w:sz w:val="20"/>
                <w:szCs w:val="21"/>
              </w:rPr>
              <w:t>Rapp: this is connected state configuration, if UE requests the configuration via SUI for a connection, the network will provide the related connection, not sure why need to check if the connection is not there?</w:t>
            </w:r>
          </w:p>
          <w:p w14:paraId="7145413E" w14:textId="77777777" w:rsidR="00674887" w:rsidRDefault="00674887" w:rsidP="00460862">
            <w:pPr>
              <w:rPr>
                <w:rFonts w:ascii="Calibri" w:hAnsi="Calibri" w:cs="Calibri"/>
                <w:sz w:val="20"/>
                <w:szCs w:val="21"/>
              </w:rPr>
            </w:pPr>
          </w:p>
          <w:p w14:paraId="7014805F" w14:textId="25FBF3CC" w:rsidR="00674887" w:rsidRPr="00A644F2" w:rsidRDefault="00674887" w:rsidP="00460862">
            <w:pPr>
              <w:rPr>
                <w:rFonts w:ascii="Calibri" w:hAnsi="Calibri" w:cs="Calibri"/>
                <w:sz w:val="20"/>
                <w:szCs w:val="21"/>
              </w:rPr>
            </w:pPr>
            <w:r>
              <w:rPr>
                <w:rFonts w:ascii="Calibri" w:hAnsi="Calibri" w:cs="Calibri" w:hint="eastAsia"/>
                <w:sz w:val="20"/>
                <w:szCs w:val="21"/>
              </w:rPr>
              <w:t>[</w:t>
            </w:r>
            <w:r>
              <w:rPr>
                <w:rFonts w:ascii="Calibri" w:hAnsi="Calibri" w:cs="Calibri"/>
                <w:sz w:val="20"/>
                <w:szCs w:val="21"/>
              </w:rPr>
              <w:t xml:space="preserve">OPPO] </w:t>
            </w:r>
            <w:r w:rsidR="00C55DC3">
              <w:rPr>
                <w:rFonts w:ascii="Calibri" w:hAnsi="Calibri" w:cs="Calibri"/>
                <w:sz w:val="20"/>
                <w:szCs w:val="21"/>
              </w:rPr>
              <w:t>W</w:t>
            </w:r>
            <w:r w:rsidR="004C2324">
              <w:rPr>
                <w:rFonts w:ascii="Calibri" w:hAnsi="Calibri" w:cs="Calibri"/>
                <w:sz w:val="20"/>
                <w:szCs w:val="21"/>
              </w:rPr>
              <w:t xml:space="preserve">e are trying to clarify that the “release/addition” is not “release/addition” of U2U Remote/Relay UE but just configurations </w:t>
            </w:r>
            <w:r w:rsidR="00C01C9A">
              <w:rPr>
                <w:rFonts w:ascii="Calibri" w:hAnsi="Calibri" w:cs="Calibri"/>
                <w:sz w:val="20"/>
                <w:szCs w:val="21"/>
              </w:rPr>
              <w:t>to the existing</w:t>
            </w:r>
            <w:r w:rsidR="004C2324">
              <w:rPr>
                <w:rFonts w:ascii="Calibri" w:hAnsi="Calibri" w:cs="Calibri"/>
                <w:sz w:val="20"/>
                <w:szCs w:val="21"/>
              </w:rPr>
              <w:t xml:space="preserve"> </w:t>
            </w:r>
            <w:r w:rsidR="00C01C9A">
              <w:rPr>
                <w:rFonts w:ascii="Calibri" w:hAnsi="Calibri" w:cs="Calibri"/>
                <w:sz w:val="20"/>
                <w:szCs w:val="21"/>
              </w:rPr>
              <w:t>Relay-Remote</w:t>
            </w:r>
            <w:r w:rsidR="004C2324">
              <w:rPr>
                <w:rFonts w:ascii="Calibri" w:hAnsi="Calibri" w:cs="Calibri"/>
                <w:sz w:val="20"/>
                <w:szCs w:val="21"/>
              </w:rPr>
              <w:t xml:space="preserve"> connection. </w:t>
            </w:r>
            <w:r w:rsidR="00C01C9A">
              <w:rPr>
                <w:rFonts w:ascii="Calibri" w:hAnsi="Calibri" w:cs="Calibri"/>
                <w:sz w:val="20"/>
                <w:szCs w:val="21"/>
              </w:rPr>
              <w:t>And</w:t>
            </w:r>
            <w:r w:rsidR="004C2324">
              <w:rPr>
                <w:rFonts w:ascii="Calibri" w:hAnsi="Calibri" w:cs="Calibri"/>
                <w:sz w:val="20"/>
                <w:szCs w:val="21"/>
              </w:rPr>
              <w:t xml:space="preserve"> we found i</w:t>
            </w:r>
            <w:r>
              <w:rPr>
                <w:rFonts w:ascii="Calibri" w:hAnsi="Calibri" w:cs="Calibri"/>
                <w:sz w:val="20"/>
                <w:szCs w:val="21"/>
              </w:rPr>
              <w:t xml:space="preserve">n R17 U2N Relay, for </w:t>
            </w:r>
            <w:r w:rsidR="00D87BC8">
              <w:rPr>
                <w:rFonts w:ascii="Calibri" w:hAnsi="Calibri" w:cs="Calibri"/>
                <w:sz w:val="20"/>
                <w:szCs w:val="21"/>
              </w:rPr>
              <w:t xml:space="preserve">L2 Remote UE release operation at U2N Relay UE, relay UE </w:t>
            </w:r>
            <w:r w:rsidR="004C2324">
              <w:rPr>
                <w:rFonts w:ascii="Calibri" w:hAnsi="Calibri" w:cs="Calibri"/>
                <w:sz w:val="20"/>
                <w:szCs w:val="21"/>
              </w:rPr>
              <w:t xml:space="preserve">also </w:t>
            </w:r>
            <w:r w:rsidR="00D87BC8">
              <w:rPr>
                <w:rFonts w:ascii="Calibri" w:hAnsi="Calibri" w:cs="Calibri"/>
                <w:sz w:val="20"/>
                <w:szCs w:val="21"/>
              </w:rPr>
              <w:t xml:space="preserve">checks the existence of PC5-RRC connection with the corresponding remote UE indicated in </w:t>
            </w:r>
            <w:r w:rsidR="00D87BC8" w:rsidRPr="00D87BC8">
              <w:rPr>
                <w:rFonts w:ascii="Calibri" w:hAnsi="Calibri" w:cs="Calibri"/>
                <w:sz w:val="20"/>
                <w:szCs w:val="21"/>
              </w:rPr>
              <w:t>sl-RemoteUE-ToReleaseList</w:t>
            </w:r>
            <w:r w:rsidR="00D87BC8">
              <w:rPr>
                <w:rFonts w:ascii="Calibri" w:hAnsi="Calibri" w:cs="Calibri"/>
                <w:sz w:val="20"/>
                <w:szCs w:val="21"/>
              </w:rPr>
              <w:t xml:space="preserve">, we understand similar </w:t>
            </w:r>
            <w:r w:rsidR="00B62460">
              <w:rPr>
                <w:rFonts w:ascii="Calibri" w:hAnsi="Calibri" w:cs="Calibri"/>
                <w:sz w:val="20"/>
                <w:szCs w:val="21"/>
              </w:rPr>
              <w:t>assumption can be applied here, i.e., UE need to check the existence of PC5-RRC connection indicated in the “Add/Release” of U2U Relay/Remote UE configuration</w:t>
            </w:r>
            <w:r w:rsidR="00C01C9A">
              <w:rPr>
                <w:rFonts w:ascii="Calibri" w:hAnsi="Calibri" w:cs="Calibri"/>
                <w:sz w:val="20"/>
                <w:szCs w:val="21"/>
              </w:rPr>
              <w:t>, i.e., whether the configuration from NW is valid or not</w:t>
            </w:r>
            <w:r w:rsidR="00B62460">
              <w:rPr>
                <w:rFonts w:ascii="Calibri" w:hAnsi="Calibri" w:cs="Calibri"/>
                <w:sz w:val="20"/>
                <w:szCs w:val="21"/>
              </w:rPr>
              <w:t>.</w:t>
            </w:r>
          </w:p>
        </w:tc>
      </w:tr>
      <w:tr w:rsidR="00341F8F" w:rsidRPr="00A644F2" w14:paraId="34943AAB" w14:textId="77777777" w:rsidTr="00460862">
        <w:tc>
          <w:tcPr>
            <w:tcW w:w="994" w:type="dxa"/>
          </w:tcPr>
          <w:p w14:paraId="077B20D8" w14:textId="211A9B52" w:rsidR="00341F8F" w:rsidRDefault="00341F8F" w:rsidP="00460862">
            <w:pPr>
              <w:rPr>
                <w:rFonts w:ascii="Calibri" w:hAnsi="Calibri" w:cs="Calibri"/>
                <w:sz w:val="20"/>
                <w:szCs w:val="21"/>
              </w:rPr>
            </w:pPr>
            <w:r>
              <w:rPr>
                <w:rFonts w:ascii="Calibri" w:hAnsi="Calibri" w:cs="Calibri"/>
                <w:sz w:val="20"/>
                <w:szCs w:val="21"/>
              </w:rPr>
              <w:t>OPPO</w:t>
            </w:r>
          </w:p>
        </w:tc>
        <w:tc>
          <w:tcPr>
            <w:tcW w:w="888" w:type="dxa"/>
          </w:tcPr>
          <w:p w14:paraId="19A7B6E4" w14:textId="0E54C7FA" w:rsidR="00341F8F" w:rsidRDefault="00341F8F" w:rsidP="0046086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029</w:t>
            </w:r>
            <w:r w:rsidR="00A1195D">
              <w:rPr>
                <w:rFonts w:ascii="Calibri" w:hAnsi="Calibri" w:cs="Calibri"/>
                <w:sz w:val="20"/>
                <w:szCs w:val="21"/>
              </w:rPr>
              <w:t>, X030, X031</w:t>
            </w:r>
          </w:p>
        </w:tc>
        <w:tc>
          <w:tcPr>
            <w:tcW w:w="12066" w:type="dxa"/>
          </w:tcPr>
          <w:p w14:paraId="52201A0D" w14:textId="0E359194" w:rsidR="00341F8F" w:rsidRPr="00674887" w:rsidRDefault="00A1195D" w:rsidP="00460862">
            <w:pPr>
              <w:rPr>
                <w:rFonts w:ascii="Calibri" w:hAnsi="Calibri" w:cs="Calibri"/>
                <w:sz w:val="20"/>
                <w:szCs w:val="21"/>
              </w:rPr>
            </w:pPr>
            <w:r>
              <w:rPr>
                <w:rFonts w:ascii="Calibri" w:hAnsi="Calibri" w:cs="Calibri"/>
                <w:sz w:val="20"/>
                <w:szCs w:val="21"/>
              </w:rPr>
              <w:t>We have no conclusion/agreement on this proposal, i.e., for source remote UE, there is no “</w:t>
            </w:r>
            <w:r w:rsidRPr="00A1195D">
              <w:rPr>
                <w:rFonts w:ascii="Calibri" w:hAnsi="Calibri" w:cs="Calibri"/>
                <w:sz w:val="20"/>
                <w:szCs w:val="21"/>
              </w:rPr>
              <w:t xml:space="preserve">threshold condition </w:t>
            </w:r>
            <w:r>
              <w:rPr>
                <w:rFonts w:ascii="Calibri" w:hAnsi="Calibri" w:cs="Calibri"/>
                <w:sz w:val="20"/>
                <w:szCs w:val="21"/>
              </w:rPr>
              <w:t>with the</w:t>
            </w:r>
            <w:r w:rsidRPr="00A1195D">
              <w:rPr>
                <w:rFonts w:ascii="Calibri" w:hAnsi="Calibri" w:cs="Calibri"/>
                <w:sz w:val="20"/>
                <w:szCs w:val="21"/>
              </w:rPr>
              <w:t xml:space="preserve"> Sidelink U2U Relay UE.</w:t>
            </w:r>
            <w:r>
              <w:rPr>
                <w:rFonts w:ascii="Calibri" w:hAnsi="Calibri" w:cs="Calibri"/>
                <w:sz w:val="20"/>
                <w:szCs w:val="21"/>
              </w:rPr>
              <w:t>”.</w:t>
            </w:r>
          </w:p>
        </w:tc>
      </w:tr>
      <w:tr w:rsidR="00A1195D" w:rsidRPr="00A644F2" w14:paraId="30A4C5C3" w14:textId="77777777" w:rsidTr="00460862">
        <w:tc>
          <w:tcPr>
            <w:tcW w:w="994" w:type="dxa"/>
          </w:tcPr>
          <w:p w14:paraId="024AB3D7" w14:textId="1C7E65C8" w:rsidR="00A1195D" w:rsidRDefault="00A1195D"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06E1EE8A" w14:textId="212780E6" w:rsidR="00A1195D" w:rsidRDefault="00A1195D" w:rsidP="00460862">
            <w:pPr>
              <w:rPr>
                <w:rFonts w:ascii="Calibri" w:hAnsi="Calibri" w:cs="Calibri"/>
                <w:sz w:val="20"/>
                <w:szCs w:val="21"/>
              </w:rPr>
            </w:pPr>
            <w:r>
              <w:rPr>
                <w:rFonts w:ascii="Calibri" w:hAnsi="Calibri" w:cs="Calibri" w:hint="eastAsia"/>
                <w:sz w:val="20"/>
                <w:szCs w:val="21"/>
              </w:rPr>
              <w:t>Q</w:t>
            </w:r>
            <w:r>
              <w:rPr>
                <w:rFonts w:ascii="Calibri" w:hAnsi="Calibri" w:cs="Calibri"/>
                <w:sz w:val="20"/>
                <w:szCs w:val="21"/>
              </w:rPr>
              <w:t>582</w:t>
            </w:r>
          </w:p>
        </w:tc>
        <w:tc>
          <w:tcPr>
            <w:tcW w:w="12066" w:type="dxa"/>
          </w:tcPr>
          <w:p w14:paraId="2488D6CA" w14:textId="4F8544D8" w:rsidR="00A1195D" w:rsidRDefault="00A1195D" w:rsidP="00460862">
            <w:pPr>
              <w:rPr>
                <w:rFonts w:ascii="Calibri" w:hAnsi="Calibri" w:cs="Calibri"/>
                <w:sz w:val="20"/>
                <w:szCs w:val="21"/>
              </w:rPr>
            </w:pPr>
            <w:r>
              <w:rPr>
                <w:rFonts w:ascii="Calibri" w:hAnsi="Calibri" w:cs="Calibri" w:hint="eastAsia"/>
                <w:sz w:val="20"/>
                <w:szCs w:val="21"/>
              </w:rPr>
              <w:t>W</w:t>
            </w:r>
            <w:r>
              <w:rPr>
                <w:rFonts w:ascii="Calibri" w:hAnsi="Calibri" w:cs="Calibri"/>
                <w:sz w:val="20"/>
                <w:szCs w:val="21"/>
              </w:rPr>
              <w:t>e understand the intention, but just wonder whether “solicitation message” (as PC5-S message) is visible to AS layer.</w:t>
            </w:r>
          </w:p>
        </w:tc>
      </w:tr>
      <w:tr w:rsidR="00E26AD9" w:rsidRPr="00A644F2" w14:paraId="15754263" w14:textId="77777777" w:rsidTr="00E26AD9">
        <w:tc>
          <w:tcPr>
            <w:tcW w:w="994" w:type="dxa"/>
          </w:tcPr>
          <w:p w14:paraId="1D153360" w14:textId="77777777" w:rsidR="00E26AD9" w:rsidRPr="00A644F2" w:rsidRDefault="00E26AD9" w:rsidP="00636268">
            <w:pPr>
              <w:rPr>
                <w:rFonts w:ascii="Calibri" w:hAnsi="Calibri" w:cs="Calibri"/>
                <w:sz w:val="20"/>
                <w:szCs w:val="21"/>
              </w:rPr>
            </w:pPr>
            <w:r>
              <w:rPr>
                <w:rFonts w:ascii="Calibri" w:hAnsi="Calibri" w:cs="Calibri"/>
                <w:sz w:val="20"/>
                <w:szCs w:val="21"/>
              </w:rPr>
              <w:lastRenderedPageBreak/>
              <w:t>Nokia</w:t>
            </w:r>
          </w:p>
        </w:tc>
        <w:tc>
          <w:tcPr>
            <w:tcW w:w="888" w:type="dxa"/>
          </w:tcPr>
          <w:p w14:paraId="5160A033" w14:textId="77777777" w:rsidR="00E26AD9" w:rsidRPr="00A644F2" w:rsidRDefault="00E26AD9" w:rsidP="00636268">
            <w:pPr>
              <w:rPr>
                <w:rFonts w:ascii="Calibri" w:hAnsi="Calibri" w:cs="Calibri"/>
                <w:sz w:val="20"/>
                <w:szCs w:val="21"/>
              </w:rPr>
            </w:pPr>
            <w:r w:rsidRPr="008411F8">
              <w:rPr>
                <w:rFonts w:ascii="Calibri" w:hAnsi="Calibri" w:cs="Calibri"/>
                <w:sz w:val="20"/>
                <w:szCs w:val="21"/>
              </w:rPr>
              <w:t>H656, H695, O424, B110</w:t>
            </w:r>
          </w:p>
        </w:tc>
        <w:tc>
          <w:tcPr>
            <w:tcW w:w="12066" w:type="dxa"/>
          </w:tcPr>
          <w:p w14:paraId="35E83FEC" w14:textId="77777777" w:rsidR="00E26AD9" w:rsidRDefault="00E26AD9" w:rsidP="00636268">
            <w:pPr>
              <w:rPr>
                <w:rFonts w:ascii="Calibri" w:hAnsi="Calibri" w:cs="Calibri"/>
                <w:sz w:val="20"/>
                <w:szCs w:val="21"/>
              </w:rPr>
            </w:pPr>
            <w:r>
              <w:rPr>
                <w:rFonts w:ascii="Calibri" w:hAnsi="Calibri" w:cs="Calibri"/>
                <w:b/>
                <w:bCs/>
                <w:sz w:val="20"/>
                <w:szCs w:val="21"/>
              </w:rPr>
              <w:t xml:space="preserve">Nokia(Sunyoung): </w:t>
            </w:r>
            <w:r>
              <w:rPr>
                <w:rFonts w:ascii="Calibri" w:hAnsi="Calibri" w:cs="Calibri"/>
                <w:sz w:val="20"/>
                <w:szCs w:val="21"/>
              </w:rPr>
              <w:t xml:space="preserve">We need to cover two cases: 1) non-split SRB1 and 2) split SRB1 without duplication configured. For both cases, we think T421 can be stopped when </w:t>
            </w:r>
            <w:r w:rsidRPr="000F2646">
              <w:rPr>
                <w:rFonts w:ascii="Calibri" w:hAnsi="Calibri" w:cs="Calibri"/>
                <w:sz w:val="20"/>
                <w:szCs w:val="21"/>
              </w:rPr>
              <w:t>PC5 connection is</w:t>
            </w:r>
            <w:r>
              <w:rPr>
                <w:rFonts w:ascii="Calibri" w:hAnsi="Calibri" w:cs="Calibri"/>
                <w:sz w:val="20"/>
                <w:szCs w:val="21"/>
              </w:rPr>
              <w:t xml:space="preserve"> successfully</w:t>
            </w:r>
            <w:r w:rsidRPr="000F2646">
              <w:rPr>
                <w:rFonts w:ascii="Calibri" w:hAnsi="Calibri" w:cs="Calibri"/>
                <w:sz w:val="20"/>
                <w:szCs w:val="21"/>
              </w:rPr>
              <w:t xml:space="preserve"> made</w:t>
            </w:r>
            <w:r>
              <w:rPr>
                <w:rFonts w:ascii="Calibri" w:hAnsi="Calibri" w:cs="Calibri"/>
                <w:sz w:val="20"/>
                <w:szCs w:val="21"/>
              </w:rPr>
              <w:t xml:space="preserve">, i.e., option 1 discussed in RAN2#124. Given that T400 is stopped upon </w:t>
            </w:r>
            <w:r w:rsidRPr="000F2646">
              <w:rPr>
                <w:rFonts w:ascii="Calibri" w:hAnsi="Calibri" w:cs="Calibri"/>
                <w:sz w:val="20"/>
                <w:szCs w:val="21"/>
              </w:rPr>
              <w:t>reception of RRCReconfigurationCompleteSidelink</w:t>
            </w:r>
            <w:r>
              <w:rPr>
                <w:rFonts w:ascii="Calibri" w:hAnsi="Calibri" w:cs="Calibri"/>
                <w:sz w:val="20"/>
                <w:szCs w:val="21"/>
              </w:rPr>
              <w:t>, it would be redundant to have the share the same condition for stopping two similar timers (T400 and T421)</w:t>
            </w:r>
            <w:r w:rsidRPr="000F2646">
              <w:rPr>
                <w:rFonts w:ascii="Calibri" w:hAnsi="Calibri" w:cs="Calibri"/>
                <w:sz w:val="20"/>
                <w:szCs w:val="21"/>
              </w:rPr>
              <w:t>.</w:t>
            </w:r>
          </w:p>
          <w:p w14:paraId="6FD27DE1" w14:textId="79342223" w:rsidR="00F8402D" w:rsidRDefault="00F8402D" w:rsidP="00636268">
            <w:pPr>
              <w:rPr>
                <w:rFonts w:ascii="Calibri" w:hAnsi="Calibri" w:cs="Calibri"/>
                <w:sz w:val="20"/>
                <w:szCs w:val="21"/>
              </w:rPr>
            </w:pPr>
          </w:p>
          <w:p w14:paraId="600E8D3A" w14:textId="71732C44" w:rsidR="00F8402D" w:rsidRDefault="00954A68" w:rsidP="00636268">
            <w:pPr>
              <w:rPr>
                <w:rFonts w:ascii="Calibri" w:hAnsi="Calibri" w:cs="Calibri" w:hint="eastAsia"/>
                <w:sz w:val="20"/>
                <w:szCs w:val="21"/>
              </w:rPr>
            </w:pPr>
            <w:r w:rsidRPr="00954A68">
              <w:rPr>
                <w:rFonts w:ascii="Calibri" w:hAnsi="Calibri" w:cs="Calibri"/>
                <w:b/>
                <w:sz w:val="20"/>
                <w:szCs w:val="21"/>
              </w:rPr>
              <w:t>Samsung(Weiwei)</w:t>
            </w:r>
            <w:r w:rsidR="00F8402D">
              <w:rPr>
                <w:rFonts w:ascii="Calibri" w:hAnsi="Calibri" w:cs="Calibri"/>
                <w:sz w:val="20"/>
                <w:szCs w:val="21"/>
              </w:rPr>
              <w:t xml:space="preserve"> We share the same understanding as Nok. </w:t>
            </w:r>
            <w:r w:rsidR="00F8402D" w:rsidRPr="00F8402D">
              <w:rPr>
                <w:rFonts w:ascii="Calibri" w:hAnsi="Calibri" w:cs="Calibri" w:hint="eastAsia"/>
                <w:sz w:val="20"/>
                <w:szCs w:val="21"/>
              </w:rPr>
              <w:t>F</w:t>
            </w:r>
            <w:r w:rsidR="00F8402D" w:rsidRPr="00F8402D">
              <w:rPr>
                <w:rFonts w:ascii="Calibri" w:hAnsi="Calibri" w:cs="Calibri"/>
                <w:sz w:val="20"/>
                <w:szCs w:val="21"/>
              </w:rPr>
              <w:t xml:space="preserve">or option 2, the remote UE will start T400 when T421 is running, and both timers can be used to detect the failure of indirect path addition/change. The potential consequence is that, if both timers expire at the similar time, the remote UE cannot clearly indicate the cause of failure (i.e., whether to indicate T421 expiry or SL radio link failure). </w:t>
            </w:r>
            <w:r w:rsidR="00F8402D" w:rsidRPr="00F8402D">
              <w:rPr>
                <w:rFonts w:ascii="Calibri" w:hAnsi="Calibri" w:cs="Calibri" w:hint="eastAsia"/>
                <w:sz w:val="20"/>
                <w:szCs w:val="21"/>
              </w:rPr>
              <w:t>O</w:t>
            </w:r>
            <w:r w:rsidR="00F8402D" w:rsidRPr="00F8402D">
              <w:rPr>
                <w:rFonts w:ascii="Calibri" w:hAnsi="Calibri" w:cs="Calibri"/>
                <w:sz w:val="20"/>
                <w:szCs w:val="21"/>
              </w:rPr>
              <w:t>n the other hand, if Option 1 is selected, the remote UE can indicate the failure caused by the failed establishment of PC5 connection via T421 expiry, while the remote UE can indicate the SL radio link failure when T400 expires. In other words, option 1 can clearly separate the PC5 link establishment problem from SL radio link failure.</w:t>
            </w:r>
          </w:p>
          <w:p w14:paraId="02EE9275" w14:textId="29E92238" w:rsidR="00F8402D" w:rsidRPr="00864243" w:rsidRDefault="00F8402D" w:rsidP="00636268">
            <w:pPr>
              <w:rPr>
                <w:rFonts w:ascii="Calibri" w:hAnsi="Calibri" w:cs="Calibri"/>
                <w:sz w:val="20"/>
                <w:szCs w:val="21"/>
              </w:rPr>
            </w:pPr>
          </w:p>
        </w:tc>
      </w:tr>
      <w:tr w:rsidR="00E26AD9" w:rsidRPr="00A644F2" w14:paraId="19630857" w14:textId="77777777" w:rsidTr="00E26AD9">
        <w:tc>
          <w:tcPr>
            <w:tcW w:w="994" w:type="dxa"/>
          </w:tcPr>
          <w:p w14:paraId="4E808611"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A40A33" w14:textId="77777777" w:rsidR="00E26AD9" w:rsidRPr="008411F8" w:rsidRDefault="00E26AD9" w:rsidP="00636268">
            <w:pPr>
              <w:rPr>
                <w:rFonts w:ascii="Calibri" w:hAnsi="Calibri" w:cs="Calibri"/>
                <w:sz w:val="20"/>
                <w:szCs w:val="21"/>
              </w:rPr>
            </w:pPr>
            <w:r>
              <w:rPr>
                <w:rFonts w:ascii="Calibri" w:hAnsi="Calibri" w:cs="Calibri"/>
                <w:sz w:val="20"/>
                <w:szCs w:val="21"/>
              </w:rPr>
              <w:t>H662</w:t>
            </w:r>
          </w:p>
        </w:tc>
        <w:tc>
          <w:tcPr>
            <w:tcW w:w="12066" w:type="dxa"/>
          </w:tcPr>
          <w:p w14:paraId="37282011" w14:textId="77777777" w:rsidR="00E26AD9" w:rsidRPr="005C6605"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this NOTE is only applicable to single path.</w:t>
            </w:r>
          </w:p>
        </w:tc>
      </w:tr>
      <w:tr w:rsidR="00E26AD9" w:rsidRPr="00A644F2" w14:paraId="2191E868" w14:textId="77777777" w:rsidTr="00E26AD9">
        <w:tc>
          <w:tcPr>
            <w:tcW w:w="994" w:type="dxa"/>
          </w:tcPr>
          <w:p w14:paraId="0743B51F"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4B880CA0" w14:textId="77777777" w:rsidR="00E26AD9" w:rsidRDefault="00E26AD9" w:rsidP="00636268">
            <w:pPr>
              <w:rPr>
                <w:rFonts w:ascii="Calibri" w:hAnsi="Calibri" w:cs="Calibri"/>
                <w:sz w:val="20"/>
                <w:szCs w:val="21"/>
              </w:rPr>
            </w:pPr>
            <w:r>
              <w:rPr>
                <w:rFonts w:ascii="Calibri" w:hAnsi="Calibri" w:cs="Calibri"/>
                <w:sz w:val="20"/>
                <w:szCs w:val="21"/>
              </w:rPr>
              <w:t>J062</w:t>
            </w:r>
          </w:p>
        </w:tc>
        <w:tc>
          <w:tcPr>
            <w:tcW w:w="12066" w:type="dxa"/>
          </w:tcPr>
          <w:p w14:paraId="3D592FF7"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w:t>
            </w:r>
            <w:r>
              <w:rPr>
                <w:rFonts w:ascii="Calibri" w:hAnsi="Calibri" w:cs="Calibri"/>
                <w:sz w:val="20"/>
                <w:szCs w:val="21"/>
              </w:rPr>
              <w:t xml:space="preserve">if </w:t>
            </w:r>
            <w:r w:rsidRPr="00A3553D">
              <w:rPr>
                <w:rFonts w:ascii="Calibri" w:hAnsi="Calibri" w:cs="Calibri"/>
                <w:sz w:val="20"/>
                <w:szCs w:val="21"/>
              </w:rPr>
              <w:t xml:space="preserve">this </w:t>
            </w:r>
            <w:r>
              <w:rPr>
                <w:rFonts w:ascii="Calibri" w:hAnsi="Calibri" w:cs="Calibri"/>
                <w:sz w:val="20"/>
                <w:szCs w:val="21"/>
              </w:rPr>
              <w:t xml:space="preserve">is an issue, then it is an issue coming from Rel-17. </w:t>
            </w:r>
          </w:p>
        </w:tc>
      </w:tr>
      <w:tr w:rsidR="00E26AD9" w:rsidRPr="00A644F2" w14:paraId="7908C0AB" w14:textId="77777777" w:rsidTr="00E26AD9">
        <w:tc>
          <w:tcPr>
            <w:tcW w:w="994" w:type="dxa"/>
          </w:tcPr>
          <w:p w14:paraId="758D90CE"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2F9236C" w14:textId="77777777" w:rsidR="00E26AD9" w:rsidRDefault="00E26AD9" w:rsidP="00636268">
            <w:pPr>
              <w:rPr>
                <w:rFonts w:ascii="Calibri" w:hAnsi="Calibri" w:cs="Calibri"/>
                <w:sz w:val="20"/>
                <w:szCs w:val="21"/>
              </w:rPr>
            </w:pPr>
            <w:r>
              <w:rPr>
                <w:rFonts w:ascii="Calibri" w:hAnsi="Calibri" w:cs="Calibri"/>
                <w:sz w:val="20"/>
                <w:szCs w:val="21"/>
              </w:rPr>
              <w:t>Q581</w:t>
            </w:r>
          </w:p>
        </w:tc>
        <w:tc>
          <w:tcPr>
            <w:tcW w:w="12066" w:type="dxa"/>
          </w:tcPr>
          <w:p w14:paraId="3AD0D85A"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are OK with the proposal of removing the additional checking.</w:t>
            </w:r>
          </w:p>
        </w:tc>
      </w:tr>
      <w:tr w:rsidR="00E26AD9" w:rsidRPr="00A644F2" w14:paraId="0D48D22D" w14:textId="77777777" w:rsidTr="00E26AD9">
        <w:tc>
          <w:tcPr>
            <w:tcW w:w="994" w:type="dxa"/>
          </w:tcPr>
          <w:p w14:paraId="5FD4675D"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728E55BD" w14:textId="77777777" w:rsidR="00E26AD9" w:rsidRDefault="00E26AD9" w:rsidP="00636268">
            <w:pPr>
              <w:rPr>
                <w:rFonts w:ascii="Calibri" w:hAnsi="Calibri" w:cs="Calibri"/>
                <w:sz w:val="20"/>
                <w:szCs w:val="21"/>
              </w:rPr>
            </w:pPr>
            <w:r>
              <w:rPr>
                <w:rFonts w:ascii="Calibri" w:hAnsi="Calibri" w:cs="Calibri"/>
                <w:sz w:val="20"/>
                <w:szCs w:val="21"/>
              </w:rPr>
              <w:t>A619</w:t>
            </w:r>
          </w:p>
        </w:tc>
        <w:tc>
          <w:tcPr>
            <w:tcW w:w="12066" w:type="dxa"/>
          </w:tcPr>
          <w:p w14:paraId="597C36A2"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 xml:space="preserve">The local ID is always assigned and maintained by the U2U Relay UE. We think that it can be left to the UE implementation when it is released. </w:t>
            </w:r>
          </w:p>
        </w:tc>
      </w:tr>
      <w:tr w:rsidR="00E26AD9" w:rsidRPr="00A644F2" w14:paraId="22926D2E" w14:textId="77777777" w:rsidTr="00E26AD9">
        <w:tc>
          <w:tcPr>
            <w:tcW w:w="994" w:type="dxa"/>
          </w:tcPr>
          <w:p w14:paraId="3DB3BC59"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4D7E6C" w14:textId="77777777" w:rsidR="00E26AD9" w:rsidRDefault="00E26AD9" w:rsidP="00636268">
            <w:pPr>
              <w:rPr>
                <w:rFonts w:ascii="Calibri" w:hAnsi="Calibri" w:cs="Calibri"/>
                <w:sz w:val="20"/>
                <w:szCs w:val="21"/>
              </w:rPr>
            </w:pPr>
            <w:r>
              <w:rPr>
                <w:rFonts w:ascii="Calibri" w:hAnsi="Calibri" w:cs="Calibri"/>
                <w:sz w:val="20"/>
                <w:szCs w:val="21"/>
              </w:rPr>
              <w:t>N026</w:t>
            </w:r>
          </w:p>
        </w:tc>
        <w:tc>
          <w:tcPr>
            <w:tcW w:w="12066" w:type="dxa"/>
          </w:tcPr>
          <w:p w14:paraId="3EF7B1C7" w14:textId="77777777" w:rsidR="00E26AD9"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think that a simple additional criterion that neither SL-RSRP nor SD-RSRP is available can solve this Editor’s Note (our original comment was unclear):</w:t>
            </w:r>
          </w:p>
          <w:p w14:paraId="3F6BF024" w14:textId="77777777" w:rsidR="00E26AD9" w:rsidRDefault="00E26AD9" w:rsidP="00636268">
            <w:pPr>
              <w:pStyle w:val="B2"/>
              <w:rPr>
                <w:strike/>
              </w:rPr>
            </w:pPr>
            <w:r w:rsidRPr="00EC5119">
              <w:rPr>
                <w:color w:val="auto"/>
              </w:rPr>
              <w:t>2&gt;</w:t>
            </w:r>
            <w:r w:rsidRPr="00EC5119">
              <w:rPr>
                <w:color w:val="auto"/>
              </w:rPr>
              <w:tab/>
              <w:t xml:space="preserve">if </w:t>
            </w:r>
            <w:r w:rsidRPr="00EC5119">
              <w:rPr>
                <w:i/>
                <w:color w:val="auto"/>
              </w:rPr>
              <w:t>sd-RSRP-ThreshU2U</w:t>
            </w:r>
            <w:r w:rsidRPr="00EC5119">
              <w:rPr>
                <w:color w:val="auto"/>
              </w:rPr>
              <w:t xml:space="preserve"> is not configured, or if the SD-RSRP measurement of the peer NR sidelink U2U Remote UE is available and is below </w:t>
            </w:r>
            <w:r w:rsidRPr="00EC5119">
              <w:rPr>
                <w:i/>
                <w:color w:val="auto"/>
              </w:rPr>
              <w:t xml:space="preserve">sd-RSRP-ThreshU2U </w:t>
            </w:r>
            <w:r w:rsidRPr="00EC5119">
              <w:rPr>
                <w:color w:val="auto"/>
              </w:rPr>
              <w:t xml:space="preserve">by </w:t>
            </w:r>
            <w:r w:rsidRPr="00EC5119">
              <w:rPr>
                <w:i/>
                <w:color w:val="auto"/>
              </w:rPr>
              <w:t xml:space="preserve">sd-HystMinU2U </w:t>
            </w:r>
            <w:r w:rsidRPr="00EC5119">
              <w:rPr>
                <w:color w:val="auto"/>
              </w:rPr>
              <w:t>if configured</w:t>
            </w:r>
            <w:r>
              <w:t>; or</w:t>
            </w:r>
            <w:r w:rsidRPr="008B0AA4">
              <w:rPr>
                <w:strike/>
              </w:rPr>
              <w:t>:</w:t>
            </w:r>
          </w:p>
          <w:p w14:paraId="2AE86E8B" w14:textId="77777777" w:rsidR="00E26AD9" w:rsidRPr="00EC5119" w:rsidRDefault="00E26AD9" w:rsidP="00636268">
            <w:pPr>
              <w:pStyle w:val="B2"/>
            </w:pPr>
            <w:r w:rsidRPr="00EC5119">
              <w:t>2&gt; if neither the SL-RSRP measurement nor the SD-RSRP measurement of the peer NR sidelink U2U Remote UE is available:</w:t>
            </w:r>
          </w:p>
          <w:p w14:paraId="31E59FB1" w14:textId="77777777" w:rsidR="00E26AD9" w:rsidRDefault="00E26AD9" w:rsidP="00636268">
            <w:pPr>
              <w:pStyle w:val="B3"/>
            </w:pPr>
            <w:r>
              <w:t>3&gt;</w:t>
            </w:r>
            <w:r>
              <w:tab/>
              <w:t>consider the threshold conditions to be met (entry);</w:t>
            </w:r>
          </w:p>
          <w:p w14:paraId="512C10EE" w14:textId="77777777" w:rsidR="00E26AD9" w:rsidRDefault="00E26AD9" w:rsidP="00636268">
            <w:pPr>
              <w:rPr>
                <w:rFonts w:ascii="Calibri" w:hAnsi="Calibri" w:cs="Calibri"/>
                <w:b/>
                <w:bCs/>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A6042" w14:textId="77777777" w:rsidR="00FA5A50" w:rsidRDefault="00FA5A50" w:rsidP="0079763E">
      <w:r>
        <w:separator/>
      </w:r>
    </w:p>
  </w:endnote>
  <w:endnote w:type="continuationSeparator" w:id="0">
    <w:p w14:paraId="04EF9DAD" w14:textId="77777777" w:rsidR="00FA5A50" w:rsidRDefault="00FA5A50"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49BF4" w14:textId="77777777" w:rsidR="00FA5A50" w:rsidRDefault="00FA5A50" w:rsidP="0079763E">
      <w:r>
        <w:separator/>
      </w:r>
    </w:p>
  </w:footnote>
  <w:footnote w:type="continuationSeparator" w:id="0">
    <w:p w14:paraId="5EFEE68F" w14:textId="77777777" w:rsidR="00FA5A50" w:rsidRDefault="00FA5A50"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096871"/>
    <w:rsid w:val="001010F5"/>
    <w:rsid w:val="001609FC"/>
    <w:rsid w:val="001A261E"/>
    <w:rsid w:val="00230DC6"/>
    <w:rsid w:val="002E1FEE"/>
    <w:rsid w:val="00341F8F"/>
    <w:rsid w:val="003F5DD0"/>
    <w:rsid w:val="00460862"/>
    <w:rsid w:val="00476BF7"/>
    <w:rsid w:val="004C2324"/>
    <w:rsid w:val="005D5C46"/>
    <w:rsid w:val="005F43C1"/>
    <w:rsid w:val="006162A1"/>
    <w:rsid w:val="00631B6F"/>
    <w:rsid w:val="00674887"/>
    <w:rsid w:val="00766E54"/>
    <w:rsid w:val="0079763E"/>
    <w:rsid w:val="009038B0"/>
    <w:rsid w:val="00954A68"/>
    <w:rsid w:val="009B50FD"/>
    <w:rsid w:val="00A118A9"/>
    <w:rsid w:val="00A1195D"/>
    <w:rsid w:val="00A24F25"/>
    <w:rsid w:val="00A34BBF"/>
    <w:rsid w:val="00A644F2"/>
    <w:rsid w:val="00AF4D6F"/>
    <w:rsid w:val="00B13785"/>
    <w:rsid w:val="00B62460"/>
    <w:rsid w:val="00BF04C6"/>
    <w:rsid w:val="00BF6E88"/>
    <w:rsid w:val="00C01C9A"/>
    <w:rsid w:val="00C55DC3"/>
    <w:rsid w:val="00C90393"/>
    <w:rsid w:val="00CE0EC9"/>
    <w:rsid w:val="00D14512"/>
    <w:rsid w:val="00D754B6"/>
    <w:rsid w:val="00D80B31"/>
    <w:rsid w:val="00D84F4C"/>
    <w:rsid w:val="00D87BC8"/>
    <w:rsid w:val="00E26AD9"/>
    <w:rsid w:val="00E653D5"/>
    <w:rsid w:val="00F8402D"/>
    <w:rsid w:val="00FA5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63E"/>
    <w:pPr>
      <w:tabs>
        <w:tab w:val="center" w:pos="4320"/>
        <w:tab w:val="right" w:pos="8640"/>
      </w:tabs>
    </w:pPr>
  </w:style>
  <w:style w:type="character" w:customStyle="1" w:styleId="a5">
    <w:name w:val="页眉 字符"/>
    <w:basedOn w:val="a0"/>
    <w:link w:val="a4"/>
    <w:uiPriority w:val="99"/>
    <w:rsid w:val="0079763E"/>
  </w:style>
  <w:style w:type="paragraph" w:styleId="a6">
    <w:name w:val="footer"/>
    <w:basedOn w:val="a"/>
    <w:link w:val="a7"/>
    <w:uiPriority w:val="99"/>
    <w:unhideWhenUsed/>
    <w:rsid w:val="0079763E"/>
    <w:pPr>
      <w:tabs>
        <w:tab w:val="center" w:pos="4320"/>
        <w:tab w:val="right" w:pos="8640"/>
      </w:tabs>
    </w:pPr>
  </w:style>
  <w:style w:type="character" w:customStyle="1" w:styleId="a7">
    <w:name w:val="页脚 字符"/>
    <w:basedOn w:val="a0"/>
    <w:link w:val="a6"/>
    <w:uiPriority w:val="99"/>
    <w:rsid w:val="0079763E"/>
  </w:style>
  <w:style w:type="paragraph" w:customStyle="1" w:styleId="B2">
    <w:name w:val="B2"/>
    <w:basedOn w:val="2"/>
    <w:link w:val="B2Char"/>
    <w:autoRedefine/>
    <w:qFormat/>
    <w:rsid w:val="00E26AD9"/>
    <w:pPr>
      <w:widowControl/>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cs="Times New Roman"/>
      <w:color w:val="FF0000"/>
      <w:kern w:val="0"/>
      <w:sz w:val="22"/>
      <w:lang w:val="fi-FI" w:eastAsia="ja-JP"/>
    </w:rPr>
  </w:style>
  <w:style w:type="character" w:customStyle="1" w:styleId="B2Char">
    <w:name w:val="B2 Char"/>
    <w:link w:val="B2"/>
    <w:autoRedefine/>
    <w:qFormat/>
    <w:rsid w:val="00E26AD9"/>
    <w:rPr>
      <w:rFonts w:ascii="Times New Roman" w:eastAsia="Times New Roman" w:hAnsi="Times New Roman" w:cs="Times New Roman"/>
      <w:color w:val="FF0000"/>
      <w:kern w:val="0"/>
      <w:sz w:val="22"/>
      <w:lang w:val="fi-FI" w:eastAsia="ja-JP"/>
    </w:rPr>
  </w:style>
  <w:style w:type="paragraph" w:customStyle="1" w:styleId="B3">
    <w:name w:val="B3"/>
    <w:basedOn w:val="3"/>
    <w:link w:val="B3Char2"/>
    <w:autoRedefine/>
    <w:qFormat/>
    <w:rsid w:val="00E26AD9"/>
    <w:pPr>
      <w:widowControl/>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s="Times New Roman"/>
      <w:kern w:val="0"/>
      <w:sz w:val="22"/>
      <w:lang w:val="fi-FI" w:eastAsia="ja-JP"/>
    </w:rPr>
  </w:style>
  <w:style w:type="character" w:customStyle="1" w:styleId="B3Char2">
    <w:name w:val="B3 Char2"/>
    <w:link w:val="B3"/>
    <w:autoRedefine/>
    <w:qFormat/>
    <w:rsid w:val="00E26AD9"/>
    <w:rPr>
      <w:rFonts w:ascii="Times New Roman" w:eastAsia="Times New Roman" w:hAnsi="Times New Roman" w:cs="Times New Roman"/>
      <w:kern w:val="0"/>
      <w:sz w:val="22"/>
      <w:lang w:val="fi-FI" w:eastAsia="ja-JP"/>
    </w:rPr>
  </w:style>
  <w:style w:type="paragraph" w:styleId="2">
    <w:name w:val="List 2"/>
    <w:basedOn w:val="a"/>
    <w:uiPriority w:val="99"/>
    <w:semiHidden/>
    <w:unhideWhenUsed/>
    <w:rsid w:val="00E26AD9"/>
    <w:pPr>
      <w:ind w:left="720" w:hanging="360"/>
      <w:contextualSpacing/>
    </w:pPr>
  </w:style>
  <w:style w:type="paragraph" w:styleId="3">
    <w:name w:val="List 3"/>
    <w:basedOn w:val="a"/>
    <w:uiPriority w:val="99"/>
    <w:semiHidden/>
    <w:unhideWhenUsed/>
    <w:rsid w:val="00E26AD9"/>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1656</TotalTime>
  <Pages>4</Pages>
  <Words>1279</Words>
  <Characters>7293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Samsung(Weiwei)</cp:lastModifiedBy>
  <cp:revision>6</cp:revision>
  <dcterms:created xsi:type="dcterms:W3CDTF">2024-02-13T11:15:00Z</dcterms:created>
  <dcterms:modified xsi:type="dcterms:W3CDTF">2024-02-16T06:42:00Z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