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#120</w:t>
      </w:r>
      <w:bookmarkStart w:id="4" w:name="_GoBack"/>
      <w:bookmarkEnd w:id="4"/>
      <w:r>
        <w:rPr>
          <w:b/>
          <w:i/>
          <w:sz w:val="28"/>
        </w:rPr>
        <w:tab/>
      </w:r>
      <w:r>
        <w:rPr>
          <w:b/>
          <w:i/>
          <w:sz w:val="28"/>
        </w:rPr>
        <w:t>S3-2</w:t>
      </w:r>
      <w:r>
        <w:rPr>
          <w:rFonts w:hint="eastAsia"/>
          <w:b/>
          <w:i/>
          <w:sz w:val="28"/>
          <w:lang w:val="en-US" w:eastAsia="zh-CN"/>
        </w:rPr>
        <w:t>51062</w:t>
      </w:r>
    </w:p>
    <w:p>
      <w:pPr>
        <w:pStyle w:val="128"/>
        <w:outlineLvl w:val="0"/>
        <w:rPr>
          <w:b/>
          <w:sz w:val="24"/>
        </w:rPr>
      </w:pPr>
      <w:r>
        <w:rPr>
          <w:b/>
          <w:sz w:val="24"/>
        </w:rPr>
        <w:t>Athens, Greece 17 – 21 Feburary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color w:val="FF0000"/>
                <w:sz w:val="32"/>
              </w:rPr>
              <w:t>DRAFT</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i/>
              </w:rPr>
            </w:pPr>
            <w:r>
              <w:rPr>
                <w:b/>
                <w:i/>
                <w:color w:val="FF0000"/>
                <w:sz w:val="28"/>
              </w:rPr>
              <w:t>draft</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rPr>
                <w:rFonts w:hint="eastAsia"/>
              </w:rPr>
              <w:t>Add description for protection of communication data used in VFL process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AIML_CN_SEC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pPr>
            <w:r>
              <w:t>2025-2-17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val="en-US" w:eastAsia="zh-CN"/>
              </w:rPr>
            </w:pPr>
            <w:r>
              <w:rPr>
                <w:rFonts w:hint="eastAsia"/>
                <w:b/>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rPr>
              <w:t>Add description for protection of communication data used in VFL process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rPr>
              <w:t>Add description for protection of communication data used in VFL process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lang w:val="en-US" w:eastAsia="zh-CN"/>
              </w:rPr>
              <w:t>No</w:t>
            </w:r>
            <w:r>
              <w:rPr>
                <w:rFonts w:hint="eastAsia"/>
              </w:rPr>
              <w:t xml:space="preserve"> description for protection of communication data used in VFL process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eastAsia="zh-CN"/>
              </w:rPr>
            </w:pPr>
            <w:r>
              <w:rPr>
                <w:rFonts w:hint="eastAsia"/>
                <w:lang w:eastAsia="zh-CN"/>
              </w:rPr>
              <w:t>X</w:t>
            </w:r>
            <w:r>
              <w:rPr>
                <w:lang w:eastAsia="zh-CN"/>
              </w:rPr>
              <w:t>.1</w:t>
            </w:r>
            <w:r>
              <w:rPr>
                <w:rFonts w:hint="eastAsia"/>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rPr>
                <w:color w:val="0000FF"/>
              </w:rPr>
            </w:pPr>
            <w:del w:id="0" w:author="CMCC" w:date="2025-02-19T22:26:46Z">
              <w:r>
                <w:rPr>
                  <w:color w:val="0000FF"/>
                </w:rPr>
                <w:delText xml:space="preserve">Clause Annex </w:delText>
              </w:r>
            </w:del>
            <w:del w:id="1" w:author="CMCC" w:date="2025-02-19T22:26:46Z">
              <w:r>
                <w:rPr>
                  <w:rFonts w:cs="Arial"/>
                  <w:color w:val="0000FF"/>
                </w:rPr>
                <w:delText>α</w:delText>
              </w:r>
            </w:del>
            <w:del w:id="2" w:author="CMCC" w:date="2025-02-19T22:26:46Z">
              <w:r>
                <w:rPr>
                  <w:color w:val="0000FF"/>
                </w:rPr>
                <w:delText xml:space="preserve"> of this draft CR is only used to document the work on the different options considered for the security aspects of inter-CU LTM. This annex </w:delText>
              </w:r>
            </w:del>
            <w:del w:id="3" w:author="CMCC" w:date="2025-02-19T22:26:46Z">
              <w:r>
                <w:rPr>
                  <w:rFonts w:cs="Arial"/>
                  <w:color w:val="0000FF"/>
                </w:rPr>
                <w:delText>α</w:delText>
              </w:r>
            </w:del>
            <w:del w:id="4" w:author="CMCC" w:date="2025-02-19T22:26:46Z">
              <w:r>
                <w:rPr>
                  <w:color w:val="0000FF"/>
                </w:rPr>
                <w:delText xml:space="preserve"> will not be included when this draft CR is converted into CR. </w:delText>
              </w:r>
            </w:del>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
      <w:pPr>
        <w:spacing w:after="0"/>
      </w:pPr>
      <w:r>
        <w:br w:type="page"/>
      </w:r>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bookmarkStart w:id="1" w:name="_Hlk163471332"/>
      <w:bookmarkStart w:id="2" w:name="_Toc158032780"/>
      <w:r>
        <w:rPr>
          <w:rFonts w:ascii="Arial" w:hAnsi="Arial" w:cs="Arial"/>
          <w:color w:val="C00000"/>
          <w:sz w:val="36"/>
          <w:szCs w:val="36"/>
        </w:rPr>
        <w:t>Start of Change</w:t>
      </w:r>
    </w:p>
    <w:bookmarkEnd w:id="1"/>
    <w:bookmarkEnd w:id="2"/>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szCs w:val="21"/>
          <w:lang w:eastAsia="zh-CN"/>
        </w:rPr>
      </w:pPr>
      <w:r>
        <w:rPr>
          <w:rFonts w:ascii="Arial" w:hAnsi="Arial" w:eastAsia="等线"/>
          <w:sz w:val="36"/>
          <w:lang w:eastAsia="en-GB"/>
        </w:rPr>
        <w:t>X.</w:t>
      </w:r>
      <w:r>
        <w:rPr>
          <w:rFonts w:ascii="Arial" w:hAnsi="Arial"/>
          <w:sz w:val="36"/>
          <w:lang w:val="en-US" w:eastAsia="zh-CN"/>
        </w:rPr>
        <w:t>12</w:t>
      </w:r>
      <w:r>
        <w:rPr>
          <w:rFonts w:ascii="Arial" w:hAnsi="Arial" w:eastAsia="等线"/>
          <w:sz w:val="36"/>
          <w:lang w:eastAsia="en-GB"/>
        </w:rPr>
        <w:tab/>
      </w:r>
      <w:r>
        <w:rPr>
          <w:rFonts w:ascii="Arial" w:hAnsi="Arial" w:eastAsia="等线"/>
          <w:sz w:val="36"/>
          <w:lang w:eastAsia="en-GB"/>
        </w:rPr>
        <w:t>Security for Vertical Federated Learning among NWDAFs and AFs</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rFonts w:hint="eastAsia"/>
          <w:lang w:val="en-US" w:eastAsia="zh-CN"/>
        </w:rPr>
        <w:t>1</w:t>
      </w:r>
      <w:r>
        <w:rPr>
          <w:lang w:val="en-US" w:eastAsia="zh-CN"/>
        </w:rPr>
        <w:tab/>
      </w:r>
      <w:r>
        <w:rPr>
          <w:rFonts w:hint="eastAsia"/>
          <w:lang w:val="en-US" w:eastAsia="zh-CN"/>
        </w:rPr>
        <w:t>General</w:t>
      </w:r>
    </w:p>
    <w:p>
      <w:pPr>
        <w:pStyle w:val="121"/>
        <w:rPr>
          <w:rFonts w:hint="default"/>
          <w:lang w:val="en-US" w:eastAsia="zh-CN"/>
        </w:rPr>
      </w:pPr>
      <w:r>
        <w:rPr>
          <w:rFonts w:hint="eastAsia"/>
          <w:lang w:val="en-US" w:eastAsia="zh-CN"/>
        </w:rPr>
        <w:t>E</w:t>
      </w:r>
      <w:r>
        <w:rPr>
          <w:lang w:val="en-US" w:eastAsia="zh-CN"/>
        </w:rPr>
        <w:t>ditor’s Note:</w:t>
      </w:r>
      <w:r>
        <w:rPr>
          <w:lang w:val="en-US" w:eastAsia="zh-CN"/>
        </w:rPr>
        <w:tab/>
      </w:r>
      <w:r>
        <w:rPr>
          <w:lang w:val="en-US" w:eastAsia="zh-CN"/>
        </w:rPr>
        <w:t>This clause provides general description for X.12.</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w:t>
      </w:r>
      <w:r>
        <w:rPr>
          <w:lang w:val="en-US" w:eastAsia="zh-CN"/>
        </w:rPr>
        <w:tab/>
      </w:r>
      <w:r>
        <w:rPr>
          <w:lang w:val="en-US" w:eastAsia="zh-CN"/>
        </w:rPr>
        <w:t xml:space="preserve">Authorization of candidate VFL </w:t>
      </w:r>
      <w:bookmarkStart w:id="3" w:name="_Hlk188019685"/>
      <w:r>
        <w:rPr>
          <w:lang w:val="en-US" w:eastAsia="zh-CN"/>
        </w:rPr>
        <w:t>participants</w:t>
      </w:r>
      <w:bookmarkEnd w:id="3"/>
    </w:p>
    <w:p>
      <w:pPr>
        <w:pStyle w:val="5"/>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2.1</w:t>
      </w:r>
      <w:r>
        <w:rPr>
          <w:lang w:val="en-US" w:eastAsia="zh-CN"/>
        </w:rPr>
        <w:tab/>
      </w:r>
      <w:r>
        <w:rPr>
          <w:lang w:val="en-US" w:eastAsia="zh-CN"/>
        </w:rPr>
        <w:t>Authorization of candidate VFL participants for vertical federated learning when NWDAF is acting as the VFL server</w:t>
      </w:r>
    </w:p>
    <w:p>
      <w:pPr>
        <w:pStyle w:val="121"/>
        <w:rPr>
          <w:lang w:val="en-US" w:eastAsia="zh-CN"/>
        </w:rPr>
      </w:pPr>
      <w:r>
        <w:rPr>
          <w:rFonts w:hint="eastAsia"/>
          <w:lang w:val="en-US" w:eastAsia="zh-CN"/>
        </w:rPr>
        <w:t>E</w:t>
      </w:r>
      <w:r>
        <w:rPr>
          <w:lang w:val="en-US" w:eastAsia="zh-CN"/>
        </w:rPr>
        <w:t>ditor’s Note:</w:t>
      </w:r>
      <w:r>
        <w:rPr>
          <w:lang w:val="en-US" w:eastAsia="zh-CN"/>
        </w:rPr>
        <w:tab/>
      </w:r>
      <w:r>
        <w:rPr>
          <w:lang w:val="en-US" w:eastAsia="zh-CN"/>
        </w:rPr>
        <w:t>This clause provides description of Authorization of candidate VFL participants for vertical federated learning when NWDAF is acting as the VFL server, the SA2 procedure is defined in clause 6.2H.2.1.1 in TS 23.288, and the related conclusion is made in clause 7.2 in TR 33.784.</w:t>
      </w:r>
    </w:p>
    <w:p>
      <w:pPr>
        <w:pStyle w:val="5"/>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2.2</w:t>
      </w:r>
      <w:r>
        <w:rPr>
          <w:lang w:val="en-US" w:eastAsia="zh-CN"/>
        </w:rPr>
        <w:tab/>
      </w:r>
      <w:r>
        <w:rPr>
          <w:lang w:val="en-US" w:eastAsia="zh-CN"/>
        </w:rPr>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pPr>
        <w:pStyle w:val="121"/>
        <w:rPr>
          <w:lang w:val="en-US" w:eastAsia="zh-CN"/>
        </w:rPr>
      </w:pPr>
      <w:r>
        <w:rPr>
          <w:rFonts w:hint="eastAsia"/>
          <w:lang w:val="en-US" w:eastAsia="zh-CN"/>
        </w:rPr>
        <w:t>E</w:t>
      </w:r>
      <w:r>
        <w:rPr>
          <w:lang w:val="en-US" w:eastAsia="zh-CN"/>
        </w:rPr>
        <w:t>ditor’s Note:</w:t>
      </w:r>
      <w:r>
        <w:rPr>
          <w:lang w:val="en-US" w:eastAsia="zh-CN"/>
        </w:rPr>
        <w:tab/>
      </w:r>
      <w:r>
        <w:rPr>
          <w:lang w:val="en-US" w:eastAsia="zh-CN"/>
        </w:rPr>
        <w:t>This clause provides description of Authorization of candidate VFL participants for vertical federated learning when external AF is acting as the VFL server, the SA2 procedure is defined in clause 6.2H.2.1.2 in TS 23.288, and the related conclusion is made in clause 7.2 in TR 33.784.</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3</w:t>
      </w:r>
      <w:r>
        <w:rPr>
          <w:lang w:val="en-US" w:eastAsia="zh-CN"/>
        </w:rPr>
        <w:tab/>
      </w:r>
      <w:r>
        <w:rPr>
          <w:lang w:val="en-US" w:eastAsia="zh-CN"/>
        </w:rPr>
        <w:t>NEF security requirements</w:t>
      </w:r>
    </w:p>
    <w:p>
      <w:pPr>
        <w:pStyle w:val="121"/>
        <w:rPr>
          <w:lang w:val="en-US" w:eastAsia="zh-CN"/>
        </w:rPr>
      </w:pPr>
      <w:r>
        <w:rPr>
          <w:rFonts w:hint="eastAsia"/>
          <w:lang w:val="en-US" w:eastAsia="zh-CN"/>
        </w:rPr>
        <w:t>E</w:t>
      </w:r>
      <w:r>
        <w:rPr>
          <w:lang w:val="en-US" w:eastAsia="zh-CN"/>
        </w:rPr>
        <w:t>ditor’s Note:</w:t>
      </w:r>
      <w:r>
        <w:rPr>
          <w:lang w:val="en-US" w:eastAsia="zh-CN"/>
        </w:rPr>
        <w:tab/>
      </w:r>
      <w:r>
        <w:rPr>
          <w:lang w:val="en-US" w:eastAsia="zh-CN"/>
        </w:rPr>
        <w:t>This clause provides description of NEF security requirements, and the related conclusion is made in clause 7.2 and clause 7.3 in TR 33.784.</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4</w:t>
      </w:r>
      <w:r>
        <w:rPr>
          <w:lang w:val="en-US" w:eastAsia="zh-CN"/>
        </w:rPr>
        <w:tab/>
      </w:r>
      <w:r>
        <w:rPr>
          <w:lang w:val="en-US" w:eastAsia="zh-CN"/>
        </w:rPr>
        <w:t>Protection of communication data used in VFL process</w:t>
      </w:r>
    </w:p>
    <w:p>
      <w:pPr>
        <w:pStyle w:val="121"/>
        <w:rPr>
          <w:del w:id="5" w:author="lc" w:date="2025-02-04T21:58:41Z"/>
          <w:lang w:val="en-US" w:eastAsia="zh-CN"/>
        </w:rPr>
      </w:pPr>
      <w:del w:id="6" w:author="lc" w:date="2025-02-04T21:58:41Z">
        <w:r>
          <w:rPr>
            <w:rFonts w:hint="eastAsia"/>
            <w:lang w:val="en-US" w:eastAsia="zh-CN"/>
          </w:rPr>
          <w:delText>E</w:delText>
        </w:r>
      </w:del>
      <w:del w:id="7" w:author="lc" w:date="2025-02-04T21:58:41Z">
        <w:r>
          <w:rPr>
            <w:lang w:val="en-US" w:eastAsia="zh-CN"/>
          </w:rPr>
          <w:delText>ditor’s Note:</w:delText>
        </w:r>
      </w:del>
      <w:del w:id="8" w:author="lc" w:date="2025-02-04T21:58:41Z">
        <w:r>
          <w:rPr>
            <w:lang w:val="en-US" w:eastAsia="zh-CN"/>
          </w:rPr>
          <w:tab/>
        </w:r>
      </w:del>
      <w:del w:id="9" w:author="lc" w:date="2025-02-04T21:58:41Z">
        <w:r>
          <w:rPr>
            <w:lang w:val="en-US" w:eastAsia="zh-CN"/>
          </w:rPr>
          <w:delText>This clause provides description of protection of communication data used in VFL process, the SA2 procedure is defined in clause 6.2H.2.1, 6.2H.2.2, 6.2H.2.3, and 6.2H.2.4 in TS 23.288, and the related conclusion is made in clause 7.4 in TR 33.784.</w:delText>
        </w:r>
      </w:del>
    </w:p>
    <w:p>
      <w:pPr>
        <w:keepLines w:val="0"/>
        <w:overflowPunct/>
        <w:autoSpaceDE/>
        <w:autoSpaceDN/>
        <w:adjustRightInd/>
        <w:ind w:left="0" w:firstLine="0"/>
        <w:textAlignment w:val="auto"/>
        <w:rPr>
          <w:rFonts w:hint="default" w:eastAsia="等线"/>
          <w:lang w:val="en-US" w:eastAsia="en-GB"/>
        </w:rPr>
        <w:pPrChange w:id="10" w:author="lc" w:date="2025-02-04T22:02:19Z">
          <w:pPr>
            <w:keepLines/>
            <w:overflowPunct w:val="0"/>
            <w:autoSpaceDE w:val="0"/>
            <w:autoSpaceDN w:val="0"/>
            <w:adjustRightInd w:val="0"/>
            <w:ind w:left="1135" w:hanging="851"/>
            <w:textAlignment w:val="baseline"/>
          </w:pPr>
        </w:pPrChange>
      </w:pPr>
      <w:ins w:id="11" w:author="lc" w:date="2025-02-04T21:59:48Z">
        <w:r>
          <w:rPr>
            <w:rFonts w:hint="eastAsia"/>
            <w:lang w:val="en-US" w:eastAsia="zh-CN"/>
          </w:rPr>
          <w:t xml:space="preserve">The </w:t>
        </w:r>
      </w:ins>
      <w:ins w:id="12" w:author="lc" w:date="2025-02-04T21:59:49Z">
        <w:r>
          <w:rPr>
            <w:rFonts w:hint="eastAsia"/>
            <w:lang w:val="en-US" w:eastAsia="zh-CN"/>
          </w:rPr>
          <w:t>curr</w:t>
        </w:r>
      </w:ins>
      <w:ins w:id="13" w:author="lc" w:date="2025-02-04T21:59:50Z">
        <w:r>
          <w:rPr>
            <w:rFonts w:hint="eastAsia"/>
            <w:lang w:val="en-US" w:eastAsia="zh-CN"/>
          </w:rPr>
          <w:t xml:space="preserve">ent </w:t>
        </w:r>
      </w:ins>
      <w:ins w:id="14" w:author="lc" w:date="2025-02-04T21:59:08Z">
        <w:r>
          <w:rPr>
            <w:lang w:eastAsia="zh-CN"/>
          </w:rPr>
          <w:t xml:space="preserve">SBA mechanisms as defined in clauses 12.2 and 12.3 of </w:t>
        </w:r>
      </w:ins>
      <w:ins w:id="15" w:author="lc" w:date="2025-02-04T21:59:57Z">
        <w:r>
          <w:rPr>
            <w:rFonts w:hint="eastAsia"/>
            <w:lang w:val="en-US" w:eastAsia="zh-CN"/>
          </w:rPr>
          <w:t xml:space="preserve"> </w:t>
        </w:r>
      </w:ins>
      <w:ins w:id="16" w:author="lc" w:date="2025-02-04T21:59:58Z">
        <w:r>
          <w:rPr>
            <w:rFonts w:hint="eastAsia"/>
            <w:lang w:val="en-US" w:eastAsia="zh-CN"/>
          </w:rPr>
          <w:t xml:space="preserve">the </w:t>
        </w:r>
      </w:ins>
      <w:ins w:id="17" w:author="lc" w:date="2025-02-04T22:00:00Z">
        <w:r>
          <w:rPr>
            <w:rFonts w:hint="eastAsia"/>
            <w:lang w:val="en-US" w:eastAsia="zh-CN"/>
          </w:rPr>
          <w:t>prese</w:t>
        </w:r>
      </w:ins>
      <w:ins w:id="18" w:author="lc" w:date="2025-02-04T22:00:01Z">
        <w:r>
          <w:rPr>
            <w:rFonts w:hint="eastAsia"/>
            <w:lang w:val="en-US" w:eastAsia="zh-CN"/>
          </w:rPr>
          <w:t>nt do</w:t>
        </w:r>
      </w:ins>
      <w:ins w:id="19" w:author="lc" w:date="2025-02-04T22:00:02Z">
        <w:r>
          <w:rPr>
            <w:rFonts w:hint="eastAsia"/>
            <w:lang w:val="en-US" w:eastAsia="zh-CN"/>
          </w:rPr>
          <w:t>cument</w:t>
        </w:r>
      </w:ins>
      <w:ins w:id="20" w:author="lc" w:date="2025-02-04T21:59:08Z">
        <w:r>
          <w:rPr>
            <w:lang w:eastAsia="zh-CN"/>
          </w:rPr>
          <w:t xml:space="preserve"> for the NEF-AF interface and </w:t>
        </w:r>
      </w:ins>
      <w:ins w:id="21" w:author="lc" w:date="2025-02-04T22:02:11Z">
        <w:r>
          <w:rPr>
            <w:rFonts w:hint="eastAsia"/>
            <w:lang w:val="en-US" w:eastAsia="zh-CN"/>
          </w:rPr>
          <w:t>c</w:t>
        </w:r>
      </w:ins>
      <w:ins w:id="22" w:author="lc" w:date="2025-02-04T22:02:15Z">
        <w:r>
          <w:rPr>
            <w:rFonts w:hint="eastAsia"/>
            <w:lang w:val="en-US" w:eastAsia="zh-CN"/>
          </w:rPr>
          <w:t>lause</w:t>
        </w:r>
      </w:ins>
      <w:ins w:id="23" w:author="lc" w:date="2025-02-04T22:02:16Z">
        <w:r>
          <w:rPr>
            <w:rFonts w:hint="eastAsia"/>
            <w:lang w:val="en-US" w:eastAsia="zh-CN"/>
          </w:rPr>
          <w:t xml:space="preserve"> </w:t>
        </w:r>
      </w:ins>
      <w:ins w:id="24" w:author="lc" w:date="2025-02-04T21:59:08Z">
        <w:r>
          <w:rPr>
            <w:lang w:eastAsia="zh-CN"/>
          </w:rPr>
          <w:t xml:space="preserve">13. 1 of </w:t>
        </w:r>
      </w:ins>
      <w:ins w:id="25" w:author="lc" w:date="2025-02-04T22:00:28Z">
        <w:r>
          <w:rPr>
            <w:rFonts w:hint="eastAsia"/>
            <w:lang w:val="en-US" w:eastAsia="zh-CN"/>
          </w:rPr>
          <w:t>t</w:t>
        </w:r>
      </w:ins>
      <w:ins w:id="26" w:author="lc" w:date="2025-02-04T22:00:29Z">
        <w:r>
          <w:rPr>
            <w:rFonts w:hint="eastAsia"/>
            <w:lang w:val="en-US" w:eastAsia="zh-CN"/>
          </w:rPr>
          <w:t xml:space="preserve">he </w:t>
        </w:r>
      </w:ins>
      <w:ins w:id="27" w:author="lc" w:date="2025-02-04T22:00:30Z">
        <w:r>
          <w:rPr>
            <w:rFonts w:hint="eastAsia"/>
            <w:lang w:val="en-US" w:eastAsia="zh-CN"/>
          </w:rPr>
          <w:t>presen</w:t>
        </w:r>
      </w:ins>
      <w:ins w:id="28" w:author="lc" w:date="2025-02-04T22:00:31Z">
        <w:r>
          <w:rPr>
            <w:rFonts w:hint="eastAsia"/>
            <w:lang w:val="en-US" w:eastAsia="zh-CN"/>
          </w:rPr>
          <w:t>t docum</w:t>
        </w:r>
      </w:ins>
      <w:ins w:id="29" w:author="lc" w:date="2025-02-04T22:00:32Z">
        <w:r>
          <w:rPr>
            <w:rFonts w:hint="eastAsia"/>
            <w:lang w:val="en-US" w:eastAsia="zh-CN"/>
          </w:rPr>
          <w:t>ent</w:t>
        </w:r>
      </w:ins>
      <w:ins w:id="30" w:author="lc" w:date="2025-02-04T21:59:08Z">
        <w:r>
          <w:rPr>
            <w:lang w:eastAsia="zh-CN"/>
          </w:rPr>
          <w:t xml:space="preserve"> for communication among VFL participants</w:t>
        </w:r>
      </w:ins>
      <w:ins w:id="31" w:author="lc" w:date="2025-02-04T22:02:20Z">
        <w:r>
          <w:rPr>
            <w:rFonts w:hint="eastAsia"/>
            <w:lang w:val="en-US" w:eastAsia="zh-CN"/>
          </w:rPr>
          <w:t xml:space="preserve"> </w:t>
        </w:r>
      </w:ins>
      <w:ins w:id="32" w:author="lc" w:date="2025-02-04T22:02:21Z">
        <w:r>
          <w:rPr>
            <w:rFonts w:hint="eastAsia"/>
            <w:lang w:val="en-US" w:eastAsia="zh-CN"/>
          </w:rPr>
          <w:t>shal</w:t>
        </w:r>
      </w:ins>
      <w:ins w:id="33" w:author="lc" w:date="2025-02-04T22:02:22Z">
        <w:r>
          <w:rPr>
            <w:rFonts w:hint="eastAsia"/>
            <w:lang w:val="en-US" w:eastAsia="zh-CN"/>
          </w:rPr>
          <w:t xml:space="preserve">l be </w:t>
        </w:r>
      </w:ins>
      <w:ins w:id="34" w:author="lc" w:date="2025-02-04T22:02:23Z">
        <w:r>
          <w:rPr>
            <w:rFonts w:hint="eastAsia"/>
            <w:lang w:val="en-US" w:eastAsia="zh-CN"/>
          </w:rPr>
          <w:t>u</w:t>
        </w:r>
      </w:ins>
      <w:ins w:id="35" w:author="CMCC" w:date="2025-02-19T22:27:26Z">
        <w:r>
          <w:rPr>
            <w:rFonts w:hint="eastAsia"/>
            <w:lang w:val="en-US" w:eastAsia="zh-CN"/>
          </w:rPr>
          <w:t>sed</w:t>
        </w:r>
      </w:ins>
      <w:ins w:id="36" w:author="lc" w:date="2025-02-04T22:02:23Z">
        <w:del w:id="37" w:author="CMCC" w:date="2025-02-19T22:27:23Z">
          <w:r>
            <w:rPr>
              <w:rFonts w:hint="eastAsia"/>
              <w:lang w:val="en-US" w:eastAsia="zh-CN"/>
            </w:rPr>
            <w:delText>e</w:delText>
          </w:r>
        </w:del>
      </w:ins>
      <w:ins w:id="38" w:author="lc" w:date="2025-02-04T22:02:23Z">
        <w:del w:id="39" w:author="CMCC" w:date="2025-02-19T22:27:22Z">
          <w:r>
            <w:rPr>
              <w:rFonts w:hint="eastAsia"/>
              <w:lang w:val="en-US" w:eastAsia="zh-CN"/>
            </w:rPr>
            <w:delText>sd</w:delText>
          </w:r>
        </w:del>
      </w:ins>
      <w:ins w:id="40" w:author="lc" w:date="2025-02-04T22:02:24Z">
        <w:r>
          <w:rPr>
            <w:rFonts w:hint="eastAsia"/>
            <w:lang w:val="en-US" w:eastAsia="zh-CN"/>
          </w:rPr>
          <w:t>.</w:t>
        </w:r>
      </w:ins>
    </w:p>
    <w:p>
      <w:pPr>
        <w:keepLines/>
        <w:overflowPunct w:val="0"/>
        <w:autoSpaceDE w:val="0"/>
        <w:autoSpaceDN w:val="0"/>
        <w:adjustRightInd w:val="0"/>
        <w:ind w:left="1135" w:hanging="851"/>
        <w:textAlignment w:val="baseline"/>
        <w:rPr>
          <w:rFonts w:eastAsia="等线"/>
          <w:lang w:eastAsia="en-GB"/>
        </w:rPr>
      </w:pPr>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lc">
    <w15:presenceInfo w15:providerId="None" w15:userId="l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32A1"/>
    <w:rsid w:val="00101244"/>
    <w:rsid w:val="001168A8"/>
    <w:rsid w:val="0012476B"/>
    <w:rsid w:val="0012523A"/>
    <w:rsid w:val="00141C1C"/>
    <w:rsid w:val="00145D43"/>
    <w:rsid w:val="001519CF"/>
    <w:rsid w:val="001550CC"/>
    <w:rsid w:val="00156BE0"/>
    <w:rsid w:val="00157CC9"/>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609EF"/>
    <w:rsid w:val="0036231A"/>
    <w:rsid w:val="00374DD4"/>
    <w:rsid w:val="00387434"/>
    <w:rsid w:val="003A14C6"/>
    <w:rsid w:val="003A7B2F"/>
    <w:rsid w:val="003C27DC"/>
    <w:rsid w:val="003C2DBE"/>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62CCC"/>
    <w:rsid w:val="00583B38"/>
    <w:rsid w:val="00592D74"/>
    <w:rsid w:val="005B7732"/>
    <w:rsid w:val="005C1385"/>
    <w:rsid w:val="005E020D"/>
    <w:rsid w:val="005E2C44"/>
    <w:rsid w:val="006017E9"/>
    <w:rsid w:val="006156B1"/>
    <w:rsid w:val="00621188"/>
    <w:rsid w:val="006257ED"/>
    <w:rsid w:val="0065536E"/>
    <w:rsid w:val="00655EB1"/>
    <w:rsid w:val="00665C47"/>
    <w:rsid w:val="00685BB9"/>
    <w:rsid w:val="00695808"/>
    <w:rsid w:val="00695A6C"/>
    <w:rsid w:val="006B46FB"/>
    <w:rsid w:val="006C7F44"/>
    <w:rsid w:val="006E21FB"/>
    <w:rsid w:val="006E3234"/>
    <w:rsid w:val="00710DBB"/>
    <w:rsid w:val="00743D34"/>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6038D"/>
    <w:rsid w:val="00A725C7"/>
    <w:rsid w:val="00A7671C"/>
    <w:rsid w:val="00AA2CBC"/>
    <w:rsid w:val="00AC5820"/>
    <w:rsid w:val="00AC587B"/>
    <w:rsid w:val="00AD1CD8"/>
    <w:rsid w:val="00AE0E29"/>
    <w:rsid w:val="00AE5D14"/>
    <w:rsid w:val="00B13F88"/>
    <w:rsid w:val="00B233FD"/>
    <w:rsid w:val="00B258BB"/>
    <w:rsid w:val="00B3284D"/>
    <w:rsid w:val="00B333D6"/>
    <w:rsid w:val="00B656C9"/>
    <w:rsid w:val="00B67B97"/>
    <w:rsid w:val="00B80BC0"/>
    <w:rsid w:val="00B81D89"/>
    <w:rsid w:val="00B86054"/>
    <w:rsid w:val="00B968C8"/>
    <w:rsid w:val="00BA3EC5"/>
    <w:rsid w:val="00BA51D9"/>
    <w:rsid w:val="00BB5DFC"/>
    <w:rsid w:val="00BD0D10"/>
    <w:rsid w:val="00BD279D"/>
    <w:rsid w:val="00BD6BB8"/>
    <w:rsid w:val="00C06E10"/>
    <w:rsid w:val="00C12D8A"/>
    <w:rsid w:val="00C2419A"/>
    <w:rsid w:val="00C24C40"/>
    <w:rsid w:val="00C34BC7"/>
    <w:rsid w:val="00C66BA2"/>
    <w:rsid w:val="00C858AE"/>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340F"/>
    <w:rsid w:val="00DA12A0"/>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 w:val="05F447A2"/>
    <w:rsid w:val="06645C0C"/>
    <w:rsid w:val="0CE572D9"/>
    <w:rsid w:val="19402714"/>
    <w:rsid w:val="266C01C3"/>
    <w:rsid w:val="2F663A01"/>
    <w:rsid w:val="317668F1"/>
    <w:rsid w:val="35D457B9"/>
    <w:rsid w:val="4D557D51"/>
    <w:rsid w:val="53D16CAA"/>
    <w:rsid w:val="5E125B91"/>
    <w:rsid w:val="7C7A1E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6"/>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1"/>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8"/>
    <w:qFormat/>
    <w:uiPriority w:val="99"/>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4"/>
    <w:qFormat/>
    <w:uiPriority w:val="0"/>
    <w:rPr>
      <w:color w:val="FF0000"/>
    </w:rPr>
  </w:style>
  <w:style w:type="paragraph" w:customStyle="1" w:styleId="122">
    <w:name w:val="B1"/>
    <w:basedOn w:val="15"/>
    <w:link w:val="17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8 字符"/>
    <w:basedOn w:val="90"/>
    <w:link w:val="11"/>
    <w:qFormat/>
    <w:uiPriority w:val="0"/>
    <w:rPr>
      <w:rFonts w:ascii="Arial" w:hAnsi="Arial"/>
      <w:sz w:val="36"/>
      <w:lang w:val="en-GB" w:eastAsia="en-US"/>
    </w:rPr>
  </w:style>
  <w:style w:type="paragraph" w:customStyle="1" w:styleId="163">
    <w:name w:val="Guidance"/>
    <w:basedOn w:val="1"/>
    <w:qFormat/>
    <w:uiPriority w:val="0"/>
    <w:rPr>
      <w:i/>
      <w:color w:val="0000FF"/>
    </w:rPr>
  </w:style>
  <w:style w:type="character" w:customStyle="1" w:styleId="164">
    <w:name w:val="Editor's Note Char Char"/>
    <w:link w:val="121"/>
    <w:qFormat/>
    <w:uiPriority w:val="0"/>
    <w:rPr>
      <w:rFonts w:ascii="Times New Roman" w:hAnsi="Times New Roman"/>
      <w:color w:val="FF0000"/>
      <w:lang w:val="en-GB" w:eastAsia="en-US"/>
    </w:rPr>
  </w:style>
  <w:style w:type="character" w:customStyle="1" w:styleId="165">
    <w:name w:val="标题 1 字符"/>
    <w:basedOn w:val="90"/>
    <w:link w:val="3"/>
    <w:qFormat/>
    <w:uiPriority w:val="0"/>
    <w:rPr>
      <w:rFonts w:ascii="Arial" w:hAnsi="Arial"/>
      <w:sz w:val="36"/>
      <w:lang w:val="en-GB" w:eastAsia="en-US"/>
    </w:rPr>
  </w:style>
  <w:style w:type="character" w:customStyle="1" w:styleId="166">
    <w:name w:val="标题 2 字符"/>
    <w:basedOn w:val="90"/>
    <w:link w:val="4"/>
    <w:qFormat/>
    <w:uiPriority w:val="0"/>
    <w:rPr>
      <w:rFonts w:ascii="Arial" w:hAnsi="Arial"/>
      <w:sz w:val="32"/>
      <w:lang w:val="en-GB" w:eastAsia="en-US"/>
    </w:rPr>
  </w:style>
  <w:style w:type="character" w:customStyle="1" w:styleId="167">
    <w:name w:val="标题 3 字符"/>
    <w:basedOn w:val="90"/>
    <w:link w:val="5"/>
    <w:qFormat/>
    <w:uiPriority w:val="0"/>
    <w:rPr>
      <w:rFonts w:ascii="Arial" w:hAnsi="Arial"/>
      <w:sz w:val="28"/>
      <w:lang w:val="en-GB" w:eastAsia="en-US"/>
    </w:rPr>
  </w:style>
  <w:style w:type="character" w:customStyle="1" w:styleId="168">
    <w:name w:val="NO Char"/>
    <w:link w:val="103"/>
    <w:qFormat/>
    <w:locked/>
    <w:uiPriority w:val="99"/>
    <w:rPr>
      <w:rFonts w:ascii="Times New Roman" w:hAnsi="Times New Roman"/>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Editor's Note Char"/>
    <w:qFormat/>
    <w:locked/>
    <w:uiPriority w:val="0"/>
    <w:rPr>
      <w:rFonts w:ascii="Times New Roman" w:hAnsi="Times New Roman"/>
      <w:color w:val="FF0000"/>
      <w:lang w:val="en-GB" w:eastAsia="en-US"/>
    </w:rPr>
  </w:style>
  <w:style w:type="character" w:customStyle="1" w:styleId="171">
    <w:name w:val="TF (文字)"/>
    <w:link w:val="101"/>
    <w:qFormat/>
    <w:locked/>
    <w:uiPriority w:val="0"/>
    <w:rPr>
      <w:rFonts w:ascii="Arial" w:hAnsi="Arial"/>
      <w:b/>
      <w:lang w:val="en-GB" w:eastAsia="en-US"/>
    </w:rPr>
  </w:style>
  <w:style w:type="character" w:customStyle="1" w:styleId="172">
    <w:name w:val="B1 Char"/>
    <w:link w:val="122"/>
    <w:qFormat/>
    <w:uiPriority w:val="0"/>
    <w:rPr>
      <w:rFonts w:ascii="Times New Roman" w:hAnsi="Times New Roman"/>
      <w:lang w:val="en-GB" w:eastAsia="en-US"/>
    </w:rPr>
  </w:style>
  <w:style w:type="paragraph" w:customStyle="1" w:styleId="173">
    <w:name w:val="编写建议"/>
    <w:basedOn w:val="1"/>
    <w:qFormat/>
    <w:uiPriority w:val="0"/>
    <w:pPr>
      <w:widowControl w:val="0"/>
      <w:autoSpaceDE w:val="0"/>
      <w:autoSpaceDN w:val="0"/>
      <w:adjustRightInd w:val="0"/>
      <w:spacing w:after="0" w:line="360" w:lineRule="auto"/>
      <w:ind w:left="1134"/>
      <w:jc w:val="both"/>
    </w:pPr>
    <w:rPr>
      <w:i/>
      <w:color w:val="0000FF"/>
      <w:sz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4843</Words>
  <Characters>27608</Characters>
  <Lines>230</Lines>
  <Paragraphs>64</Paragraphs>
  <TotalTime>7</TotalTime>
  <ScaleCrop>false</ScaleCrop>
  <LinksUpToDate>false</LinksUpToDate>
  <CharactersWithSpaces>32387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2024-11-18T17:14:00Z</dcterms:created>
  <dc:creator>Michael Sanders, John M Meredith</dc:creator>
  <cp:lastModifiedBy>cl</cp:lastModifiedBy>
  <cp:lastPrinted>2411-12-31T23:00:00Z</cp:lastPrinted>
  <dcterms:modified xsi:type="dcterms:W3CDTF">2025-02-21T06:23:57Z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867751E79B43403DA5CAD5947EC16E26</vt:lpwstr>
  </property>
</Properties>
</file>