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4F896" w14:textId="4F6711C7" w:rsidR="003E5A85" w:rsidRPr="00945744" w:rsidRDefault="003E5A85" w:rsidP="003E5A85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</w:t>
      </w:r>
      <w:r>
        <w:rPr>
          <w:b/>
          <w:noProof/>
          <w:sz w:val="22"/>
          <w:szCs w:val="22"/>
        </w:rPr>
        <w:t>11</w:t>
      </w:r>
    </w:p>
    <w:p w14:paraId="52816031" w14:textId="77777777" w:rsidR="003E5A85" w:rsidRPr="00945744" w:rsidRDefault="003E5A85" w:rsidP="003E5A85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0"/>
    <w:p w14:paraId="415B8CE8" w14:textId="0470EA46" w:rsidR="001E2B02" w:rsidRPr="003E5A85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2"/>
          <w:szCs w:val="22"/>
        </w:rPr>
      </w:pPr>
      <w:r w:rsidRPr="003E5A85">
        <w:rPr>
          <w:b/>
          <w:noProof/>
          <w:color w:val="D9D9D9" w:themeColor="background1" w:themeShade="D9"/>
          <w:sz w:val="22"/>
          <w:szCs w:val="22"/>
        </w:rPr>
        <w:t>3GPP TSG-</w:t>
      </w:r>
      <w:r w:rsidR="00817940" w:rsidRPr="003E5A85">
        <w:rPr>
          <w:color w:val="D9D9D9" w:themeColor="background1" w:themeShade="D9"/>
          <w:sz w:val="22"/>
          <w:szCs w:val="22"/>
        </w:rPr>
        <w:fldChar w:fldCharType="begin"/>
      </w:r>
      <w:r w:rsidR="00817940" w:rsidRPr="003E5A85">
        <w:rPr>
          <w:color w:val="D9D9D9" w:themeColor="background1" w:themeShade="D9"/>
          <w:sz w:val="22"/>
          <w:szCs w:val="22"/>
        </w:rPr>
        <w:instrText xml:space="preserve"> DOCPROPERTY  TSG/WGRef  \* MERGEFORMAT </w:instrText>
      </w:r>
      <w:r w:rsidR="00817940" w:rsidRPr="003E5A85">
        <w:rPr>
          <w:color w:val="D9D9D9" w:themeColor="background1" w:themeShade="D9"/>
          <w:sz w:val="22"/>
          <w:szCs w:val="22"/>
        </w:rPr>
        <w:fldChar w:fldCharType="separate"/>
      </w:r>
      <w:r w:rsidRPr="003E5A85">
        <w:rPr>
          <w:b/>
          <w:noProof/>
          <w:color w:val="D9D9D9" w:themeColor="background1" w:themeShade="D9"/>
          <w:sz w:val="22"/>
          <w:szCs w:val="22"/>
        </w:rPr>
        <w:t>CT3</w:t>
      </w:r>
      <w:r w:rsidR="00817940" w:rsidRPr="003E5A85">
        <w:rPr>
          <w:b/>
          <w:noProof/>
          <w:color w:val="D9D9D9" w:themeColor="background1" w:themeShade="D9"/>
          <w:sz w:val="22"/>
          <w:szCs w:val="22"/>
        </w:rPr>
        <w:fldChar w:fldCharType="end"/>
      </w:r>
      <w:r w:rsidRPr="003E5A85">
        <w:rPr>
          <w:b/>
          <w:noProof/>
          <w:color w:val="D9D9D9" w:themeColor="background1" w:themeShade="D9"/>
          <w:sz w:val="22"/>
          <w:szCs w:val="22"/>
        </w:rPr>
        <w:t xml:space="preserve"> Meeting #</w:t>
      </w:r>
      <w:r w:rsidR="00817940" w:rsidRPr="003E5A85">
        <w:rPr>
          <w:color w:val="D9D9D9" w:themeColor="background1" w:themeShade="D9"/>
          <w:sz w:val="22"/>
          <w:szCs w:val="22"/>
        </w:rPr>
        <w:fldChar w:fldCharType="begin"/>
      </w:r>
      <w:r w:rsidR="00817940" w:rsidRPr="003E5A85">
        <w:rPr>
          <w:color w:val="D9D9D9" w:themeColor="background1" w:themeShade="D9"/>
          <w:sz w:val="22"/>
          <w:szCs w:val="22"/>
        </w:rPr>
        <w:instrText xml:space="preserve"> DOCPROPERTY  MtgSeq  \* MERGEFORMAT </w:instrText>
      </w:r>
      <w:r w:rsidR="00817940" w:rsidRPr="003E5A85">
        <w:rPr>
          <w:color w:val="D9D9D9" w:themeColor="background1" w:themeShade="D9"/>
          <w:sz w:val="22"/>
          <w:szCs w:val="22"/>
        </w:rPr>
        <w:fldChar w:fldCharType="separate"/>
      </w:r>
      <w:r w:rsidRPr="003E5A85">
        <w:rPr>
          <w:b/>
          <w:noProof/>
          <w:color w:val="D9D9D9" w:themeColor="background1" w:themeShade="D9"/>
          <w:sz w:val="22"/>
          <w:szCs w:val="22"/>
        </w:rPr>
        <w:t>13</w:t>
      </w:r>
      <w:r w:rsidR="00817940" w:rsidRPr="003E5A85">
        <w:rPr>
          <w:b/>
          <w:noProof/>
          <w:color w:val="D9D9D9" w:themeColor="background1" w:themeShade="D9"/>
          <w:sz w:val="22"/>
          <w:szCs w:val="22"/>
        </w:rPr>
        <w:fldChar w:fldCharType="end"/>
      </w:r>
      <w:r w:rsidRPr="003E5A85">
        <w:rPr>
          <w:b/>
          <w:noProof/>
          <w:color w:val="D9D9D9" w:themeColor="background1" w:themeShade="D9"/>
          <w:sz w:val="22"/>
          <w:szCs w:val="22"/>
        </w:rPr>
        <w:t>4</w:t>
      </w:r>
      <w:r w:rsidRPr="003E5A85">
        <w:rPr>
          <w:b/>
          <w:i/>
          <w:noProof/>
          <w:color w:val="D9D9D9" w:themeColor="background1" w:themeShade="D9"/>
          <w:sz w:val="22"/>
          <w:szCs w:val="22"/>
        </w:rPr>
        <w:tab/>
      </w:r>
      <w:r w:rsidR="00817940" w:rsidRPr="003E5A85">
        <w:rPr>
          <w:color w:val="D9D9D9" w:themeColor="background1" w:themeShade="D9"/>
          <w:sz w:val="22"/>
          <w:szCs w:val="22"/>
        </w:rPr>
        <w:fldChar w:fldCharType="begin"/>
      </w:r>
      <w:r w:rsidR="00817940" w:rsidRPr="003E5A85">
        <w:rPr>
          <w:color w:val="D9D9D9" w:themeColor="background1" w:themeShade="D9"/>
          <w:sz w:val="22"/>
          <w:szCs w:val="22"/>
        </w:rPr>
        <w:instrText xml:space="preserve"> DOCPROPERTY  Tdoc#  \* MERGEFORMAT </w:instrText>
      </w:r>
      <w:r w:rsidR="00817940" w:rsidRPr="003E5A85">
        <w:rPr>
          <w:color w:val="D9D9D9" w:themeColor="background1" w:themeShade="D9"/>
          <w:sz w:val="22"/>
          <w:szCs w:val="22"/>
        </w:rPr>
        <w:fldChar w:fldCharType="separate"/>
      </w:r>
      <w:r w:rsidRPr="003E5A85">
        <w:rPr>
          <w:b/>
          <w:i/>
          <w:noProof/>
          <w:color w:val="D9D9D9" w:themeColor="background1" w:themeShade="D9"/>
          <w:sz w:val="22"/>
          <w:szCs w:val="22"/>
        </w:rPr>
        <w:t>C3-24</w:t>
      </w:r>
      <w:r w:rsidR="00817940" w:rsidRPr="003E5A85">
        <w:rPr>
          <w:b/>
          <w:i/>
          <w:noProof/>
          <w:color w:val="D9D9D9" w:themeColor="background1" w:themeShade="D9"/>
          <w:sz w:val="22"/>
          <w:szCs w:val="22"/>
        </w:rPr>
        <w:fldChar w:fldCharType="end"/>
      </w:r>
      <w:r w:rsidRPr="003E5A85">
        <w:rPr>
          <w:b/>
          <w:i/>
          <w:noProof/>
          <w:color w:val="D9D9D9" w:themeColor="background1" w:themeShade="D9"/>
          <w:sz w:val="22"/>
          <w:szCs w:val="22"/>
        </w:rPr>
        <w:t>2</w:t>
      </w:r>
      <w:r w:rsidR="00DA656E" w:rsidRPr="003E5A85">
        <w:rPr>
          <w:b/>
          <w:i/>
          <w:noProof/>
          <w:color w:val="D9D9D9" w:themeColor="background1" w:themeShade="D9"/>
          <w:sz w:val="22"/>
          <w:szCs w:val="22"/>
        </w:rPr>
        <w:t>466</w:t>
      </w:r>
    </w:p>
    <w:p w14:paraId="70396609" w14:textId="3DDF2BB6" w:rsidR="001E2B02" w:rsidRPr="003E5A85" w:rsidRDefault="00000000" w:rsidP="001E2B02">
      <w:pPr>
        <w:pStyle w:val="CRCoverPage"/>
        <w:outlineLvl w:val="0"/>
        <w:rPr>
          <w:b/>
          <w:noProof/>
          <w:color w:val="D9D9D9" w:themeColor="background1" w:themeShade="D9"/>
          <w:sz w:val="22"/>
          <w:szCs w:val="22"/>
        </w:rPr>
      </w:pPr>
      <w:hyperlink r:id="rId13" w:tgtFrame="_blank" w:history="1">
        <w:r w:rsidR="001E2B02" w:rsidRPr="003E5A85">
          <w:rPr>
            <w:b/>
            <w:noProof/>
            <w:color w:val="D9D9D9" w:themeColor="background1" w:themeShade="D9"/>
            <w:sz w:val="22"/>
            <w:szCs w:val="22"/>
          </w:rPr>
          <w:t>Changsha</w:t>
        </w:r>
      </w:hyperlink>
      <w:r w:rsidR="001E2B02" w:rsidRPr="003E5A85">
        <w:rPr>
          <w:b/>
          <w:noProof/>
          <w:color w:val="D9D9D9" w:themeColor="background1" w:themeShade="D9"/>
          <w:sz w:val="22"/>
          <w:szCs w:val="22"/>
        </w:rPr>
        <w:t>, China</w:t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fldChar w:fldCharType="begin"/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instrText xml:space="preserve"> DOCPROPERTY  Country  \* MERGEFORMAT </w:instrText>
      </w:r>
      <w:r w:rsidRPr="003E5A85">
        <w:rPr>
          <w:b/>
          <w:noProof/>
          <w:color w:val="D9D9D9" w:themeColor="background1" w:themeShade="D9"/>
          <w:sz w:val="22"/>
          <w:szCs w:val="22"/>
        </w:rPr>
        <w:fldChar w:fldCharType="separate"/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fldChar w:fldCharType="end"/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t>, 15</w:t>
      </w:r>
      <w:r w:rsidR="001E2B02" w:rsidRPr="003E5A85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t xml:space="preserve"> April – </w:t>
      </w:r>
      <w:r w:rsidR="00817940" w:rsidRPr="003E5A85">
        <w:rPr>
          <w:color w:val="D9D9D9" w:themeColor="background1" w:themeShade="D9"/>
          <w:sz w:val="22"/>
          <w:szCs w:val="22"/>
        </w:rPr>
        <w:fldChar w:fldCharType="begin"/>
      </w:r>
      <w:r w:rsidR="00817940" w:rsidRPr="003E5A85">
        <w:rPr>
          <w:color w:val="D9D9D9" w:themeColor="background1" w:themeShade="D9"/>
          <w:sz w:val="22"/>
          <w:szCs w:val="22"/>
        </w:rPr>
        <w:instrText xml:space="preserve"> DOCPROPERTY  EndDate  \* MERGEFORMAT </w:instrText>
      </w:r>
      <w:r w:rsidR="00817940" w:rsidRPr="003E5A85">
        <w:rPr>
          <w:color w:val="D9D9D9" w:themeColor="background1" w:themeShade="D9"/>
          <w:sz w:val="22"/>
          <w:szCs w:val="22"/>
        </w:rPr>
        <w:fldChar w:fldCharType="separate"/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t>19</w:t>
      </w:r>
      <w:r w:rsidR="001E2B02" w:rsidRPr="003E5A85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t xml:space="preserve"> April 202</w:t>
      </w:r>
      <w:r w:rsidR="00817940" w:rsidRPr="003E5A85">
        <w:rPr>
          <w:b/>
          <w:noProof/>
          <w:color w:val="D9D9D9" w:themeColor="background1" w:themeShade="D9"/>
          <w:sz w:val="22"/>
          <w:szCs w:val="22"/>
        </w:rPr>
        <w:fldChar w:fldCharType="end"/>
      </w:r>
      <w:r w:rsidR="001E2B02" w:rsidRPr="003E5A85">
        <w:rPr>
          <w:b/>
          <w:noProof/>
          <w:color w:val="D9D9D9" w:themeColor="background1" w:themeShade="D9"/>
          <w:sz w:val="22"/>
          <w:szCs w:val="22"/>
        </w:rPr>
        <w:t>4</w:t>
      </w:r>
      <w:r w:rsidR="00DA656E" w:rsidRPr="003E5A85">
        <w:rPr>
          <w:b/>
          <w:noProof/>
          <w:color w:val="D9D9D9" w:themeColor="background1" w:themeShade="D9"/>
          <w:sz w:val="22"/>
          <w:szCs w:val="22"/>
        </w:rPr>
        <w:t xml:space="preserve"> </w:t>
      </w:r>
      <w:r w:rsidR="00DA656E" w:rsidRPr="003E5A85">
        <w:rPr>
          <w:b/>
          <w:noProof/>
          <w:color w:val="D9D9D9" w:themeColor="background1" w:themeShade="D9"/>
          <w:sz w:val="22"/>
          <w:szCs w:val="22"/>
        </w:rPr>
        <w:tab/>
      </w:r>
      <w:r w:rsidR="003E5A85">
        <w:rPr>
          <w:b/>
          <w:noProof/>
          <w:color w:val="D9D9D9" w:themeColor="background1" w:themeShade="D9"/>
          <w:sz w:val="22"/>
          <w:szCs w:val="22"/>
        </w:rPr>
        <w:tab/>
      </w:r>
      <w:r w:rsidR="003E5A85">
        <w:rPr>
          <w:b/>
          <w:noProof/>
          <w:color w:val="D9D9D9" w:themeColor="background1" w:themeShade="D9"/>
          <w:sz w:val="22"/>
          <w:szCs w:val="22"/>
        </w:rPr>
        <w:tab/>
      </w:r>
      <w:r w:rsidR="003E5A85">
        <w:rPr>
          <w:b/>
          <w:noProof/>
          <w:color w:val="D9D9D9" w:themeColor="background1" w:themeShade="D9"/>
          <w:sz w:val="22"/>
          <w:szCs w:val="22"/>
        </w:rPr>
        <w:tab/>
      </w:r>
      <w:r w:rsidR="003E5A85">
        <w:rPr>
          <w:b/>
          <w:noProof/>
          <w:color w:val="D9D9D9" w:themeColor="background1" w:themeShade="D9"/>
          <w:sz w:val="22"/>
          <w:szCs w:val="22"/>
        </w:rPr>
        <w:tab/>
        <w:t xml:space="preserve">    </w:t>
      </w:r>
      <w:r w:rsidR="00DA656E" w:rsidRPr="003E5A85">
        <w:rPr>
          <w:b/>
          <w:noProof/>
          <w:color w:val="D9D9D9" w:themeColor="background1" w:themeShade="D9"/>
          <w:sz w:val="22"/>
          <w:szCs w:val="22"/>
        </w:rPr>
        <w:t>was C3-242084</w:t>
      </w:r>
    </w:p>
    <w:p w14:paraId="5813D9EA" w14:textId="77777777" w:rsidR="00FA4D57" w:rsidRPr="003E5A85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color w:val="D9D9D9" w:themeColor="background1" w:themeShade="D9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73CCCF1F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1E2B02">
        <w:rPr>
          <w:rFonts w:ascii="Arial" w:hAnsi="Arial" w:cs="Arial"/>
          <w:b/>
          <w:sz w:val="22"/>
          <w:szCs w:val="22"/>
        </w:rPr>
        <w:t>NSI</w:t>
      </w:r>
      <w:r w:rsidR="00DA656E">
        <w:rPr>
          <w:rFonts w:ascii="Arial" w:hAnsi="Arial" w:cs="Arial"/>
          <w:b/>
          <w:sz w:val="22"/>
          <w:szCs w:val="22"/>
        </w:rPr>
        <w:t xml:space="preserve"> and Target Service Area</w:t>
      </w:r>
      <w:r w:rsidR="001E2B02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6F19E9D1" w14:textId="5B0EF4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6851">
        <w:rPr>
          <w:rFonts w:ascii="Arial" w:hAnsi="Arial" w:cs="Arial"/>
          <w:b/>
          <w:bCs/>
          <w:sz w:val="22"/>
          <w:szCs w:val="22"/>
        </w:rPr>
        <w:t>NSCALE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6"/>
      <w:bookmarkEnd w:id="7"/>
      <w:bookmarkEnd w:id="8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5BA9B196" w:rsidR="00D02424" w:rsidRPr="003E5A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3E5A85">
        <w:rPr>
          <w:rFonts w:ascii="Arial" w:hAnsi="Arial" w:cs="Arial"/>
          <w:b/>
          <w:sz w:val="22"/>
          <w:szCs w:val="22"/>
          <w:lang w:val="fr-FR"/>
        </w:rPr>
        <w:t>To:</w:t>
      </w:r>
      <w:r w:rsidRPr="003E5A8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5E27C3" w:rsidRPr="003E5A85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3E5A85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4B25E5" w:rsidRPr="003E5A8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A4D57" w:rsidRPr="003E5A85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01357350" w14:textId="27EBBE62" w:rsidR="00B97703" w:rsidRPr="003E5A85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3E5A85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3E5A8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9"/>
      <w:bookmarkEnd w:id="10"/>
      <w:bookmarkEnd w:id="11"/>
      <w:r w:rsidR="00E34EDA" w:rsidRPr="003E5A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B2C0E" w:rsidRPr="003E5A8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A4D57" w:rsidRPr="003E5A85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6A3D77" w:rsidRPr="003E5A85">
        <w:rPr>
          <w:rFonts w:ascii="Arial" w:hAnsi="Arial" w:cs="Arial"/>
          <w:b/>
          <w:bCs/>
          <w:sz w:val="22"/>
          <w:szCs w:val="22"/>
          <w:lang w:val="fr-FR"/>
        </w:rPr>
        <w:t>, 3GPP SA5</w:t>
      </w:r>
    </w:p>
    <w:p w14:paraId="7A958672" w14:textId="77777777" w:rsidR="00B97703" w:rsidRPr="003E5A85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2" w:name="OLE_LINK45"/>
      <w:bookmarkStart w:id="13" w:name="OLE_LINK46"/>
      <w:r w:rsidRPr="003E5A8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2"/>
      <w:bookmarkEnd w:id="13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4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5" w:name="_Hlk109550030"/>
      <w:r>
        <w:t>1</w:t>
      </w:r>
      <w:r w:rsidR="002F1940">
        <w:tab/>
      </w:r>
      <w:r>
        <w:t>Overall description</w:t>
      </w:r>
    </w:p>
    <w:p w14:paraId="489CE600" w14:textId="5BA200A8" w:rsidR="00FA4D57" w:rsidRDefault="001E2B02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6" w:name="_Hlk109550148"/>
      <w:bookmarkEnd w:id="15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S2-2403703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, SA2 LS reply to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LS on Clarification related to the information exposed by the 5GC to NSCE server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 provided below clarification: </w:t>
      </w:r>
    </w:p>
    <w:p w14:paraId="764BD3A0" w14:textId="77777777" w:rsidR="006A3D77" w:rsidRPr="006A3D77" w:rsidRDefault="006A3D77" w:rsidP="006A3D77">
      <w:pPr>
        <w:pStyle w:val="B1"/>
        <w:ind w:left="0" w:firstLine="0"/>
        <w:rPr>
          <w:i/>
          <w:iCs/>
        </w:rPr>
      </w:pPr>
      <w:r w:rsidRPr="006A3D77">
        <w:rPr>
          <w:rFonts w:cs="Arial"/>
          <w:i/>
          <w:iCs/>
          <w:lang w:eastAsia="zh-CN"/>
        </w:rPr>
        <w:t xml:space="preserve">The output of Network Slice load statistics/prediction as described in Table 6.3.3A-2 and Table 6.3.3A-4 of TS 23.288 can be exposed, although it was not exposed to the AF, and the attached CR (TS 23.288 CR#1061) fixed it. </w:t>
      </w:r>
      <w:r w:rsidRPr="006A3D77">
        <w:rPr>
          <w:rFonts w:cs="Arial"/>
          <w:i/>
          <w:iCs/>
          <w:highlight w:val="yellow"/>
          <w:lang w:eastAsia="zh-CN"/>
        </w:rPr>
        <w:t xml:space="preserve">Note that Network Slice Instance load statistics/prediction as described in Table 6.3.3A-1 and Table 6.3.3A-3 of TS 23.288 should not be exposed as Network Slice instance is within 5GC and its assumed </w:t>
      </w:r>
      <w:r w:rsidRPr="00BB0B55">
        <w:rPr>
          <w:rFonts w:cs="Arial"/>
          <w:i/>
          <w:iCs/>
          <w:highlight w:val="yellow"/>
          <w:u w:val="single"/>
          <w:lang w:eastAsia="zh-CN"/>
        </w:rPr>
        <w:t>external AF or NEF is not aware of Network Slice Instance.</w:t>
      </w:r>
      <w:r w:rsidRPr="006A3D77">
        <w:rPr>
          <w:rFonts w:cs="Arial"/>
          <w:i/>
          <w:iCs/>
          <w:highlight w:val="yellow"/>
          <w:lang w:eastAsia="zh-CN"/>
        </w:rPr>
        <w:t xml:space="preserve"> Besides, as described in TS 33.501 clause 5.9.2.3, NEF and the AF shall fulfil the security requirements that include that “</w:t>
      </w:r>
      <w:r w:rsidRPr="006A3D77">
        <w:rPr>
          <w:i/>
          <w:iCs/>
          <w:highlight w:val="yellow"/>
        </w:rPr>
        <w:t>Internal 5G Core information such as DNN, S-NSSAI etc., shall not be sent outside the 3GPP operator domain.”</w:t>
      </w:r>
      <w:r w:rsidRPr="006A3D77">
        <w:rPr>
          <w:rFonts w:cs="Arial"/>
          <w:i/>
          <w:iCs/>
          <w:lang w:eastAsia="zh-CN"/>
        </w:rPr>
        <w:t xml:space="preserve"> But there is no agreement in SA2 whether a possible </w:t>
      </w:r>
      <w:r w:rsidRPr="006A3D77">
        <w:rPr>
          <w:i/>
          <w:iCs/>
        </w:rPr>
        <w:t>associated NSI ID in Load Level Analytics/predictions can be exposed or not to a trusted AF or an NEF.</w:t>
      </w:r>
    </w:p>
    <w:p w14:paraId="2C0868AC" w14:textId="63B8B27B" w:rsidR="001E2B02" w:rsidRPr="00F92032" w:rsidRDefault="006A3D77" w:rsidP="00FA4D57">
      <w:pPr>
        <w:pStyle w:val="pf0"/>
        <w:rPr>
          <w:rFonts w:eastAsiaTheme="minorEastAsia" w:cs="Shonar Bangla"/>
          <w:lang w:val="en-GB" w:eastAsia="en-GB" w:bidi="bn-IN"/>
        </w:rPr>
      </w:pPr>
      <w:r w:rsidRPr="00F92032">
        <w:rPr>
          <w:rFonts w:eastAsiaTheme="minorEastAsia" w:cs="Shonar Bangla"/>
          <w:lang w:val="en-GB" w:eastAsia="en-GB" w:bidi="bn-IN"/>
        </w:rPr>
        <w:t>As per TS 23.435:</w:t>
      </w:r>
    </w:p>
    <w:p w14:paraId="3AC82F0D" w14:textId="77777777" w:rsidR="0080017D" w:rsidRPr="00975BFD" w:rsidRDefault="0080017D" w:rsidP="0080017D">
      <w:pPr>
        <w:pStyle w:val="Heading3"/>
      </w:pPr>
      <w:bookmarkStart w:id="17" w:name="_Toc134011732"/>
      <w:bookmarkStart w:id="18" w:name="_Toc155365250"/>
      <w:r w:rsidRPr="00975BFD">
        <w:t>9.</w:t>
      </w:r>
      <w:r w:rsidRPr="00975BFD">
        <w:rPr>
          <w:lang w:eastAsia="zh-CN"/>
        </w:rPr>
        <w:t>3</w:t>
      </w:r>
      <w:r w:rsidRPr="00975BFD">
        <w:t>.1</w:t>
      </w:r>
      <w:r w:rsidRPr="00975BFD">
        <w:tab/>
        <w:t>General</w:t>
      </w:r>
      <w:bookmarkEnd w:id="17"/>
      <w:bookmarkEnd w:id="18"/>
    </w:p>
    <w:p w14:paraId="2CC1CA22" w14:textId="77777777" w:rsidR="0080017D" w:rsidRDefault="0080017D" w:rsidP="0080017D">
      <w:pPr>
        <w:rPr>
          <w:bCs/>
        </w:rPr>
      </w:pPr>
      <w:r w:rsidRPr="00975BFD">
        <w:t xml:space="preserve">This functionality is a service related to the translation of the service API as invoked by the end applications to slice APIs based on the API configuration and application to slice mapping. </w:t>
      </w:r>
      <w:r w:rsidRPr="0080017D">
        <w:rPr>
          <w:bCs/>
          <w:highlight w:val="yellow"/>
        </w:rPr>
        <w:t>Slice APIs can be defined as customized/tailored sets of service APIs (which can be either NEF northbound APIs or OAM provided APIs or enabler layer/SEAL provided APIs) and can be mapped to particular slice instances.</w:t>
      </w:r>
      <w:r w:rsidRPr="00975BFD">
        <w:rPr>
          <w:bCs/>
        </w:rPr>
        <w:t xml:space="preserve"> The slice APIs can be a bundled or combined API comprising of different types of APIs, which will be used to expose the telco (5GS/SEAL)-provided services as needed by the applications of the slice customer. </w:t>
      </w:r>
      <w:r w:rsidRPr="0080017D">
        <w:rPr>
          <w:bCs/>
          <w:highlight w:val="yellow"/>
        </w:rPr>
        <w:t>Each slice API may be configured per network slice instance.</w:t>
      </w:r>
      <w:r w:rsidRPr="00975BFD">
        <w:rPr>
          <w:bCs/>
        </w:rPr>
        <w:t xml:space="preserve"> </w:t>
      </w:r>
    </w:p>
    <w:p w14:paraId="786477AA" w14:textId="77777777" w:rsidR="0080017D" w:rsidRPr="00975BFD" w:rsidRDefault="0080017D" w:rsidP="0080017D">
      <w:pPr>
        <w:pStyle w:val="Heading4"/>
        <w:rPr>
          <w:bCs/>
        </w:rPr>
      </w:pPr>
      <w:bookmarkStart w:id="19" w:name="_Toc134011837"/>
      <w:bookmarkStart w:id="20" w:name="_Toc155365355"/>
      <w:r w:rsidRPr="00975BFD">
        <w:rPr>
          <w:bCs/>
        </w:rPr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.2.2</w:t>
      </w:r>
      <w:r w:rsidRPr="00975BFD">
        <w:rPr>
          <w:bCs/>
        </w:rPr>
        <w:tab/>
        <w:t>Network slice related performance and analytics report subscription and report</w:t>
      </w:r>
      <w:bookmarkEnd w:id="19"/>
      <w:bookmarkEnd w:id="20"/>
    </w:p>
    <w:p w14:paraId="7113C54F" w14:textId="17E23AB5" w:rsidR="0080017D" w:rsidRDefault="0080017D" w:rsidP="0080017D">
      <w:pPr>
        <w:pStyle w:val="B1"/>
      </w:pPr>
      <w:r w:rsidRPr="00975BFD">
        <w:t>3.</w:t>
      </w:r>
      <w:r w:rsidRPr="00975BFD">
        <w:tab/>
      </w:r>
      <w:r w:rsidRPr="0080017D">
        <w:rPr>
          <w:highlight w:val="yellow"/>
        </w:rPr>
        <w:t>NSCE server correlates the performance data of network slice instance</w:t>
      </w:r>
      <w:r w:rsidRPr="00975BFD">
        <w:t>, the analytics data of group of UEs and the KQI/QoE data to generate the performance data and analytics data report as required by VAL server.</w:t>
      </w:r>
    </w:p>
    <w:p w14:paraId="209F121A" w14:textId="77777777" w:rsidR="000C7E45" w:rsidRPr="00975BFD" w:rsidRDefault="000C7E45" w:rsidP="000C7E45">
      <w:pPr>
        <w:pStyle w:val="Heading4"/>
        <w:rPr>
          <w:bCs/>
          <w:lang w:eastAsia="zh-CN"/>
        </w:rPr>
      </w:pPr>
      <w:bookmarkStart w:id="21" w:name="_Toc134011838"/>
      <w:bookmarkStart w:id="22" w:name="_Toc155365356"/>
      <w:r w:rsidRPr="00975BFD">
        <w:rPr>
          <w:bCs/>
        </w:rPr>
        <w:lastRenderedPageBreak/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</w:t>
      </w:r>
      <w:r w:rsidRPr="00975BFD">
        <w:rPr>
          <w:bCs/>
          <w:lang w:eastAsia="zh-CN"/>
        </w:rPr>
        <w:t>3</w:t>
      </w:r>
      <w:r w:rsidRPr="00975BFD">
        <w:rPr>
          <w:bCs/>
        </w:rPr>
        <w:tab/>
        <w:t xml:space="preserve">Multiple slices related performance and analytics </w:t>
      </w:r>
      <w:r w:rsidRPr="00975BFD">
        <w:t xml:space="preserve">consolidated </w:t>
      </w:r>
      <w:r w:rsidRPr="00975BFD">
        <w:rPr>
          <w:bCs/>
        </w:rPr>
        <w:t>report request</w:t>
      </w:r>
      <w:bookmarkEnd w:id="21"/>
      <w:bookmarkEnd w:id="22"/>
    </w:p>
    <w:p w14:paraId="6173555F" w14:textId="77FF2B8E" w:rsidR="000C7E45" w:rsidRPr="000C7E45" w:rsidRDefault="000C7E45" w:rsidP="000C7E45">
      <w:pPr>
        <w:pStyle w:val="B1"/>
        <w:rPr>
          <w:rFonts w:eastAsia="SimSun"/>
          <w:lang w:eastAsia="zh-CN"/>
        </w:rPr>
      </w:pPr>
      <w:r w:rsidRPr="00975BFD">
        <w:t>5.</w:t>
      </w:r>
      <w:r w:rsidRPr="00975BFD">
        <w:tab/>
      </w:r>
      <w:r w:rsidRPr="000C7E45">
        <w:rPr>
          <w:highlight w:val="yellow"/>
        </w:rPr>
        <w:t>The NSCE server verifies and analyses analytics data of network slice instances that is received from MDE/NWDAF</w:t>
      </w:r>
      <w:r w:rsidRPr="00975BFD">
        <w:t xml:space="preserve"> about both PNI-NPN and PLMN slices, then NSCE server makes consolidated performance report among different kinds of network slices in specific period of time/location zone.</w:t>
      </w:r>
    </w:p>
    <w:p w14:paraId="539081E2" w14:textId="77777777" w:rsidR="0080017D" w:rsidRPr="00975BFD" w:rsidRDefault="0080017D" w:rsidP="0080017D">
      <w:pPr>
        <w:pStyle w:val="Heading4"/>
      </w:pPr>
      <w:bookmarkStart w:id="23" w:name="_Toc134011868"/>
      <w:bookmarkStart w:id="24" w:name="_Toc155365386"/>
      <w:r w:rsidRPr="00975BFD">
        <w:t>9.9.2.1</w:t>
      </w:r>
      <w:r w:rsidRPr="00975BFD">
        <w:tab/>
        <w:t>Procedures on slice API configuration</w:t>
      </w:r>
      <w:bookmarkEnd w:id="23"/>
      <w:bookmarkEnd w:id="24"/>
    </w:p>
    <w:p w14:paraId="408FB052" w14:textId="02A2A976" w:rsidR="00C60473" w:rsidRDefault="0080017D" w:rsidP="00C60473">
      <w:pPr>
        <w:pStyle w:val="B2"/>
      </w:pPr>
      <w:r w:rsidRPr="00975BFD">
        <w:t>b.</w:t>
      </w:r>
      <w:r w:rsidRPr="00975BFD">
        <w:tab/>
        <w:t xml:space="preserve">S-NSCE server may also interact with OAM to query on the target slice availability and the up-to-date configured slice parameters e.g. slice RRM policies, </w:t>
      </w:r>
      <w:r w:rsidRPr="0080017D">
        <w:rPr>
          <w:highlight w:val="yellow"/>
        </w:rPr>
        <w:t>modification of the NSI/NSSI resources</w:t>
      </w:r>
      <w:r w:rsidRPr="00975BFD">
        <w:t xml:space="preserve"> (see TS 28.531 [8], 5.1.12) at the target service area and measurements for the slice at the target area.</w:t>
      </w:r>
    </w:p>
    <w:p w14:paraId="36E64FBF" w14:textId="77777777" w:rsidR="00C60473" w:rsidRDefault="00C60473" w:rsidP="00C60473">
      <w:pPr>
        <w:pStyle w:val="B2"/>
      </w:pPr>
    </w:p>
    <w:p w14:paraId="1FA211DA" w14:textId="77777777" w:rsidR="006A3D77" w:rsidRPr="00975BFD" w:rsidRDefault="006A3D77" w:rsidP="006A3D77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07C1D46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3A2C0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76F52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993F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48A3F990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CA87F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8E660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F3B3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6A3D77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4DF68319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1F7D68AA" w14:textId="77777777" w:rsidR="000B145E" w:rsidRPr="00975BFD" w:rsidRDefault="000B145E" w:rsidP="000B145E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.3.2-1: Inter-PLMN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145E" w:rsidRPr="00975BFD" w14:paraId="4D4721D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51741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9D5C2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2F59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0B145E" w:rsidRPr="00975BFD" w14:paraId="79727A6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99A35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DB513" w14:textId="77777777" w:rsidR="000B145E" w:rsidRPr="00975BFD" w:rsidRDefault="000B145E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813B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35839FD3" w14:textId="77777777" w:rsidR="006A3D77" w:rsidRDefault="006A3D77" w:rsidP="006A3D77"/>
    <w:p w14:paraId="1CA6AED1" w14:textId="77777777" w:rsidR="006A3D77" w:rsidRPr="00975BFD" w:rsidRDefault="006A3D77" w:rsidP="006A3D77">
      <w:pPr>
        <w:pStyle w:val="TH"/>
      </w:pPr>
      <w:r w:rsidRPr="00975BFD"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7C1B5FE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D4870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0D996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34B8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2149ED5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B29F4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553AD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EC1D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expected or predicted to modify</w:t>
            </w:r>
            <w:r w:rsidRPr="00975BFD">
              <w:t xml:space="preserve"> to extend slice availability to the target service area</w:t>
            </w:r>
          </w:p>
        </w:tc>
      </w:tr>
    </w:tbl>
    <w:p w14:paraId="3D4F34D3" w14:textId="77777777" w:rsidR="006A3D77" w:rsidRDefault="006A3D77" w:rsidP="006A3D77"/>
    <w:p w14:paraId="62668DED" w14:textId="77777777" w:rsidR="006A3D77" w:rsidRPr="00975BFD" w:rsidRDefault="006A3D77" w:rsidP="006A3D77">
      <w:pPr>
        <w:pStyle w:val="TH"/>
      </w:pPr>
      <w:r w:rsidRPr="00975BFD">
        <w:t>Table 9.13.3.3-1: Inter-PLMN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32C38F9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FAF11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BDD37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01B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501B6EE2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8F4438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9146C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6BA4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used and/or modified</w:t>
            </w:r>
            <w:r w:rsidRPr="00975BFD">
              <w:t xml:space="preserve"> to extend slice availability to the target service area</w:t>
            </w:r>
          </w:p>
        </w:tc>
      </w:tr>
    </w:tbl>
    <w:p w14:paraId="4781F02E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42984709" w14:textId="3FE1F93A" w:rsidR="007430B1" w:rsidRDefault="007430B1" w:rsidP="007430B1">
      <w:pPr>
        <w:pBdr>
          <w:bottom w:val="single" w:sz="6" w:space="1" w:color="auto"/>
        </w:pBdr>
        <w:rPr>
          <w:rStyle w:val="ui-provider"/>
        </w:rPr>
      </w:pPr>
      <w:r w:rsidRPr="004069EC">
        <w:rPr>
          <w:b/>
        </w:rPr>
        <w:t xml:space="preserve">Question </w:t>
      </w:r>
      <w:r w:rsidR="00BB0B55">
        <w:rPr>
          <w:b/>
        </w:rPr>
        <w:t>1</w:t>
      </w:r>
      <w:r>
        <w:rPr>
          <w:bCs/>
        </w:rPr>
        <w:t xml:space="preserve">: </w:t>
      </w:r>
      <w:r w:rsidR="00C91B1D">
        <w:rPr>
          <w:bCs/>
        </w:rPr>
        <w:t xml:space="preserve">Based on SA2 LS reply </w:t>
      </w:r>
      <w:r w:rsidR="00C91B1D">
        <w:t>(</w:t>
      </w:r>
      <w:r w:rsidR="00C91B1D" w:rsidRPr="001E2B02">
        <w:t>S2-2403703</w:t>
      </w:r>
      <w:r w:rsidR="00C91B1D">
        <w:rPr>
          <w:rStyle w:val="ui-provider"/>
        </w:rPr>
        <w:t xml:space="preserve">), </w:t>
      </w:r>
      <w:r>
        <w:rPr>
          <w:bCs/>
        </w:rPr>
        <w:t xml:space="preserve">the </w:t>
      </w:r>
      <w:r w:rsidR="00243656">
        <w:rPr>
          <w:bCs/>
        </w:rPr>
        <w:t>external applications is not aware of the NSI value</w:t>
      </w:r>
      <w:r w:rsidR="00C91B1D">
        <w:rPr>
          <w:bCs/>
        </w:rPr>
        <w:t>. H</w:t>
      </w:r>
      <w:r>
        <w:rPr>
          <w:bCs/>
        </w:rPr>
        <w:t xml:space="preserve">ow </w:t>
      </w:r>
      <w:r>
        <w:rPr>
          <w:rStyle w:val="ui-provider"/>
        </w:rPr>
        <w:t>the clauses highlighted above will be handled</w:t>
      </w:r>
      <w:r w:rsidR="007C2417">
        <w:rPr>
          <w:rStyle w:val="ui-provider"/>
        </w:rPr>
        <w:t xml:space="preserve">? </w:t>
      </w:r>
      <w:r>
        <w:rPr>
          <w:rStyle w:val="ui-provider"/>
        </w:rPr>
        <w:t>(e.g. VAL server sending/receiving NSI ID</w:t>
      </w:r>
      <w:r w:rsidR="007C2417">
        <w:rPr>
          <w:rStyle w:val="ui-provider"/>
        </w:rPr>
        <w:t xml:space="preserve"> or NSCE server </w:t>
      </w:r>
      <w:r w:rsidR="00E16D83">
        <w:rPr>
          <w:rStyle w:val="ui-provider"/>
        </w:rPr>
        <w:t>correlating performance data based on NSI</w:t>
      </w:r>
      <w:r>
        <w:rPr>
          <w:rStyle w:val="ui-provider"/>
        </w:rPr>
        <w:t>)</w:t>
      </w:r>
    </w:p>
    <w:p w14:paraId="12C7404F" w14:textId="77777777" w:rsidR="00243656" w:rsidRDefault="00243656" w:rsidP="007430B1">
      <w:pPr>
        <w:pBdr>
          <w:bottom w:val="single" w:sz="6" w:space="1" w:color="auto"/>
        </w:pBdr>
        <w:rPr>
          <w:rStyle w:val="ui-provider"/>
        </w:rPr>
      </w:pPr>
    </w:p>
    <w:p w14:paraId="0BCA9A2B" w14:textId="6DB663A5" w:rsidR="00243656" w:rsidRPr="00243656" w:rsidRDefault="00243656" w:rsidP="007430B1">
      <w:pPr>
        <w:rPr>
          <w:rStyle w:val="ui-provider"/>
          <w:sz w:val="24"/>
          <w:szCs w:val="24"/>
        </w:rPr>
      </w:pPr>
      <w:r w:rsidRPr="00243656">
        <w:rPr>
          <w:rStyle w:val="ui-provider"/>
          <w:sz w:val="24"/>
          <w:szCs w:val="24"/>
        </w:rPr>
        <w:t>As per 23.435, clause 9.9:</w:t>
      </w:r>
    </w:p>
    <w:p w14:paraId="7C6C494F" w14:textId="77777777" w:rsidR="00243656" w:rsidRPr="00975BFD" w:rsidRDefault="00243656" w:rsidP="00243656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64B6C594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55861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C64AB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CF62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190ED578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125CA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3911E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2AD4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geographical coordinates / set of waypoints outside the original service area</w:t>
            </w:r>
            <w:r w:rsidRPr="00975BFD">
              <w:rPr>
                <w:kern w:val="2"/>
              </w:rPr>
              <w:t>, where the VAL application/ UE(s) is expected or predicted to move.</w:t>
            </w:r>
          </w:p>
        </w:tc>
      </w:tr>
    </w:tbl>
    <w:p w14:paraId="73C5D00B" w14:textId="77777777" w:rsidR="00243656" w:rsidRDefault="00243656" w:rsidP="007430B1">
      <w:pPr>
        <w:rPr>
          <w:rStyle w:val="ui-provider"/>
        </w:rPr>
      </w:pPr>
    </w:p>
    <w:p w14:paraId="24705164" w14:textId="77777777" w:rsidR="00243656" w:rsidRPr="00975BFD" w:rsidRDefault="00243656" w:rsidP="00243656">
      <w:pPr>
        <w:pStyle w:val="TH"/>
      </w:pPr>
      <w:r w:rsidRPr="00975BFD">
        <w:lastRenderedPageBreak/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39703BBC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EF4053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35F36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0CB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7DB796A1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A2002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3AD0E7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2880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edge service area (including the target DNN/DNAI) or the topological area (e.g. list of cells/TAs)</w:t>
            </w:r>
            <w:r w:rsidRPr="00975BFD">
              <w:rPr>
                <w:kern w:val="2"/>
              </w:rPr>
              <w:t xml:space="preserve"> for which the slice modification applies. </w:t>
            </w:r>
          </w:p>
        </w:tc>
      </w:tr>
    </w:tbl>
    <w:p w14:paraId="7B3F67ED" w14:textId="77777777" w:rsidR="00243656" w:rsidRDefault="00243656" w:rsidP="007430B1">
      <w:pPr>
        <w:rPr>
          <w:rStyle w:val="ui-provider"/>
        </w:rPr>
      </w:pPr>
    </w:p>
    <w:p w14:paraId="65790514" w14:textId="3B8D7566" w:rsidR="00243656" w:rsidRPr="00C60473" w:rsidRDefault="00243656" w:rsidP="007430B1">
      <w:r w:rsidRPr="00C60473">
        <w:rPr>
          <w:rStyle w:val="ui-provider"/>
          <w:b/>
          <w:bCs/>
        </w:rPr>
        <w:t>Question 2</w:t>
      </w:r>
      <w:r>
        <w:rPr>
          <w:rStyle w:val="ui-provider"/>
        </w:rPr>
        <w:t>: What is the expected "Target Service Area"</w:t>
      </w:r>
      <w:r w:rsidR="00C60473">
        <w:rPr>
          <w:rStyle w:val="ui-provider"/>
        </w:rPr>
        <w:t xml:space="preserve"> information</w:t>
      </w:r>
      <w:r>
        <w:rPr>
          <w:rStyle w:val="ui-provider"/>
        </w:rPr>
        <w:t>? Is it geographical co-ordinates and/or Topological area (e.g. List of cells/T</w:t>
      </w:r>
      <w:r w:rsidR="00817940">
        <w:rPr>
          <w:rStyle w:val="ui-provider"/>
        </w:rPr>
        <w:t>A</w:t>
      </w:r>
      <w:r>
        <w:rPr>
          <w:rStyle w:val="ui-provider"/>
        </w:rPr>
        <w:t>s)</w:t>
      </w:r>
      <w:r w:rsidR="00C60473">
        <w:rPr>
          <w:rStyle w:val="ui-provider"/>
        </w:rPr>
        <w:t xml:space="preserve"> only</w:t>
      </w:r>
      <w:r>
        <w:rPr>
          <w:rStyle w:val="ui-provider"/>
        </w:rPr>
        <w:t xml:space="preserve">? </w:t>
      </w:r>
      <w:r w:rsidR="00C60473">
        <w:rPr>
          <w:rStyle w:val="ui-provider"/>
        </w:rPr>
        <w:t xml:space="preserve">Or does it also include target DNN/DNAI information as well?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64678E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9B2A44">
        <w:rPr>
          <w:rFonts w:ascii="Arial" w:hAnsi="Arial" w:cs="Arial"/>
          <w:b/>
        </w:rPr>
        <w:t>6</w:t>
      </w:r>
    </w:p>
    <w:p w14:paraId="1FFB3D25" w14:textId="1302E8F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2D7D4A">
        <w:t>6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SA6</w:t>
      </w:r>
      <w:r w:rsidR="00B8758B">
        <w:t xml:space="preserve"> </w:t>
      </w:r>
      <w:r w:rsidR="00FA108C">
        <w:t>specifications</w:t>
      </w:r>
      <w:r w:rsidR="00BE485F">
        <w:t>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6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000000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747C9" w14:textId="77777777" w:rsidR="004001D1" w:rsidRDefault="004001D1">
      <w:pPr>
        <w:spacing w:after="0"/>
      </w:pPr>
      <w:r>
        <w:separator/>
      </w:r>
    </w:p>
  </w:endnote>
  <w:endnote w:type="continuationSeparator" w:id="0">
    <w:p w14:paraId="0EDAE201" w14:textId="77777777" w:rsidR="004001D1" w:rsidRDefault="004001D1">
      <w:pPr>
        <w:spacing w:after="0"/>
      </w:pPr>
      <w:r>
        <w:continuationSeparator/>
      </w:r>
    </w:p>
  </w:endnote>
  <w:endnote w:type="continuationNotice" w:id="1">
    <w:p w14:paraId="37BD9109" w14:textId="77777777" w:rsidR="004001D1" w:rsidRDefault="00400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CFE6" w14:textId="77777777" w:rsidR="004001D1" w:rsidRDefault="004001D1">
      <w:pPr>
        <w:spacing w:after="0"/>
      </w:pPr>
      <w:r>
        <w:separator/>
      </w:r>
    </w:p>
  </w:footnote>
  <w:footnote w:type="continuationSeparator" w:id="0">
    <w:p w14:paraId="5255757B" w14:textId="77777777" w:rsidR="004001D1" w:rsidRDefault="004001D1">
      <w:pPr>
        <w:spacing w:after="0"/>
      </w:pPr>
      <w:r>
        <w:continuationSeparator/>
      </w:r>
    </w:p>
  </w:footnote>
  <w:footnote w:type="continuationNotice" w:id="1">
    <w:p w14:paraId="225A2356" w14:textId="77777777" w:rsidR="004001D1" w:rsidRDefault="004001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C7E4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3656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5A85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01D1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940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1D4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0B55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0473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1B1D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56E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032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A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E5A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E5A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5A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5A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5A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5A85"/>
    <w:pPr>
      <w:outlineLvl w:val="5"/>
    </w:pPr>
  </w:style>
  <w:style w:type="paragraph" w:styleId="Heading7">
    <w:name w:val="heading 7"/>
    <w:basedOn w:val="H6"/>
    <w:next w:val="Normal"/>
    <w:qFormat/>
    <w:rsid w:val="003E5A85"/>
    <w:pPr>
      <w:outlineLvl w:val="6"/>
    </w:pPr>
  </w:style>
  <w:style w:type="paragraph" w:styleId="Heading8">
    <w:name w:val="heading 8"/>
    <w:basedOn w:val="Heading1"/>
    <w:next w:val="Normal"/>
    <w:qFormat/>
    <w:rsid w:val="003E5A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5A85"/>
    <w:pPr>
      <w:outlineLvl w:val="8"/>
    </w:pPr>
  </w:style>
  <w:style w:type="character" w:default="1" w:styleId="DefaultParagraphFont">
    <w:name w:val="Default Paragraph Font"/>
    <w:semiHidden/>
    <w:rsid w:val="003E5A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5A85"/>
  </w:style>
  <w:style w:type="paragraph" w:styleId="Header">
    <w:name w:val="header"/>
    <w:link w:val="HeaderChar"/>
    <w:rsid w:val="003E5A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E5A8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E5A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E5A85"/>
    <w:pPr>
      <w:spacing w:before="180"/>
      <w:ind w:left="2693" w:hanging="2693"/>
    </w:pPr>
    <w:rPr>
      <w:b/>
    </w:rPr>
  </w:style>
  <w:style w:type="paragraph" w:styleId="TOC1">
    <w:name w:val="toc 1"/>
    <w:semiHidden/>
    <w:rsid w:val="003E5A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E5A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5A85"/>
    <w:pPr>
      <w:ind w:left="1701" w:hanging="1701"/>
    </w:pPr>
  </w:style>
  <w:style w:type="paragraph" w:styleId="TOC4">
    <w:name w:val="toc 4"/>
    <w:basedOn w:val="TOC3"/>
    <w:semiHidden/>
    <w:rsid w:val="003E5A85"/>
    <w:pPr>
      <w:ind w:left="1418" w:hanging="1418"/>
    </w:pPr>
  </w:style>
  <w:style w:type="paragraph" w:styleId="TOC3">
    <w:name w:val="toc 3"/>
    <w:basedOn w:val="TOC2"/>
    <w:semiHidden/>
    <w:rsid w:val="003E5A85"/>
    <w:pPr>
      <w:ind w:left="1134" w:hanging="1134"/>
    </w:pPr>
  </w:style>
  <w:style w:type="paragraph" w:styleId="TOC2">
    <w:name w:val="toc 2"/>
    <w:basedOn w:val="TOC1"/>
    <w:semiHidden/>
    <w:rsid w:val="003E5A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5A85"/>
    <w:pPr>
      <w:ind w:left="284"/>
    </w:pPr>
  </w:style>
  <w:style w:type="paragraph" w:styleId="Index1">
    <w:name w:val="index 1"/>
    <w:basedOn w:val="Normal"/>
    <w:semiHidden/>
    <w:rsid w:val="003E5A85"/>
    <w:pPr>
      <w:keepLines/>
      <w:spacing w:after="0"/>
    </w:pPr>
  </w:style>
  <w:style w:type="paragraph" w:customStyle="1" w:styleId="ZH">
    <w:name w:val="ZH"/>
    <w:rsid w:val="003E5A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5A85"/>
    <w:pPr>
      <w:outlineLvl w:val="9"/>
    </w:pPr>
  </w:style>
  <w:style w:type="paragraph" w:styleId="ListNumber2">
    <w:name w:val="List Number 2"/>
    <w:basedOn w:val="ListNumber"/>
    <w:semiHidden/>
    <w:rsid w:val="003E5A85"/>
    <w:pPr>
      <w:ind w:left="851"/>
    </w:pPr>
  </w:style>
  <w:style w:type="character" w:styleId="FootnoteReference">
    <w:name w:val="footnote reference"/>
    <w:basedOn w:val="DefaultParagraphFont"/>
    <w:semiHidden/>
    <w:rsid w:val="003E5A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5A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E5A85"/>
    <w:rPr>
      <w:b/>
    </w:rPr>
  </w:style>
  <w:style w:type="paragraph" w:customStyle="1" w:styleId="TAC">
    <w:name w:val="TAC"/>
    <w:basedOn w:val="TAL"/>
    <w:link w:val="TACChar"/>
    <w:rsid w:val="003E5A85"/>
    <w:pPr>
      <w:jc w:val="center"/>
    </w:pPr>
  </w:style>
  <w:style w:type="paragraph" w:customStyle="1" w:styleId="TF">
    <w:name w:val="TF"/>
    <w:basedOn w:val="TH"/>
    <w:rsid w:val="003E5A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E5A85"/>
    <w:pPr>
      <w:keepLines/>
      <w:ind w:left="1135" w:hanging="851"/>
    </w:pPr>
  </w:style>
  <w:style w:type="paragraph" w:styleId="TOC9">
    <w:name w:val="toc 9"/>
    <w:basedOn w:val="TOC8"/>
    <w:semiHidden/>
    <w:rsid w:val="003E5A85"/>
    <w:pPr>
      <w:ind w:left="1418" w:hanging="1418"/>
    </w:pPr>
  </w:style>
  <w:style w:type="paragraph" w:customStyle="1" w:styleId="EX">
    <w:name w:val="EX"/>
    <w:basedOn w:val="Normal"/>
    <w:rsid w:val="003E5A85"/>
    <w:pPr>
      <w:keepLines/>
      <w:ind w:left="1702" w:hanging="1418"/>
    </w:pPr>
  </w:style>
  <w:style w:type="paragraph" w:customStyle="1" w:styleId="FP">
    <w:name w:val="FP"/>
    <w:basedOn w:val="Normal"/>
    <w:rsid w:val="003E5A85"/>
    <w:pPr>
      <w:spacing w:after="0"/>
    </w:pPr>
  </w:style>
  <w:style w:type="paragraph" w:customStyle="1" w:styleId="LD">
    <w:name w:val="LD"/>
    <w:rsid w:val="003E5A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E5A85"/>
    <w:pPr>
      <w:spacing w:after="0"/>
    </w:pPr>
  </w:style>
  <w:style w:type="paragraph" w:customStyle="1" w:styleId="EW">
    <w:name w:val="EW"/>
    <w:basedOn w:val="EX"/>
    <w:rsid w:val="003E5A85"/>
    <w:pPr>
      <w:spacing w:after="0"/>
    </w:pPr>
  </w:style>
  <w:style w:type="paragraph" w:styleId="TOC6">
    <w:name w:val="toc 6"/>
    <w:basedOn w:val="TOC5"/>
    <w:next w:val="Normal"/>
    <w:semiHidden/>
    <w:rsid w:val="003E5A85"/>
    <w:pPr>
      <w:ind w:left="1985" w:hanging="1985"/>
    </w:pPr>
  </w:style>
  <w:style w:type="paragraph" w:styleId="TOC7">
    <w:name w:val="toc 7"/>
    <w:basedOn w:val="TOC6"/>
    <w:next w:val="Normal"/>
    <w:semiHidden/>
    <w:rsid w:val="003E5A85"/>
    <w:pPr>
      <w:ind w:left="2268" w:hanging="2268"/>
    </w:pPr>
  </w:style>
  <w:style w:type="paragraph" w:styleId="ListBullet2">
    <w:name w:val="List Bullet 2"/>
    <w:basedOn w:val="ListBullet"/>
    <w:semiHidden/>
    <w:rsid w:val="003E5A85"/>
    <w:pPr>
      <w:ind w:left="851"/>
    </w:pPr>
  </w:style>
  <w:style w:type="paragraph" w:styleId="ListBullet3">
    <w:name w:val="List Bullet 3"/>
    <w:basedOn w:val="ListBullet2"/>
    <w:semiHidden/>
    <w:rsid w:val="003E5A85"/>
    <w:pPr>
      <w:ind w:left="1135"/>
    </w:pPr>
  </w:style>
  <w:style w:type="paragraph" w:styleId="ListNumber">
    <w:name w:val="List Number"/>
    <w:basedOn w:val="List"/>
    <w:semiHidden/>
    <w:rsid w:val="003E5A85"/>
  </w:style>
  <w:style w:type="paragraph" w:customStyle="1" w:styleId="EQ">
    <w:name w:val="EQ"/>
    <w:basedOn w:val="Normal"/>
    <w:next w:val="Normal"/>
    <w:rsid w:val="003E5A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E5A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5A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5A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5A85"/>
    <w:pPr>
      <w:jc w:val="right"/>
    </w:pPr>
  </w:style>
  <w:style w:type="paragraph" w:customStyle="1" w:styleId="H6">
    <w:name w:val="H6"/>
    <w:basedOn w:val="Heading5"/>
    <w:next w:val="Normal"/>
    <w:rsid w:val="003E5A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5A85"/>
    <w:pPr>
      <w:ind w:left="851" w:hanging="851"/>
    </w:pPr>
  </w:style>
  <w:style w:type="paragraph" w:customStyle="1" w:styleId="TAL">
    <w:name w:val="TAL"/>
    <w:basedOn w:val="Normal"/>
    <w:link w:val="TALChar"/>
    <w:rsid w:val="003E5A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5A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5A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E5A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E5A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E5A85"/>
    <w:pPr>
      <w:framePr w:wrap="notBeside" w:y="16161"/>
    </w:pPr>
  </w:style>
  <w:style w:type="character" w:customStyle="1" w:styleId="ZGSM">
    <w:name w:val="ZGSM"/>
    <w:rsid w:val="003E5A85"/>
  </w:style>
  <w:style w:type="paragraph" w:styleId="List2">
    <w:name w:val="List 2"/>
    <w:basedOn w:val="List"/>
    <w:semiHidden/>
    <w:rsid w:val="003E5A85"/>
    <w:pPr>
      <w:ind w:left="851"/>
    </w:pPr>
  </w:style>
  <w:style w:type="paragraph" w:customStyle="1" w:styleId="ZG">
    <w:name w:val="ZG"/>
    <w:rsid w:val="003E5A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E5A85"/>
    <w:pPr>
      <w:ind w:left="1135"/>
    </w:pPr>
  </w:style>
  <w:style w:type="paragraph" w:styleId="List4">
    <w:name w:val="List 4"/>
    <w:basedOn w:val="List3"/>
    <w:semiHidden/>
    <w:rsid w:val="003E5A85"/>
    <w:pPr>
      <w:ind w:left="1418"/>
    </w:pPr>
  </w:style>
  <w:style w:type="paragraph" w:styleId="List5">
    <w:name w:val="List 5"/>
    <w:basedOn w:val="List4"/>
    <w:semiHidden/>
    <w:rsid w:val="003E5A85"/>
    <w:pPr>
      <w:ind w:left="1702"/>
    </w:pPr>
  </w:style>
  <w:style w:type="paragraph" w:customStyle="1" w:styleId="EditorsNote">
    <w:name w:val="Editor's Note"/>
    <w:basedOn w:val="NO"/>
    <w:rsid w:val="003E5A85"/>
    <w:rPr>
      <w:color w:val="FF0000"/>
    </w:rPr>
  </w:style>
  <w:style w:type="paragraph" w:styleId="List">
    <w:name w:val="List"/>
    <w:basedOn w:val="Normal"/>
    <w:semiHidden/>
    <w:rsid w:val="003E5A85"/>
    <w:pPr>
      <w:ind w:left="568" w:hanging="284"/>
    </w:pPr>
  </w:style>
  <w:style w:type="paragraph" w:styleId="ListBullet">
    <w:name w:val="List Bullet"/>
    <w:basedOn w:val="List"/>
    <w:semiHidden/>
    <w:rsid w:val="003E5A85"/>
  </w:style>
  <w:style w:type="paragraph" w:styleId="ListBullet4">
    <w:name w:val="List Bullet 4"/>
    <w:basedOn w:val="ListBullet3"/>
    <w:semiHidden/>
    <w:rsid w:val="003E5A85"/>
    <w:pPr>
      <w:ind w:left="1418"/>
    </w:pPr>
  </w:style>
  <w:style w:type="paragraph" w:styleId="ListBullet5">
    <w:name w:val="List Bullet 5"/>
    <w:basedOn w:val="ListBullet4"/>
    <w:semiHidden/>
    <w:rsid w:val="003E5A85"/>
    <w:pPr>
      <w:ind w:left="1702"/>
    </w:pPr>
  </w:style>
  <w:style w:type="paragraph" w:customStyle="1" w:styleId="B2">
    <w:name w:val="B2"/>
    <w:basedOn w:val="List2"/>
    <w:rsid w:val="003E5A85"/>
  </w:style>
  <w:style w:type="paragraph" w:customStyle="1" w:styleId="B3">
    <w:name w:val="B3"/>
    <w:basedOn w:val="List3"/>
    <w:rsid w:val="003E5A85"/>
  </w:style>
  <w:style w:type="paragraph" w:customStyle="1" w:styleId="B4">
    <w:name w:val="B4"/>
    <w:basedOn w:val="List4"/>
    <w:rsid w:val="003E5A85"/>
  </w:style>
  <w:style w:type="paragraph" w:customStyle="1" w:styleId="B5">
    <w:name w:val="B5"/>
    <w:basedOn w:val="List5"/>
    <w:rsid w:val="003E5A85"/>
  </w:style>
  <w:style w:type="paragraph" w:customStyle="1" w:styleId="ZTD">
    <w:name w:val="ZTD"/>
    <w:basedOn w:val="ZB"/>
    <w:rsid w:val="003E5A8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EFB736-7CB1-4AEF-A252-BD5AFE48391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customXml/itemProps4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6117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MCC editorial</cp:lastModifiedBy>
  <cp:revision>4</cp:revision>
  <cp:lastPrinted>2002-04-23T07:10:00Z</cp:lastPrinted>
  <dcterms:created xsi:type="dcterms:W3CDTF">2024-04-16T07:03:00Z</dcterms:created>
  <dcterms:modified xsi:type="dcterms:W3CDTF">2024-05-05T14:40:00Z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