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8146A" w14:textId="4336A9B1" w:rsidR="00320E52" w:rsidRPr="00945744" w:rsidRDefault="00320E52" w:rsidP="00320E52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bookmarkStart w:id="0" w:name="OLE_LINK24"/>
      <w:bookmarkStart w:id="1" w:name="OLE_LINK25"/>
      <w:bookmarkStart w:id="2" w:name="OLE_LINK171"/>
      <w:bookmarkStart w:id="3" w:name="OLE_LINK172"/>
      <w:bookmarkStart w:id="4" w:name="_Hlk165819299"/>
      <w:r w:rsidRPr="00945744">
        <w:rPr>
          <w:b/>
          <w:noProof/>
          <w:sz w:val="22"/>
          <w:szCs w:val="22"/>
        </w:rPr>
        <w:t>3GPP TSG-SA WG6 Meeting #61</w:t>
      </w:r>
      <w:r w:rsidRPr="00945744">
        <w:rPr>
          <w:b/>
          <w:noProof/>
          <w:sz w:val="22"/>
          <w:szCs w:val="22"/>
        </w:rPr>
        <w:tab/>
      </w:r>
      <w:r w:rsidRPr="003D561C">
        <w:rPr>
          <w:b/>
          <w:noProof/>
          <w:sz w:val="22"/>
          <w:szCs w:val="22"/>
        </w:rPr>
        <w:t>S6-24200</w:t>
      </w:r>
      <w:r>
        <w:rPr>
          <w:b/>
          <w:noProof/>
          <w:sz w:val="22"/>
          <w:szCs w:val="22"/>
        </w:rPr>
        <w:t>7</w:t>
      </w:r>
    </w:p>
    <w:p w14:paraId="03C40153" w14:textId="7A554AD0" w:rsidR="00320E52" w:rsidRPr="00945744" w:rsidRDefault="00320E52" w:rsidP="00320E52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945744">
        <w:rPr>
          <w:b/>
          <w:noProof/>
          <w:sz w:val="22"/>
          <w:szCs w:val="22"/>
        </w:rPr>
        <w:t>Jeju Island, South Korea, 20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– 24</w:t>
      </w:r>
      <w:r w:rsidRPr="00945744">
        <w:rPr>
          <w:b/>
          <w:noProof/>
          <w:sz w:val="22"/>
          <w:szCs w:val="22"/>
          <w:vertAlign w:val="superscript"/>
        </w:rPr>
        <w:t>th</w:t>
      </w:r>
      <w:r w:rsidRPr="00945744">
        <w:rPr>
          <w:b/>
          <w:noProof/>
          <w:sz w:val="22"/>
          <w:szCs w:val="22"/>
        </w:rPr>
        <w:t xml:space="preserve"> May 2024</w:t>
      </w:r>
    </w:p>
    <w:bookmarkEnd w:id="4"/>
    <w:p w14:paraId="2F5D884F" w14:textId="76A8047A" w:rsidR="00DF242D" w:rsidRPr="00320E52" w:rsidRDefault="00DF242D" w:rsidP="00DF242D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320E52">
        <w:rPr>
          <w:b/>
          <w:noProof/>
          <w:color w:val="D9D9D9" w:themeColor="background1" w:themeShade="D9"/>
          <w:sz w:val="24"/>
        </w:rPr>
        <w:t>3GPP TSG-SA WG6 Meeting #60</w:t>
      </w:r>
      <w:r w:rsidRPr="00320E52">
        <w:rPr>
          <w:b/>
          <w:noProof/>
          <w:color w:val="D9D9D9" w:themeColor="background1" w:themeShade="D9"/>
          <w:sz w:val="24"/>
        </w:rPr>
        <w:tab/>
        <w:t>S6-241017</w:t>
      </w:r>
    </w:p>
    <w:p w14:paraId="3243080E" w14:textId="77777777" w:rsidR="00DF242D" w:rsidRPr="00320E52" w:rsidRDefault="00DF242D" w:rsidP="00DF242D">
      <w:pPr>
        <w:pStyle w:val="Header"/>
        <w:rPr>
          <w:color w:val="D9D9D9" w:themeColor="background1" w:themeShade="D9"/>
          <w:sz w:val="22"/>
          <w:szCs w:val="22"/>
        </w:rPr>
      </w:pPr>
      <w:r w:rsidRPr="00320E52">
        <w:rPr>
          <w:bCs/>
          <w:color w:val="D9D9D9" w:themeColor="background1" w:themeShade="D9"/>
        </w:rPr>
        <w:t>Changsha, China 9</w:t>
      </w:r>
      <w:r w:rsidRPr="00320E52">
        <w:rPr>
          <w:bCs/>
          <w:color w:val="D9D9D9" w:themeColor="background1" w:themeShade="D9"/>
          <w:vertAlign w:val="superscript"/>
        </w:rPr>
        <w:t>th</w:t>
      </w:r>
      <w:r w:rsidRPr="00320E52">
        <w:rPr>
          <w:bCs/>
          <w:color w:val="D9D9D9" w:themeColor="background1" w:themeShade="D9"/>
        </w:rPr>
        <w:t xml:space="preserve"> – 13</w:t>
      </w:r>
      <w:r w:rsidRPr="00320E52">
        <w:rPr>
          <w:bCs/>
          <w:color w:val="D9D9D9" w:themeColor="background1" w:themeShade="D9"/>
          <w:vertAlign w:val="superscript"/>
        </w:rPr>
        <w:t>th</w:t>
      </w:r>
      <w:r w:rsidRPr="00320E52">
        <w:rPr>
          <w:bCs/>
          <w:color w:val="D9D9D9" w:themeColor="background1" w:themeShade="D9"/>
        </w:rPr>
        <w:t xml:space="preserve"> April 2024</w:t>
      </w:r>
    </w:p>
    <w:p w14:paraId="48D40876" w14:textId="77777777" w:rsidR="00DF242D" w:rsidRPr="00DF242D" w:rsidRDefault="00DF242D" w:rsidP="00AC6F15">
      <w:pPr>
        <w:spacing w:after="60"/>
        <w:ind w:left="1985" w:hanging="1985"/>
        <w:rPr>
          <w:rFonts w:ascii="Arial" w:hAnsi="Arial" w:cs="Arial"/>
          <w:b/>
          <w:color w:val="D9D9D9" w:themeColor="background1" w:themeShade="D9"/>
          <w:lang w:val="en-GB"/>
        </w:rPr>
      </w:pPr>
    </w:p>
    <w:p w14:paraId="2CC92D53" w14:textId="77777777" w:rsidR="00DF242D" w:rsidRPr="00DF242D" w:rsidRDefault="00DF242D" w:rsidP="00AC6F15">
      <w:pPr>
        <w:spacing w:after="60"/>
        <w:ind w:left="1985" w:hanging="1985"/>
        <w:rPr>
          <w:rFonts w:ascii="Arial" w:hAnsi="Arial" w:cs="Arial"/>
          <w:b/>
          <w:color w:val="D9D9D9" w:themeColor="background1" w:themeShade="D9"/>
          <w:lang w:val="en-GB"/>
        </w:rPr>
      </w:pPr>
    </w:p>
    <w:p w14:paraId="478CBFA2" w14:textId="095569D1" w:rsidR="00AC6F15" w:rsidRDefault="00AC6F15" w:rsidP="00AC6F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bookmarkStart w:id="5" w:name="OLE_LINK26"/>
      <w:bookmarkStart w:id="6" w:name="OLE_LINK27"/>
      <w:bookmarkStart w:id="7" w:name="OLE_LINK34"/>
      <w:r w:rsidR="007E1856">
        <w:rPr>
          <w:rFonts w:ascii="Arial" w:hAnsi="Arial" w:cs="Arial"/>
          <w:bCs/>
        </w:rPr>
        <w:t xml:space="preserve">Updated AECC Publications </w:t>
      </w:r>
      <w:bookmarkStart w:id="8" w:name="OLE_LINK1"/>
      <w:bookmarkStart w:id="9" w:name="OLE_LINK2"/>
      <w:r w:rsidR="007E1856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</w:t>
      </w:r>
      <w:r w:rsidR="00532886">
        <w:rPr>
          <w:rFonts w:ascii="Arial" w:hAnsi="Arial" w:cs="Arial" w:hint="eastAsia"/>
          <w:bCs/>
        </w:rPr>
        <w:t xml:space="preserve">Future </w:t>
      </w:r>
      <w:r w:rsidR="004A15B2">
        <w:rPr>
          <w:rFonts w:ascii="Arial" w:hAnsi="Arial" w:cs="Arial" w:hint="eastAsia"/>
          <w:bCs/>
          <w:lang w:eastAsia="ja-JP"/>
        </w:rPr>
        <w:t xml:space="preserve">Connected Vehicle </w:t>
      </w:r>
      <w:bookmarkEnd w:id="5"/>
      <w:bookmarkEnd w:id="6"/>
      <w:bookmarkEnd w:id="7"/>
      <w:r w:rsidR="00B32CC5">
        <w:rPr>
          <w:rFonts w:ascii="Arial" w:hAnsi="Arial" w:cs="Arial"/>
          <w:bCs/>
          <w:lang w:eastAsia="ja-JP"/>
        </w:rPr>
        <w:t>Services</w:t>
      </w:r>
    </w:p>
    <w:bookmarkEnd w:id="0"/>
    <w:bookmarkEnd w:id="1"/>
    <w:bookmarkEnd w:id="8"/>
    <w:bookmarkEnd w:id="9"/>
    <w:p w14:paraId="7DA07CA5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Automotive Edge Computing Consortium (AECC)</w:t>
      </w:r>
    </w:p>
    <w:p w14:paraId="10DABB22" w14:textId="77777777" w:rsidR="00AC6F15" w:rsidRPr="00DF242D" w:rsidRDefault="00AC6F15" w:rsidP="00AC6F15">
      <w:pPr>
        <w:spacing w:after="60"/>
        <w:ind w:left="1985" w:hanging="1985"/>
        <w:rPr>
          <w:rFonts w:ascii="Arial" w:hAnsi="Arial" w:cs="Arial"/>
        </w:rPr>
      </w:pPr>
      <w:r w:rsidRPr="00DF242D">
        <w:rPr>
          <w:rFonts w:ascii="Arial" w:hAnsi="Arial" w:cs="Arial"/>
          <w:b/>
        </w:rPr>
        <w:t>To:</w:t>
      </w:r>
      <w:r w:rsidRPr="00DF242D">
        <w:rPr>
          <w:rFonts w:ascii="Arial" w:hAnsi="Arial" w:cs="Arial"/>
          <w:bCs/>
        </w:rPr>
        <w:tab/>
        <w:t>3GPP TSG SA</w:t>
      </w:r>
    </w:p>
    <w:p w14:paraId="3249BE20" w14:textId="049186B2" w:rsidR="00AC6F15" w:rsidRPr="00DF242D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  <w:r w:rsidRPr="00DF242D">
        <w:rPr>
          <w:rFonts w:ascii="Arial" w:hAnsi="Arial" w:cs="Arial"/>
          <w:b/>
        </w:rPr>
        <w:t>CC:</w:t>
      </w:r>
      <w:r w:rsidRPr="00DF242D">
        <w:rPr>
          <w:rFonts w:ascii="Arial" w:hAnsi="Arial" w:cs="Arial"/>
          <w:bCs/>
        </w:rPr>
        <w:t xml:space="preserve">                          </w:t>
      </w:r>
      <w:r w:rsidR="004657A6" w:rsidRPr="00DF242D">
        <w:rPr>
          <w:rFonts w:ascii="Arial" w:hAnsi="Arial" w:cs="Arial"/>
        </w:rPr>
        <w:t>3GPP SA WG1,</w:t>
      </w:r>
      <w:r w:rsidR="004657A6" w:rsidRPr="00DF242D">
        <w:rPr>
          <w:rFonts w:ascii="Arial" w:hAnsi="Arial" w:cs="Arial"/>
          <w:b/>
        </w:rPr>
        <w:t xml:space="preserve"> </w:t>
      </w:r>
      <w:r w:rsidRPr="00DF242D">
        <w:rPr>
          <w:rFonts w:ascii="Arial" w:hAnsi="Arial" w:cs="Arial"/>
        </w:rPr>
        <w:t xml:space="preserve">3GPP SA WG2, </w:t>
      </w:r>
      <w:bookmarkStart w:id="10" w:name="OLE_LINK8"/>
      <w:bookmarkStart w:id="11" w:name="OLE_LINK9"/>
      <w:r w:rsidR="00300B0D" w:rsidRPr="00DF242D">
        <w:rPr>
          <w:rFonts w:ascii="Arial" w:hAnsi="Arial" w:cs="Arial"/>
        </w:rPr>
        <w:t xml:space="preserve">3GPP SA WG5, </w:t>
      </w:r>
      <w:bookmarkEnd w:id="10"/>
      <w:bookmarkEnd w:id="11"/>
      <w:r w:rsidRPr="00DF242D">
        <w:rPr>
          <w:rFonts w:ascii="Arial" w:hAnsi="Arial" w:cs="Arial"/>
        </w:rPr>
        <w:t>3GPP SA WG6</w:t>
      </w:r>
    </w:p>
    <w:p w14:paraId="520FA2FF" w14:textId="222623A8" w:rsidR="00AC6F15" w:rsidRPr="00FF4987" w:rsidRDefault="00AC6F15" w:rsidP="00AC6F15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hAnsi="Arial" w:cs="Arial"/>
          <w:b/>
        </w:rPr>
      </w:pPr>
      <w:r w:rsidRPr="00FF4987">
        <w:rPr>
          <w:rFonts w:ascii="Arial" w:hAnsi="Arial" w:cs="Arial"/>
          <w:b/>
        </w:rPr>
        <w:t xml:space="preserve">Date: </w:t>
      </w:r>
      <w:r>
        <w:rPr>
          <w:rFonts w:ascii="Arial" w:hAnsi="Arial" w:cs="Arial"/>
          <w:b/>
        </w:rPr>
        <w:t xml:space="preserve">                       </w:t>
      </w:r>
      <w:r w:rsidR="004A15B2">
        <w:rPr>
          <w:rFonts w:ascii="Arial" w:hAnsi="Arial" w:cs="Arial" w:hint="eastAsia"/>
          <w:b/>
          <w:lang w:eastAsia="ja-JP"/>
        </w:rPr>
        <w:t>Mar</w:t>
      </w:r>
      <w:r>
        <w:rPr>
          <w:rFonts w:ascii="Arial" w:hAnsi="Arial" w:cs="Arial"/>
          <w:b/>
        </w:rPr>
        <w:t>.</w:t>
      </w:r>
      <w:r w:rsidRPr="00FF4987">
        <w:rPr>
          <w:rFonts w:ascii="Arial" w:hAnsi="Arial" w:cs="Arial"/>
          <w:b/>
        </w:rPr>
        <w:t xml:space="preserve"> </w:t>
      </w:r>
      <w:r w:rsidR="004A15B2">
        <w:rPr>
          <w:rFonts w:ascii="Arial" w:hAnsi="Arial" w:cs="Arial" w:hint="eastAsia"/>
          <w:b/>
          <w:lang w:eastAsia="ja-JP"/>
        </w:rPr>
        <w:t>13</w:t>
      </w:r>
      <w:r w:rsidR="00134E00" w:rsidRPr="00CD2E8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</w:t>
      </w:r>
      <w:r w:rsidRPr="00FF4987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</w:t>
      </w:r>
      <w:r w:rsidR="004A15B2">
        <w:rPr>
          <w:rFonts w:ascii="Arial" w:hAnsi="Arial" w:cs="Arial" w:hint="eastAsia"/>
          <w:b/>
          <w:lang w:eastAsia="ja-JP"/>
        </w:rPr>
        <w:t>4</w:t>
      </w:r>
    </w:p>
    <w:p w14:paraId="3CECF484" w14:textId="77777777" w:rsidR="00AC6F15" w:rsidRDefault="00AC6F15" w:rsidP="00AC6F15">
      <w:pPr>
        <w:spacing w:after="60"/>
        <w:ind w:left="1985" w:hanging="1985"/>
        <w:rPr>
          <w:rFonts w:ascii="Arial" w:hAnsi="Arial" w:cs="Arial"/>
          <w:bCs/>
        </w:rPr>
      </w:pPr>
    </w:p>
    <w:p w14:paraId="696D4AA9" w14:textId="77777777" w:rsidR="00AC6F15" w:rsidRDefault="00AC6F15" w:rsidP="00AC6F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D62604" w14:textId="62A61B24" w:rsidR="00AC6F15" w:rsidRPr="000E5014" w:rsidRDefault="00AC6F15" w:rsidP="00AC6F1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ja-JP"/>
        </w:rPr>
      </w:pPr>
      <w:r w:rsidRPr="00A6021E">
        <w:rPr>
          <w:rFonts w:ascii="Arial" w:hAnsi="Arial" w:cs="Arial"/>
          <w:b/>
          <w:lang w:val="de-DE"/>
        </w:rPr>
        <w:t>Name</w:t>
      </w:r>
      <w:r w:rsidRPr="00A6021E">
        <w:rPr>
          <w:rFonts w:cs="Arial"/>
          <w:b/>
          <w:lang w:val="de-DE"/>
        </w:rPr>
        <w:t>:</w:t>
      </w:r>
      <w:r w:rsidR="000807DC">
        <w:rPr>
          <w:rFonts w:cs="Arial"/>
          <w:b/>
          <w:lang w:val="de-DE"/>
        </w:rPr>
        <w:t xml:space="preserve"> </w:t>
      </w:r>
      <w:r w:rsidR="000807DC" w:rsidRPr="000807DC">
        <w:rPr>
          <w:rFonts w:ascii="Arial" w:hAnsi="Arial" w:cs="Arial"/>
          <w:bCs/>
        </w:rPr>
        <w:t>Lei Zhong</w:t>
      </w:r>
      <w:r w:rsidR="000807DC" w:rsidRPr="000807DC">
        <w:rPr>
          <w:rFonts w:ascii="Arial" w:hAnsi="Arial" w:cs="Arial"/>
          <w:bCs/>
          <w:lang w:eastAsia="ja-JP"/>
        </w:rPr>
        <w:t xml:space="preserve">;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Yoshisato</w:t>
      </w:r>
      <w:proofErr w:type="spellEnd"/>
      <w:r w:rsidR="00584680" w:rsidRPr="000E5014">
        <w:rPr>
          <w:rFonts w:ascii="Arial" w:hAnsi="Arial" w:cs="Arial"/>
          <w:bCs/>
          <w:lang w:eastAsia="ja-JP"/>
        </w:rPr>
        <w:t xml:space="preserve"> </w:t>
      </w:r>
      <w:proofErr w:type="spellStart"/>
      <w:r w:rsidR="00584680" w:rsidRPr="000E5014">
        <w:rPr>
          <w:rFonts w:ascii="Arial" w:hAnsi="Arial" w:cs="Arial"/>
          <w:bCs/>
          <w:lang w:eastAsia="ja-JP"/>
        </w:rPr>
        <w:t>Fukatsu</w:t>
      </w:r>
      <w:proofErr w:type="spellEnd"/>
      <w:r w:rsidR="00584680">
        <w:rPr>
          <w:rFonts w:ascii="Arial" w:hAnsi="Arial" w:cs="Arial"/>
          <w:bCs/>
        </w:rPr>
        <w:t xml:space="preserve">; </w:t>
      </w:r>
      <w:r w:rsidR="00A17DF6">
        <w:rPr>
          <w:rFonts w:ascii="Arial" w:hAnsi="Arial" w:cs="Arial" w:hint="eastAsia"/>
          <w:bCs/>
          <w:lang w:eastAsia="ja-JP"/>
        </w:rPr>
        <w:t>Mikael Klein</w:t>
      </w:r>
    </w:p>
    <w:p w14:paraId="1854A22B" w14:textId="4294E045" w:rsidR="00A17DF6" w:rsidRPr="00584680" w:rsidRDefault="00AC6F15" w:rsidP="00584680">
      <w:pPr>
        <w:tabs>
          <w:tab w:val="left" w:pos="2268"/>
          <w:tab w:val="left" w:pos="2694"/>
        </w:tabs>
        <w:ind w:left="567"/>
        <w:rPr>
          <w:rStyle w:val="Hyperlink"/>
          <w:bCs/>
          <w:color w:val="auto"/>
          <w:u w:val="none"/>
        </w:rPr>
      </w:pPr>
      <w:r w:rsidRPr="00DF242D">
        <w:rPr>
          <w:rFonts w:ascii="Arial" w:hAnsi="Arial" w:cs="Arial"/>
          <w:b/>
          <w:lang w:val="en-GB"/>
        </w:rPr>
        <w:t>E-mail Address:</w:t>
      </w:r>
      <w:r w:rsidR="000807DC" w:rsidRPr="000807DC">
        <w:t xml:space="preserve"> </w:t>
      </w:r>
      <w:hyperlink r:id="rId7" w:history="1">
        <w:r w:rsidR="00856CBB" w:rsidRPr="00336B55">
          <w:rPr>
            <w:rStyle w:val="Hyperlink"/>
            <w:bCs/>
          </w:rPr>
          <w:t>lei_zhong@mail.toyota.co.jp</w:t>
        </w:r>
      </w:hyperlink>
      <w:r w:rsidR="00A17DF6">
        <w:rPr>
          <w:rStyle w:val="Hyperlink"/>
          <w:bCs/>
        </w:rPr>
        <w:t xml:space="preserve"> </w:t>
      </w:r>
    </w:p>
    <w:p w14:paraId="3D1D3BEA" w14:textId="78D1008F" w:rsidR="00A17DF6" w:rsidRDefault="00A17DF6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 w:rsidRPr="00A17DF6">
        <w:rPr>
          <w:rStyle w:val="Hyperlink"/>
          <w:bCs/>
          <w:u w:val="none"/>
        </w:rPr>
        <w:tab/>
      </w:r>
      <w:hyperlink r:id="rId8" w:history="1">
        <w:r w:rsidR="00584680" w:rsidRPr="004135AB">
          <w:rPr>
            <w:rStyle w:val="Hyperlink"/>
            <w:bCs/>
          </w:rPr>
          <w:t>yoshisato.fukatsu@oracle.com</w:t>
        </w:r>
      </w:hyperlink>
    </w:p>
    <w:p w14:paraId="02FE8F72" w14:textId="7E87BDEB" w:rsidR="00584680" w:rsidRPr="00A17DF6" w:rsidRDefault="00584680" w:rsidP="00A17DF6">
      <w:pPr>
        <w:tabs>
          <w:tab w:val="left" w:pos="2268"/>
          <w:tab w:val="left" w:pos="2694"/>
        </w:tabs>
        <w:ind w:left="567"/>
        <w:rPr>
          <w:rStyle w:val="Hyperlink"/>
          <w:bCs/>
        </w:rPr>
      </w:pPr>
      <w:r>
        <w:tab/>
      </w:r>
      <w:hyperlink r:id="rId9" w:history="1">
        <w:r w:rsidR="00D8323F" w:rsidRPr="004135AB">
          <w:rPr>
            <w:rStyle w:val="Hyperlink"/>
            <w:bCs/>
          </w:rPr>
          <w:t>mikael.klein@ericsson.com</w:t>
        </w:r>
      </w:hyperlink>
    </w:p>
    <w:p w14:paraId="7F55A569" w14:textId="77777777" w:rsidR="00AC6F15" w:rsidRPr="00DF242D" w:rsidRDefault="00AC6F15" w:rsidP="00AC6F15">
      <w:pPr>
        <w:spacing w:after="60"/>
        <w:ind w:left="1985" w:hanging="1985"/>
        <w:rPr>
          <w:rFonts w:ascii="Arial" w:hAnsi="Arial" w:cs="Arial"/>
          <w:b/>
        </w:rPr>
      </w:pPr>
    </w:p>
    <w:p w14:paraId="13B7A2DC" w14:textId="776D4548" w:rsidR="00AC6F15" w:rsidRDefault="00AC6F15" w:rsidP="00AC6F15">
      <w:pPr>
        <w:tabs>
          <w:tab w:val="left" w:pos="2268"/>
        </w:tabs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hyperlink r:id="rId10" w:history="1">
        <w:r w:rsidR="00A17DF6" w:rsidRPr="004135AB">
          <w:rPr>
            <w:rStyle w:val="Hyperlink"/>
            <w:bCs/>
          </w:rPr>
          <w:t>liaison@aecc.org</w:t>
        </w:r>
      </w:hyperlink>
    </w:p>
    <w:p w14:paraId="49E57338" w14:textId="77777777" w:rsidR="00AC6F15" w:rsidRDefault="00AC6F15" w:rsidP="00AC6F15">
      <w:pPr>
        <w:pBdr>
          <w:bottom w:val="single" w:sz="4" w:space="1" w:color="auto"/>
        </w:pBdr>
        <w:rPr>
          <w:rFonts w:ascii="Arial" w:hAnsi="Arial" w:cs="Arial"/>
        </w:rPr>
      </w:pPr>
    </w:p>
    <w:p w14:paraId="02820BA1" w14:textId="77777777" w:rsidR="00AC6F15" w:rsidRDefault="00AC6F15" w:rsidP="00AC6F15">
      <w:pPr>
        <w:rPr>
          <w:rFonts w:ascii="Arial" w:hAnsi="Arial" w:cs="Arial"/>
        </w:rPr>
      </w:pPr>
    </w:p>
    <w:p w14:paraId="5204E2A0" w14:textId="77777777" w:rsidR="00AC6F15" w:rsidRPr="00AC6F15" w:rsidRDefault="00AC6F15" w:rsidP="00AC6F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1F79004" w14:textId="1FBF2BDD" w:rsidR="00FE0721" w:rsidRDefault="00FE0721" w:rsidP="00FE0721">
      <w:pPr>
        <w:rPr>
          <w:rFonts w:ascii="Arial" w:hAnsi="Arial" w:cs="Arial"/>
        </w:rPr>
      </w:pPr>
      <w:bookmarkStart w:id="12" w:name="OLE_LINK71"/>
      <w:bookmarkStart w:id="13" w:name="OLE_LINK72"/>
      <w:r>
        <w:rPr>
          <w:rFonts w:ascii="Arial" w:hAnsi="Arial" w:cs="Arial"/>
        </w:rPr>
        <w:t xml:space="preserve">The Automotive Edge Computing Consortium (AECC, </w:t>
      </w:r>
      <w:hyperlink r:id="rId11" w:history="1">
        <w:r w:rsidRPr="009B1B36">
          <w:rPr>
            <w:rStyle w:val="Hyperlink"/>
            <w:rFonts w:ascii="Arial" w:hAnsi="Arial" w:cs="Arial"/>
          </w:rPr>
          <w:t>https://aecc.org/</w:t>
        </w:r>
      </w:hyperlink>
      <w:r>
        <w:rPr>
          <w:rFonts w:ascii="Arial" w:hAnsi="Arial" w:cs="Arial"/>
        </w:rPr>
        <w:t xml:space="preserve">) </w:t>
      </w:r>
      <w:r w:rsidR="007E1856">
        <w:rPr>
          <w:rFonts w:ascii="Arial" w:hAnsi="Arial" w:cs="Arial"/>
        </w:rPr>
        <w:t xml:space="preserve">would like to share the recent publications with 3GPP </w:t>
      </w:r>
      <w:r w:rsidR="002B0E5A">
        <w:rPr>
          <w:rFonts w:ascii="Arial" w:hAnsi="Arial" w:cs="Arial"/>
        </w:rPr>
        <w:t xml:space="preserve">TSG </w:t>
      </w:r>
      <w:r w:rsidR="007E1856">
        <w:rPr>
          <w:rFonts w:ascii="Arial" w:hAnsi="Arial" w:cs="Arial"/>
        </w:rPr>
        <w:t>SA</w:t>
      </w:r>
      <w:r w:rsidR="000643CB">
        <w:rPr>
          <w:rFonts w:ascii="Arial" w:hAnsi="Arial" w:cs="Arial"/>
        </w:rPr>
        <w:t xml:space="preserve"> </w:t>
      </w:r>
      <w:r w:rsidR="002B0E5A">
        <w:rPr>
          <w:rFonts w:ascii="Arial" w:hAnsi="Arial" w:cs="Arial"/>
        </w:rPr>
        <w:t>and corresponding WGs</w:t>
      </w:r>
      <w:r w:rsidR="007E1856">
        <w:rPr>
          <w:rFonts w:ascii="Arial" w:hAnsi="Arial" w:cs="Arial"/>
        </w:rPr>
        <w:t xml:space="preserve"> for </w:t>
      </w:r>
      <w:r w:rsidR="000643CB">
        <w:rPr>
          <w:rFonts w:ascii="Arial" w:hAnsi="Arial" w:cs="Arial"/>
        </w:rPr>
        <w:t>alignment of</w:t>
      </w:r>
      <w:r w:rsidR="00D67B34">
        <w:rPr>
          <w:rFonts w:ascii="Arial" w:hAnsi="Arial" w:cs="Arial"/>
        </w:rPr>
        <w:t xml:space="preserve"> the </w:t>
      </w:r>
      <w:r w:rsidR="007E1856">
        <w:rPr>
          <w:rFonts w:ascii="Arial" w:hAnsi="Arial" w:cs="Arial"/>
        </w:rPr>
        <w:t>potential connected vehicle services</w:t>
      </w:r>
      <w:r w:rsidR="000643CB">
        <w:rPr>
          <w:rFonts w:ascii="Arial" w:hAnsi="Arial" w:cs="Arial"/>
        </w:rPr>
        <w:t xml:space="preserve"> in the future</w:t>
      </w:r>
      <w:r>
        <w:rPr>
          <w:rFonts w:ascii="Arial" w:hAnsi="Arial" w:cs="Arial"/>
        </w:rPr>
        <w:t xml:space="preserve">. AECC is greatly interested in accelerating the deployment of </w:t>
      </w:r>
      <w:r w:rsidR="004851FF">
        <w:rPr>
          <w:rFonts w:ascii="Arial" w:hAnsi="Arial" w:cs="Arial"/>
          <w:lang w:eastAsia="ja-JP"/>
        </w:rPr>
        <w:t xml:space="preserve">connected vehicle 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ervices based on distributed computing infrastructure. Such a goal is also achieved by identifying, developing and accessing functional and performance requirements of </w:t>
      </w:r>
      <w:r w:rsidR="00D67B34">
        <w:rPr>
          <w:rFonts w:ascii="Arial" w:hAnsi="Arial" w:cs="Arial"/>
        </w:rPr>
        <w:t>mobile</w:t>
      </w:r>
      <w:r>
        <w:rPr>
          <w:rFonts w:ascii="Arial" w:hAnsi="Arial" w:cs="Arial"/>
        </w:rPr>
        <w:t xml:space="preserve"> networks and compute platforms, that are deemed important to enable prioritized and high-value automotive services. To this extent, AECC will require standardized solutions which are industry-wide aligned and introduced in the market.</w:t>
      </w:r>
      <w:r w:rsidRPr="006E6FF2">
        <w:rPr>
          <w:rFonts w:cs="Helvetica"/>
        </w:rPr>
        <w:t xml:space="preserve"> </w:t>
      </w:r>
    </w:p>
    <w:p w14:paraId="3440D9C7" w14:textId="681D701C" w:rsidR="007F185C" w:rsidRDefault="007F185C" w:rsidP="00435571">
      <w:pPr>
        <w:rPr>
          <w:rFonts w:ascii="Arial" w:hAnsi="Arial" w:cs="Arial"/>
          <w:iCs/>
        </w:rPr>
      </w:pPr>
    </w:p>
    <w:p w14:paraId="1AA91BE5" w14:textId="6DF6720A" w:rsidR="009B386F" w:rsidRDefault="007E1856" w:rsidP="007F497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D67B34">
        <w:rPr>
          <w:rFonts w:ascii="Arial" w:hAnsi="Arial" w:cs="Arial"/>
          <w:iCs/>
        </w:rPr>
        <w:t>newest version of</w:t>
      </w:r>
      <w:r>
        <w:rPr>
          <w:rFonts w:ascii="Arial" w:hAnsi="Arial" w:cs="Arial"/>
          <w:iCs/>
        </w:rPr>
        <w:t xml:space="preserve"> the</w:t>
      </w:r>
      <w:r w:rsidR="00441D21">
        <w:rPr>
          <w:rFonts w:ascii="Arial" w:hAnsi="Arial" w:cs="Arial"/>
          <w:iCs/>
        </w:rPr>
        <w:t xml:space="preserve"> white paper</w:t>
      </w:r>
      <w:r w:rsidR="00AC6C93">
        <w:rPr>
          <w:rFonts w:ascii="Arial" w:hAnsi="Arial" w:cs="Arial"/>
          <w:iCs/>
        </w:rPr>
        <w:t xml:space="preserve"> </w:t>
      </w:r>
      <w:r w:rsidR="00AC6C93" w:rsidRPr="005B5918">
        <w:rPr>
          <w:rFonts w:ascii="Arial" w:hAnsi="Arial" w:cs="Arial"/>
          <w:b/>
          <w:bCs/>
          <w:iCs/>
        </w:rPr>
        <w:t>AECC General Principle and Vision</w:t>
      </w:r>
      <w:r>
        <w:rPr>
          <w:rFonts w:ascii="Arial" w:hAnsi="Arial" w:cs="Arial"/>
          <w:iCs/>
        </w:rPr>
        <w:t xml:space="preserve">, available at  </w:t>
      </w:r>
      <w:hyperlink r:id="rId12" w:history="1">
        <w:r w:rsidR="00D67B34" w:rsidRPr="004135AB">
          <w:rPr>
            <w:rStyle w:val="Hyperlink"/>
            <w:rFonts w:ascii="Arial" w:hAnsi="Arial" w:cs="Arial"/>
            <w:iCs/>
          </w:rPr>
          <w:t>https://aecc.org/wp-content/uploads/2024/02/AECC_General_Principle_and_Vision_v4.0.3-rev02.pdf</w:t>
        </w:r>
      </w:hyperlink>
      <w:r w:rsidR="00D67B34">
        <w:rPr>
          <w:rFonts w:ascii="Arial" w:hAnsi="Arial" w:cs="Arial" w:hint="eastAsia"/>
          <w:iCs/>
        </w:rPr>
        <w:t xml:space="preserve"> </w:t>
      </w:r>
      <w:r>
        <w:rPr>
          <w:rFonts w:ascii="Arial" w:hAnsi="Arial" w:cs="Arial"/>
          <w:iCs/>
        </w:rPr>
        <w:t xml:space="preserve"> </w:t>
      </w:r>
    </w:p>
    <w:p w14:paraId="0553E32E" w14:textId="2F243244" w:rsidR="00D67B34" w:rsidRDefault="00D67B34" w:rsidP="007F4976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</w:rPr>
        <w:t xml:space="preserve">is </w:t>
      </w:r>
      <w:r>
        <w:rPr>
          <w:rFonts w:ascii="Arial" w:hAnsi="Arial" w:cs="Arial"/>
          <w:iCs/>
        </w:rPr>
        <w:t>update</w:t>
      </w:r>
      <w:r>
        <w:rPr>
          <w:rFonts w:ascii="Arial" w:hAnsi="Arial" w:cs="Arial"/>
          <w:iCs/>
          <w:lang w:eastAsia="ja-JP"/>
        </w:rPr>
        <w:t xml:space="preserve">d with three new services scenarios and use cases. </w:t>
      </w:r>
    </w:p>
    <w:p w14:paraId="38440630" w14:textId="06E98871" w:rsidR="000643CB" w:rsidRDefault="00D67B34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="00C933BC">
        <w:rPr>
          <w:rFonts w:ascii="Arial" w:hAnsi="Arial" w:cs="Arial"/>
          <w:iCs/>
        </w:rPr>
        <w:t xml:space="preserve">Green Mobility scenario in chapter 3.6.4 </w:t>
      </w:r>
      <w:r w:rsidR="000643CB">
        <w:rPr>
          <w:rFonts w:ascii="Arial" w:hAnsi="Arial" w:cs="Arial"/>
          <w:iCs/>
        </w:rPr>
        <w:t xml:space="preserve">priorities the necessity of optimization across transportation system, energy system and ICT system, as the demanding of </w:t>
      </w:r>
      <w:r w:rsidR="000643CB" w:rsidRPr="000643CB">
        <w:rPr>
          <w:rFonts w:ascii="Arial" w:hAnsi="Arial" w:cs="Arial"/>
          <w:iCs/>
        </w:rPr>
        <w:t>renewable energy</w:t>
      </w:r>
      <w:r w:rsidR="000643CB">
        <w:rPr>
          <w:rFonts w:ascii="Arial" w:hAnsi="Arial" w:cs="Arial"/>
          <w:iCs/>
        </w:rPr>
        <w:t xml:space="preserve">, new energy powered vehicles and sustainable ICT infrastructures. </w:t>
      </w:r>
    </w:p>
    <w:p w14:paraId="10CDCED2" w14:textId="07D091F6" w:rsidR="00D67B34" w:rsidRDefault="000643CB" w:rsidP="00C933BC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Digital Twin scenario in chapter 3.5 briefly illustrates the technical requirements of data fidelity, j</w:t>
      </w:r>
      <w:r w:rsidRPr="000643CB">
        <w:rPr>
          <w:rFonts w:ascii="Arial" w:hAnsi="Arial" w:cs="Arial"/>
          <w:iCs/>
        </w:rPr>
        <w:t xml:space="preserve">ust-in-time Inference and </w:t>
      </w:r>
      <w:r>
        <w:rPr>
          <w:rFonts w:ascii="Arial" w:hAnsi="Arial" w:cs="Arial"/>
          <w:iCs/>
        </w:rPr>
        <w:t>a</w:t>
      </w:r>
      <w:r w:rsidRPr="000643CB">
        <w:rPr>
          <w:rFonts w:ascii="Arial" w:hAnsi="Arial" w:cs="Arial"/>
          <w:iCs/>
        </w:rPr>
        <w:t xml:space="preserve">ction </w:t>
      </w:r>
      <w:r>
        <w:rPr>
          <w:rFonts w:ascii="Arial" w:hAnsi="Arial" w:cs="Arial"/>
          <w:iCs/>
        </w:rPr>
        <w:t>p</w:t>
      </w:r>
      <w:r w:rsidRPr="000643CB">
        <w:rPr>
          <w:rFonts w:ascii="Arial" w:hAnsi="Arial" w:cs="Arial"/>
          <w:iCs/>
        </w:rPr>
        <w:t>lanning</w:t>
      </w:r>
      <w:r>
        <w:rPr>
          <w:rFonts w:ascii="Arial" w:hAnsi="Arial" w:cs="Arial"/>
          <w:iCs/>
        </w:rPr>
        <w:t xml:space="preserve"> to realize the mobility digital twin use cases.</w:t>
      </w:r>
    </w:p>
    <w:p w14:paraId="193938F5" w14:textId="3DC69453" w:rsidR="000643CB" w:rsidRDefault="000643CB" w:rsidP="005B591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The Vehicle Teleoperation service scenario defined in chapter 3.4</w:t>
      </w:r>
      <w:r w:rsidR="005B5918">
        <w:rPr>
          <w:rFonts w:ascii="Arial" w:hAnsi="Arial" w:cs="Arial"/>
          <w:iCs/>
        </w:rPr>
        <w:t xml:space="preserve"> is becoming increasing important before the autonomous driving is fully realized. It</w:t>
      </w:r>
      <w:r w:rsidR="005B5918" w:rsidRPr="005B5918">
        <w:t xml:space="preserve"> </w:t>
      </w:r>
      <w:r w:rsidR="005B5918" w:rsidRPr="005B5918">
        <w:rPr>
          <w:rFonts w:ascii="Arial" w:hAnsi="Arial" w:cs="Arial"/>
          <w:iCs/>
        </w:rPr>
        <w:t>can improve the availability and efficiency of mobility services through vehicle remote</w:t>
      </w:r>
      <w:r w:rsidR="005B5918">
        <w:rPr>
          <w:rFonts w:ascii="Arial" w:hAnsi="Arial" w:cs="Arial"/>
          <w:iCs/>
        </w:rPr>
        <w:t xml:space="preserve"> </w:t>
      </w:r>
      <w:r w:rsidR="005B5918" w:rsidRPr="005B5918">
        <w:rPr>
          <w:rFonts w:ascii="Arial" w:hAnsi="Arial" w:cs="Arial"/>
          <w:iCs/>
        </w:rPr>
        <w:t>driving and in-car monitoring.</w:t>
      </w:r>
      <w:r w:rsidR="005B5918">
        <w:rPr>
          <w:rFonts w:ascii="Arial" w:hAnsi="Arial" w:cs="Arial"/>
          <w:iCs/>
        </w:rPr>
        <w:t xml:space="preserve"> Various network performances are discussed to meet the teleoperation requirements.</w:t>
      </w:r>
    </w:p>
    <w:p w14:paraId="2A0D4C93" w14:textId="77777777" w:rsidR="000643CB" w:rsidRDefault="000643CB" w:rsidP="00435571">
      <w:pPr>
        <w:rPr>
          <w:rFonts w:ascii="Arial" w:hAnsi="Arial" w:cs="Arial"/>
          <w:iCs/>
        </w:rPr>
      </w:pPr>
    </w:p>
    <w:p w14:paraId="2DCDE40B" w14:textId="2C184E60" w:rsidR="005B5918" w:rsidRDefault="005B5918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new version of the </w:t>
      </w:r>
      <w:r w:rsidRPr="005B5918">
        <w:rPr>
          <w:rFonts w:ascii="Arial" w:hAnsi="Arial" w:cs="Arial"/>
          <w:b/>
          <w:bCs/>
          <w:iCs/>
        </w:rPr>
        <w:t>Driving Data to the Edge: The Challenge of Traffic Distribution</w:t>
      </w:r>
      <w:r w:rsidRPr="005B5918">
        <w:rPr>
          <w:rFonts w:ascii="Arial" w:hAnsi="Arial" w:cs="Arial"/>
          <w:iCs/>
        </w:rPr>
        <w:t xml:space="preserve"> </w:t>
      </w:r>
      <w:r w:rsidRPr="005B5918">
        <w:rPr>
          <w:rFonts w:ascii="Arial" w:hAnsi="Arial" w:cs="Arial"/>
          <w:b/>
          <w:bCs/>
          <w:iCs/>
        </w:rPr>
        <w:t>Technical Report</w:t>
      </w:r>
      <w:r w:rsidRPr="005B5918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available at </w:t>
      </w:r>
    </w:p>
    <w:p w14:paraId="232D98B8" w14:textId="07324000" w:rsidR="005B5918" w:rsidRDefault="00000000" w:rsidP="00435571">
      <w:pPr>
        <w:rPr>
          <w:rFonts w:ascii="Arial" w:hAnsi="Arial" w:cs="Arial"/>
          <w:iCs/>
        </w:rPr>
      </w:pPr>
      <w:hyperlink r:id="rId13" w:history="1">
        <w:r w:rsidR="005B5918" w:rsidRPr="004135AB">
          <w:rPr>
            <w:rStyle w:val="Hyperlink"/>
            <w:rFonts w:ascii="Arial" w:hAnsi="Arial" w:cs="Arial"/>
            <w:iCs/>
          </w:rPr>
          <w:t>https://aecc.org/wp-content/uploads/2023/12/AECC_E2ENW_TR_v2.6.pdf</w:t>
        </w:r>
      </w:hyperlink>
      <w:r w:rsidR="005B5918">
        <w:rPr>
          <w:rFonts w:ascii="Arial" w:hAnsi="Arial" w:cs="Arial"/>
          <w:iCs/>
        </w:rPr>
        <w:t xml:space="preserve"> </w:t>
      </w:r>
    </w:p>
    <w:p w14:paraId="68DCDBDF" w14:textId="5C5DE9CE" w:rsidR="005B5918" w:rsidRDefault="005B5918" w:rsidP="00435571">
      <w:pPr>
        <w:rPr>
          <w:rFonts w:ascii="Arial" w:hAnsi="Arial" w:cs="Arial"/>
          <w:b/>
          <w:bCs/>
          <w:iCs/>
        </w:rPr>
      </w:pPr>
      <w:r w:rsidRPr="005B5918">
        <w:rPr>
          <w:rFonts w:ascii="Arial" w:hAnsi="Arial" w:cs="Arial"/>
          <w:iCs/>
        </w:rPr>
        <w:t xml:space="preserve">is </w:t>
      </w:r>
      <w:r w:rsidR="00535054">
        <w:rPr>
          <w:rFonts w:ascii="Arial" w:hAnsi="Arial" w:cs="Arial"/>
          <w:iCs/>
        </w:rPr>
        <w:t>updated</w:t>
      </w:r>
      <w:r w:rsidRPr="005B5918">
        <w:rPr>
          <w:rFonts w:ascii="Arial" w:hAnsi="Arial" w:cs="Arial"/>
          <w:iCs/>
        </w:rPr>
        <w:t xml:space="preserve"> with two new key issues identified </w:t>
      </w:r>
      <w:r>
        <w:rPr>
          <w:rFonts w:ascii="Arial" w:hAnsi="Arial" w:cs="Arial"/>
          <w:iCs/>
        </w:rPr>
        <w:t>by</w:t>
      </w:r>
      <w:r w:rsidRPr="005B5918">
        <w:rPr>
          <w:rFonts w:ascii="Arial" w:hAnsi="Arial" w:cs="Arial"/>
          <w:iCs/>
        </w:rPr>
        <w:t xml:space="preserve"> the AECC</w:t>
      </w:r>
      <w:r w:rsidR="009B386F">
        <w:rPr>
          <w:rFonts w:ascii="Arial" w:hAnsi="Arial" w:cs="Arial"/>
          <w:iCs/>
        </w:rPr>
        <w:t xml:space="preserve"> technical solution WG</w:t>
      </w:r>
      <w:r>
        <w:rPr>
          <w:rFonts w:ascii="Arial" w:hAnsi="Arial" w:cs="Arial"/>
          <w:b/>
          <w:bCs/>
          <w:iCs/>
        </w:rPr>
        <w:t>.</w:t>
      </w:r>
    </w:p>
    <w:p w14:paraId="2BD9C7D6" w14:textId="18AFB4DE" w:rsidR="00535054" w:rsidRPr="00535054" w:rsidRDefault="00535054" w:rsidP="00435571">
      <w:pPr>
        <w:rPr>
          <w:rFonts w:ascii="Arial" w:hAnsi="Arial" w:cs="Arial"/>
          <w:iCs/>
        </w:rPr>
      </w:pPr>
      <w:r w:rsidRPr="00535054">
        <w:rPr>
          <w:rFonts w:ascii="Arial" w:hAnsi="Arial" w:cs="Arial"/>
          <w:iCs/>
        </w:rPr>
        <w:lastRenderedPageBreak/>
        <w:t>The</w:t>
      </w:r>
      <w:r>
        <w:rPr>
          <w:rFonts w:ascii="Arial" w:hAnsi="Arial" w:cs="Arial"/>
          <w:iCs/>
        </w:rPr>
        <w:t xml:space="preserve"> service continuity and Geolocation services are of importance to connected vehicle services, further solution analysis are provided from the AECC end-to-end service architecture perspective.</w:t>
      </w:r>
    </w:p>
    <w:p w14:paraId="26F66123" w14:textId="77777777" w:rsidR="005B5918" w:rsidRDefault="005B5918" w:rsidP="00435571">
      <w:pPr>
        <w:rPr>
          <w:rFonts w:ascii="Arial" w:hAnsi="Arial" w:cs="Arial"/>
          <w:iCs/>
        </w:rPr>
      </w:pPr>
    </w:p>
    <w:p w14:paraId="4667BE28" w14:textId="77777777" w:rsidR="00207E9E" w:rsidRDefault="00535054" w:rsidP="00435571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iCs/>
        </w:rPr>
        <w:t xml:space="preserve">The new </w:t>
      </w:r>
      <w:r w:rsidR="00207E9E">
        <w:rPr>
          <w:rFonts w:ascii="Arial" w:hAnsi="Arial" w:cs="Arial"/>
          <w:iCs/>
        </w:rPr>
        <w:t xml:space="preserve">white paper entitled </w:t>
      </w:r>
      <w:r w:rsidRPr="00535054">
        <w:rPr>
          <w:rFonts w:ascii="Arial" w:hAnsi="Arial" w:cs="Arial"/>
          <w:b/>
          <w:bCs/>
          <w:iCs/>
        </w:rPr>
        <w:t>Connected Infrastructure for the Realization of the Green Mobility Society</w:t>
      </w:r>
      <w:r w:rsidR="00207E9E" w:rsidRPr="00207E9E">
        <w:rPr>
          <w:rFonts w:ascii="Arial" w:hAnsi="Arial" w:cs="Arial"/>
          <w:iCs/>
        </w:rPr>
        <w:t>, available at</w:t>
      </w:r>
      <w:r w:rsidR="00207E9E">
        <w:rPr>
          <w:rFonts w:ascii="Arial" w:hAnsi="Arial" w:cs="Arial"/>
          <w:b/>
          <w:bCs/>
          <w:iCs/>
        </w:rPr>
        <w:t xml:space="preserve"> </w:t>
      </w:r>
    </w:p>
    <w:p w14:paraId="5D1CBB6D" w14:textId="5523B929" w:rsidR="00207E9E" w:rsidRPr="00207E9E" w:rsidRDefault="00000000" w:rsidP="00435571">
      <w:pPr>
        <w:rPr>
          <w:rFonts w:ascii="Arial" w:hAnsi="Arial" w:cs="Arial"/>
          <w:iCs/>
        </w:rPr>
      </w:pPr>
      <w:hyperlink r:id="rId14" w:history="1">
        <w:r w:rsidR="00207E9E" w:rsidRPr="00207E9E">
          <w:rPr>
            <w:rStyle w:val="Hyperlink"/>
            <w:rFonts w:ascii="Arial" w:hAnsi="Arial" w:cs="Arial"/>
            <w:iCs/>
          </w:rPr>
          <w:t>https://aecc.org/wp-content/uploads/2023/11/20230915_EN_Connected_infrastructure_for_the_realization_of_Green_Mobility_Society.Designed_10.20pdf.pdf</w:t>
        </w:r>
      </w:hyperlink>
      <w:r w:rsidR="00207E9E" w:rsidRPr="00207E9E">
        <w:rPr>
          <w:rFonts w:ascii="Arial" w:hAnsi="Arial" w:cs="Arial"/>
          <w:iCs/>
        </w:rPr>
        <w:t xml:space="preserve"> </w:t>
      </w:r>
    </w:p>
    <w:p w14:paraId="64306AB7" w14:textId="14F6DA2D" w:rsidR="00503FDA" w:rsidRDefault="00207E9E" w:rsidP="00435571">
      <w:pPr>
        <w:rPr>
          <w:rFonts w:ascii="Arial" w:hAnsi="Arial" w:cs="Arial"/>
          <w:iCs/>
        </w:rPr>
      </w:pPr>
      <w:r w:rsidRPr="00207E9E">
        <w:rPr>
          <w:rFonts w:ascii="Arial" w:hAnsi="Arial" w:cs="Arial"/>
          <w:iCs/>
        </w:rPr>
        <w:t xml:space="preserve">is dedicated </w:t>
      </w:r>
      <w:r>
        <w:rPr>
          <w:rFonts w:ascii="Arial" w:hAnsi="Arial" w:cs="Arial"/>
          <w:iCs/>
        </w:rPr>
        <w:t>to investigate the green mobility challenges for the future society.</w:t>
      </w:r>
    </w:p>
    <w:bookmarkEnd w:id="12"/>
    <w:bookmarkEnd w:id="13"/>
    <w:p w14:paraId="628385FD" w14:textId="6CED5562" w:rsidR="00435571" w:rsidRDefault="00693E27" w:rsidP="00435571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In the publication,</w:t>
      </w:r>
      <w:r w:rsidR="00207E9E">
        <w:rPr>
          <w:rFonts w:ascii="Arial" w:hAnsi="Arial" w:cs="Arial"/>
          <w:iCs/>
        </w:rPr>
        <w:t xml:space="preserve"> the trend of AI-powered mobility services and new energy shifting in the transportation</w:t>
      </w:r>
      <w:r>
        <w:rPr>
          <w:rFonts w:ascii="Arial" w:hAnsi="Arial" w:cs="Arial"/>
          <w:iCs/>
        </w:rPr>
        <w:t xml:space="preserve"> are highlighted</w:t>
      </w:r>
      <w:r w:rsidR="00207E9E">
        <w:rPr>
          <w:rFonts w:ascii="Arial" w:hAnsi="Arial" w:cs="Arial"/>
          <w:iCs/>
        </w:rPr>
        <w:t xml:space="preserve">, which bring up </w:t>
      </w:r>
      <w:r>
        <w:rPr>
          <w:rFonts w:ascii="Arial" w:hAnsi="Arial" w:cs="Arial"/>
          <w:iCs/>
        </w:rPr>
        <w:t xml:space="preserve">the green mobility society vision to address </w:t>
      </w:r>
      <w:r w:rsidR="00207E9E">
        <w:rPr>
          <w:rFonts w:ascii="Arial" w:hAnsi="Arial" w:cs="Arial"/>
          <w:iCs/>
        </w:rPr>
        <w:t xml:space="preserve">the energy </w:t>
      </w:r>
      <w:r>
        <w:rPr>
          <w:rFonts w:ascii="Arial" w:hAnsi="Arial" w:cs="Arial"/>
          <w:iCs/>
        </w:rPr>
        <w:t>consumption</w:t>
      </w:r>
      <w:r w:rsidR="00207E9E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challenges. It shows</w:t>
      </w:r>
      <w:r w:rsidRPr="00693E27">
        <w:rPr>
          <w:rFonts w:ascii="Arial" w:hAnsi="Arial" w:cs="Arial"/>
          <w:iCs/>
        </w:rPr>
        <w:t xml:space="preserve"> the essential role of </w:t>
      </w:r>
      <w:r>
        <w:rPr>
          <w:rFonts w:ascii="Arial" w:hAnsi="Arial" w:cs="Arial"/>
          <w:iCs/>
        </w:rPr>
        <w:t xml:space="preserve">mobile </w:t>
      </w:r>
      <w:r w:rsidRPr="00693E27">
        <w:rPr>
          <w:rFonts w:ascii="Arial" w:hAnsi="Arial" w:cs="Arial"/>
          <w:iCs/>
        </w:rPr>
        <w:t xml:space="preserve">network and IT infrastructure, referred to as "connected infrastructure," in supporting the evolution of green mobility and the adoption of new technologies </w:t>
      </w:r>
      <w:r>
        <w:rPr>
          <w:rFonts w:ascii="Arial" w:hAnsi="Arial" w:cs="Arial"/>
          <w:iCs/>
        </w:rPr>
        <w:t>such as</w:t>
      </w:r>
      <w:r w:rsidRPr="00693E27">
        <w:rPr>
          <w:rFonts w:ascii="Arial" w:hAnsi="Arial" w:cs="Arial"/>
          <w:iCs/>
        </w:rPr>
        <w:t xml:space="preserve"> </w:t>
      </w:r>
      <w:r w:rsidR="00084191">
        <w:rPr>
          <w:rFonts w:ascii="Arial" w:hAnsi="Arial" w:cs="Arial" w:hint="eastAsia"/>
          <w:iCs/>
        </w:rPr>
        <w:t>Gen</w:t>
      </w:r>
      <w:r w:rsidR="00084191">
        <w:rPr>
          <w:rFonts w:ascii="Arial" w:hAnsi="Arial" w:cs="Arial"/>
          <w:iCs/>
        </w:rPr>
        <w:t xml:space="preserve">erative </w:t>
      </w:r>
      <w:r w:rsidRPr="00693E27">
        <w:rPr>
          <w:rFonts w:ascii="Arial" w:hAnsi="Arial" w:cs="Arial"/>
          <w:iCs/>
        </w:rPr>
        <w:t>AI in the automotive industry</w:t>
      </w:r>
      <w:r>
        <w:rPr>
          <w:rFonts w:ascii="Arial" w:hAnsi="Arial" w:cs="Arial"/>
          <w:iCs/>
        </w:rPr>
        <w:t>.</w:t>
      </w:r>
    </w:p>
    <w:p w14:paraId="77353885" w14:textId="11C8A3EC" w:rsidR="00AC6F15" w:rsidRDefault="00AC6F15" w:rsidP="00CD2E8F">
      <w:pPr>
        <w:rPr>
          <w:rFonts w:ascii="Arial" w:hAnsi="Arial" w:cs="Arial"/>
          <w:b/>
        </w:rPr>
      </w:pPr>
    </w:p>
    <w:p w14:paraId="4FC64E89" w14:textId="77777777" w:rsidR="00AC6F15" w:rsidRPr="00152E5F" w:rsidRDefault="00AC6F15" w:rsidP="00AC6F15">
      <w:pPr>
        <w:spacing w:after="120"/>
        <w:rPr>
          <w:rFonts w:ascii="Arial" w:hAnsi="Arial" w:cs="Arial"/>
          <w:b/>
          <w:lang w:val="fr-FR"/>
        </w:rPr>
      </w:pPr>
      <w:r w:rsidRPr="00152E5F">
        <w:rPr>
          <w:rFonts w:ascii="Arial" w:hAnsi="Arial" w:cs="Arial"/>
          <w:b/>
          <w:lang w:val="fr-FR"/>
        </w:rPr>
        <w:t>2. Actions:</w:t>
      </w:r>
    </w:p>
    <w:p w14:paraId="6535DDAC" w14:textId="2C46AFA5" w:rsidR="00AC6F15" w:rsidRPr="0097172B" w:rsidRDefault="00AC6F15" w:rsidP="00AC6F15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sz w:val="22"/>
        </w:rPr>
      </w:pPr>
      <w:r w:rsidRPr="0097172B">
        <w:rPr>
          <w:rFonts w:ascii="Arial" w:hAnsi="Arial" w:cs="Arial"/>
          <w:sz w:val="22"/>
        </w:rPr>
        <w:t xml:space="preserve">AECC </w:t>
      </w:r>
      <w:r>
        <w:rPr>
          <w:rFonts w:ascii="Arial" w:hAnsi="Arial" w:cs="Arial"/>
          <w:sz w:val="22"/>
        </w:rPr>
        <w:t xml:space="preserve">kindly </w:t>
      </w:r>
      <w:r w:rsidR="009E26FE">
        <w:rPr>
          <w:rFonts w:ascii="Arial" w:hAnsi="Arial" w:cs="Arial"/>
          <w:sz w:val="22"/>
        </w:rPr>
        <w:t>invites</w:t>
      </w:r>
      <w:r w:rsidR="009E26FE" w:rsidRPr="0097172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3GPP</w:t>
      </w:r>
      <w:r w:rsidR="00C933BC">
        <w:rPr>
          <w:rFonts w:ascii="Arial" w:hAnsi="Arial" w:cs="Arial"/>
          <w:sz w:val="22"/>
        </w:rPr>
        <w:t xml:space="preserve"> SA </w:t>
      </w:r>
      <w:r w:rsidR="00DD081B">
        <w:rPr>
          <w:rFonts w:ascii="Arial" w:hAnsi="Arial" w:cs="Arial"/>
          <w:sz w:val="22"/>
        </w:rPr>
        <w:t>WGs</w:t>
      </w:r>
      <w:r w:rsidR="00C933BC">
        <w:rPr>
          <w:rFonts w:ascii="Arial" w:hAnsi="Arial" w:cs="Arial"/>
          <w:sz w:val="22"/>
        </w:rPr>
        <w:t xml:space="preserve"> </w:t>
      </w:r>
      <w:r w:rsidRPr="002B276C">
        <w:rPr>
          <w:rFonts w:ascii="Arial" w:hAnsi="Arial" w:cs="Arial"/>
          <w:sz w:val="22"/>
        </w:rPr>
        <w:t xml:space="preserve">to </w:t>
      </w:r>
      <w:r w:rsidR="00300B0D">
        <w:rPr>
          <w:rFonts w:ascii="Arial" w:hAnsi="Arial" w:cs="Arial"/>
          <w:sz w:val="22"/>
        </w:rPr>
        <w:t>review</w:t>
      </w:r>
      <w:r w:rsidR="004016AD">
        <w:rPr>
          <w:rFonts w:ascii="Arial" w:hAnsi="Arial" w:cs="Arial"/>
          <w:sz w:val="22"/>
        </w:rPr>
        <w:t xml:space="preserve"> </w:t>
      </w:r>
      <w:r w:rsidR="00300B0D">
        <w:rPr>
          <w:rFonts w:ascii="Arial" w:hAnsi="Arial" w:cs="Arial"/>
          <w:sz w:val="22"/>
        </w:rPr>
        <w:t xml:space="preserve">and provide feedback </w:t>
      </w:r>
      <w:r w:rsidR="009E26FE">
        <w:rPr>
          <w:rFonts w:ascii="Arial" w:hAnsi="Arial" w:cs="Arial"/>
          <w:sz w:val="22"/>
        </w:rPr>
        <w:t xml:space="preserve">to </w:t>
      </w:r>
      <w:r w:rsidRPr="0097172B">
        <w:rPr>
          <w:rFonts w:ascii="Arial" w:hAnsi="Arial" w:cs="Arial"/>
          <w:sz w:val="22"/>
        </w:rPr>
        <w:t xml:space="preserve">the </w:t>
      </w:r>
      <w:r w:rsidR="00C933BC">
        <w:rPr>
          <w:rFonts w:ascii="Arial" w:hAnsi="Arial" w:cs="Arial"/>
          <w:sz w:val="22"/>
        </w:rPr>
        <w:t xml:space="preserve">new </w:t>
      </w:r>
      <w:r w:rsidR="00DD081B">
        <w:rPr>
          <w:rFonts w:ascii="Arial" w:hAnsi="Arial" w:cs="Arial"/>
          <w:sz w:val="22"/>
        </w:rPr>
        <w:t xml:space="preserve">contents of </w:t>
      </w:r>
      <w:r w:rsidR="00C933BC">
        <w:rPr>
          <w:rFonts w:ascii="Arial" w:hAnsi="Arial" w:cs="Arial"/>
          <w:sz w:val="22"/>
        </w:rPr>
        <w:t>AECC publications</w:t>
      </w:r>
      <w:r w:rsidR="009E26FE">
        <w:rPr>
          <w:rFonts w:ascii="Arial" w:hAnsi="Arial" w:cs="Arial"/>
          <w:sz w:val="22"/>
        </w:rPr>
        <w:t>.</w:t>
      </w:r>
    </w:p>
    <w:p w14:paraId="5E86092B" w14:textId="1261962C" w:rsidR="00AC6F15" w:rsidRDefault="004657A6" w:rsidP="004657A6">
      <w:pPr>
        <w:pStyle w:val="ListParagraph"/>
        <w:tabs>
          <w:tab w:val="left" w:pos="5772"/>
        </w:tabs>
        <w:spacing w:after="120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5FC20040" w14:textId="77777777" w:rsidR="00AC6F15" w:rsidRDefault="00AC6F15" w:rsidP="00AC6F15">
      <w:pPr>
        <w:spacing w:after="12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3. Date of Next AECC Meetings:</w:t>
      </w:r>
    </w:p>
    <w:p w14:paraId="30908A91" w14:textId="474F9C64" w:rsidR="00AC6F15" w:rsidRDefault="00AC6F15" w:rsidP="00AC6F15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  <w:r>
        <w:rPr>
          <w:rFonts w:ascii="Arial" w:hAnsi="Arial"/>
        </w:rPr>
        <w:t xml:space="preserve">AECC All Member Meeting                     </w:t>
      </w:r>
      <w:r>
        <w:rPr>
          <w:rFonts w:ascii="Arial" w:hAnsi="Arial"/>
        </w:rPr>
        <w:tab/>
      </w:r>
      <w:r w:rsidR="0090181B">
        <w:rPr>
          <w:rFonts w:ascii="Arial" w:hAnsi="Arial"/>
        </w:rPr>
        <w:t>17</w:t>
      </w:r>
      <w:r w:rsidR="009E26FE">
        <w:rPr>
          <w:rFonts w:ascii="Arial" w:hAnsi="Arial"/>
        </w:rPr>
        <w:t xml:space="preserve"> </w:t>
      </w:r>
      <w:r>
        <w:rPr>
          <w:rFonts w:ascii="Arial" w:hAnsi="Arial"/>
        </w:rPr>
        <w:t xml:space="preserve">- </w:t>
      </w:r>
      <w:r w:rsidR="009E26FE">
        <w:rPr>
          <w:rFonts w:ascii="Arial" w:hAnsi="Arial"/>
        </w:rPr>
        <w:t>1</w:t>
      </w:r>
      <w:r w:rsidR="0090181B">
        <w:rPr>
          <w:rFonts w:ascii="Arial" w:hAnsi="Arial"/>
        </w:rPr>
        <w:t>8</w:t>
      </w:r>
      <w:r w:rsidR="009E26FE">
        <w:rPr>
          <w:rFonts w:ascii="Arial" w:hAnsi="Arial"/>
        </w:rPr>
        <w:t xml:space="preserve"> </w:t>
      </w:r>
      <w:r w:rsidR="0090181B">
        <w:rPr>
          <w:rFonts w:ascii="Arial" w:hAnsi="Arial"/>
        </w:rPr>
        <w:t>Apr</w:t>
      </w:r>
      <w:r>
        <w:rPr>
          <w:rFonts w:ascii="Arial" w:hAnsi="Arial"/>
        </w:rPr>
        <w:t>. 202</w:t>
      </w:r>
      <w:r w:rsidR="0090181B">
        <w:rPr>
          <w:rFonts w:ascii="Arial" w:hAnsi="Arial"/>
        </w:rPr>
        <w:t>4</w:t>
      </w:r>
      <w:r w:rsidR="009E26FE">
        <w:rPr>
          <w:rFonts w:ascii="Arial" w:hAnsi="Arial"/>
        </w:rPr>
        <w:t xml:space="preserve">                </w:t>
      </w:r>
      <w:r w:rsidR="0090181B">
        <w:rPr>
          <w:rFonts w:ascii="Arial" w:hAnsi="Arial"/>
        </w:rPr>
        <w:t xml:space="preserve">  </w:t>
      </w:r>
      <w:r w:rsidR="0090181B">
        <w:rPr>
          <w:rFonts w:ascii="Arial" w:hAnsi="Arial"/>
        </w:rPr>
        <w:tab/>
        <w:t>Tokyo, Japan</w:t>
      </w:r>
    </w:p>
    <w:p w14:paraId="6368F5C2" w14:textId="77777777" w:rsidR="00AC6F15" w:rsidRPr="00AF5AEB" w:rsidRDefault="00AC6F15" w:rsidP="00AC6F15">
      <w:pPr>
        <w:pStyle w:val="Footer"/>
        <w:tabs>
          <w:tab w:val="left" w:pos="2410"/>
          <w:tab w:val="left" w:pos="5103"/>
          <w:tab w:val="left" w:pos="7371"/>
        </w:tabs>
      </w:pPr>
    </w:p>
    <w:bookmarkEnd w:id="2"/>
    <w:bookmarkEnd w:id="3"/>
    <w:p w14:paraId="4CA8EDFD" w14:textId="77777777" w:rsidR="00E8105C" w:rsidRPr="00AC6F15" w:rsidRDefault="00E8105C">
      <w:pPr>
        <w:rPr>
          <w:lang w:val="en-GB"/>
        </w:rPr>
      </w:pPr>
    </w:p>
    <w:sectPr w:rsidR="00E8105C" w:rsidRPr="00AC6F15" w:rsidSect="00B06F7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3B9E0" w14:textId="77777777" w:rsidR="00B06F7D" w:rsidRDefault="00B06F7D" w:rsidP="0052597F">
      <w:r>
        <w:separator/>
      </w:r>
    </w:p>
  </w:endnote>
  <w:endnote w:type="continuationSeparator" w:id="0">
    <w:p w14:paraId="3348051F" w14:textId="77777777" w:rsidR="00B06F7D" w:rsidRDefault="00B06F7D" w:rsidP="0052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64533" w14:textId="77777777" w:rsidR="00B06F7D" w:rsidRDefault="00B06F7D" w:rsidP="0052597F">
      <w:r>
        <w:separator/>
      </w:r>
    </w:p>
  </w:footnote>
  <w:footnote w:type="continuationSeparator" w:id="0">
    <w:p w14:paraId="375130EB" w14:textId="77777777" w:rsidR="00B06F7D" w:rsidRDefault="00B06F7D" w:rsidP="00525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75AD9"/>
    <w:multiLevelType w:val="hybridMultilevel"/>
    <w:tmpl w:val="2D8A4FF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977ADF"/>
    <w:multiLevelType w:val="hybridMultilevel"/>
    <w:tmpl w:val="40F8DE5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2219131">
    <w:abstractNumId w:val="2"/>
  </w:num>
  <w:num w:numId="2" w16cid:durableId="61684625">
    <w:abstractNumId w:val="1"/>
  </w:num>
  <w:num w:numId="3" w16cid:durableId="903299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F15"/>
    <w:rsid w:val="000105BC"/>
    <w:rsid w:val="00014727"/>
    <w:rsid w:val="000171F2"/>
    <w:rsid w:val="0005244D"/>
    <w:rsid w:val="000643CB"/>
    <w:rsid w:val="000807DC"/>
    <w:rsid w:val="00084191"/>
    <w:rsid w:val="000C1684"/>
    <w:rsid w:val="000E5014"/>
    <w:rsid w:val="00134E00"/>
    <w:rsid w:val="00157E88"/>
    <w:rsid w:val="00183120"/>
    <w:rsid w:val="001C2B0A"/>
    <w:rsid w:val="001C5D2F"/>
    <w:rsid w:val="001C60E2"/>
    <w:rsid w:val="001E58A4"/>
    <w:rsid w:val="0020365E"/>
    <w:rsid w:val="00207E9E"/>
    <w:rsid w:val="00225EA7"/>
    <w:rsid w:val="00240851"/>
    <w:rsid w:val="00295246"/>
    <w:rsid w:val="002A1D8C"/>
    <w:rsid w:val="002B0E5A"/>
    <w:rsid w:val="002B276C"/>
    <w:rsid w:val="002C37F2"/>
    <w:rsid w:val="002C6474"/>
    <w:rsid w:val="002F4663"/>
    <w:rsid w:val="00300B0D"/>
    <w:rsid w:val="00310D04"/>
    <w:rsid w:val="0032060D"/>
    <w:rsid w:val="00320E52"/>
    <w:rsid w:val="003940F7"/>
    <w:rsid w:val="00396123"/>
    <w:rsid w:val="003A2DAD"/>
    <w:rsid w:val="003D1561"/>
    <w:rsid w:val="004016AD"/>
    <w:rsid w:val="00417386"/>
    <w:rsid w:val="0042678A"/>
    <w:rsid w:val="00435571"/>
    <w:rsid w:val="00441D21"/>
    <w:rsid w:val="004657A6"/>
    <w:rsid w:val="004851FF"/>
    <w:rsid w:val="00486738"/>
    <w:rsid w:val="004A15B2"/>
    <w:rsid w:val="004B514A"/>
    <w:rsid w:val="004E12E4"/>
    <w:rsid w:val="004E3602"/>
    <w:rsid w:val="005022A7"/>
    <w:rsid w:val="00503FDA"/>
    <w:rsid w:val="0052574A"/>
    <w:rsid w:val="0052597F"/>
    <w:rsid w:val="0052745B"/>
    <w:rsid w:val="00532886"/>
    <w:rsid w:val="00535054"/>
    <w:rsid w:val="0054057C"/>
    <w:rsid w:val="00557EDF"/>
    <w:rsid w:val="00571049"/>
    <w:rsid w:val="0057424D"/>
    <w:rsid w:val="00576A8D"/>
    <w:rsid w:val="005803C2"/>
    <w:rsid w:val="00584680"/>
    <w:rsid w:val="00597B3F"/>
    <w:rsid w:val="005B5918"/>
    <w:rsid w:val="005E059C"/>
    <w:rsid w:val="00605F71"/>
    <w:rsid w:val="0063578E"/>
    <w:rsid w:val="0067225D"/>
    <w:rsid w:val="00685189"/>
    <w:rsid w:val="00687BBB"/>
    <w:rsid w:val="00693E27"/>
    <w:rsid w:val="006B153F"/>
    <w:rsid w:val="006E69BE"/>
    <w:rsid w:val="006F51E3"/>
    <w:rsid w:val="00700122"/>
    <w:rsid w:val="0075341A"/>
    <w:rsid w:val="00781872"/>
    <w:rsid w:val="007917D2"/>
    <w:rsid w:val="007C68D7"/>
    <w:rsid w:val="007D7717"/>
    <w:rsid w:val="007E1856"/>
    <w:rsid w:val="007F185C"/>
    <w:rsid w:val="007F4976"/>
    <w:rsid w:val="007F68B8"/>
    <w:rsid w:val="00800672"/>
    <w:rsid w:val="00804E45"/>
    <w:rsid w:val="00856CBB"/>
    <w:rsid w:val="00860D27"/>
    <w:rsid w:val="0087720A"/>
    <w:rsid w:val="00890478"/>
    <w:rsid w:val="008E0017"/>
    <w:rsid w:val="008F6A44"/>
    <w:rsid w:val="009002B2"/>
    <w:rsid w:val="0090181B"/>
    <w:rsid w:val="00993A46"/>
    <w:rsid w:val="009A0DE1"/>
    <w:rsid w:val="009A3199"/>
    <w:rsid w:val="009B386F"/>
    <w:rsid w:val="009E26FE"/>
    <w:rsid w:val="00A06511"/>
    <w:rsid w:val="00A17DF6"/>
    <w:rsid w:val="00A265A8"/>
    <w:rsid w:val="00A45C0D"/>
    <w:rsid w:val="00A47063"/>
    <w:rsid w:val="00A95B27"/>
    <w:rsid w:val="00AC46E3"/>
    <w:rsid w:val="00AC6C93"/>
    <w:rsid w:val="00AC6F15"/>
    <w:rsid w:val="00AD4F93"/>
    <w:rsid w:val="00B057AA"/>
    <w:rsid w:val="00B06F7D"/>
    <w:rsid w:val="00B117A6"/>
    <w:rsid w:val="00B32CC5"/>
    <w:rsid w:val="00B7315F"/>
    <w:rsid w:val="00B742AD"/>
    <w:rsid w:val="00B8577C"/>
    <w:rsid w:val="00B91B2D"/>
    <w:rsid w:val="00BC1037"/>
    <w:rsid w:val="00BD4382"/>
    <w:rsid w:val="00BD50DE"/>
    <w:rsid w:val="00BD6E4E"/>
    <w:rsid w:val="00BE1F00"/>
    <w:rsid w:val="00BF1435"/>
    <w:rsid w:val="00BF728F"/>
    <w:rsid w:val="00C06E23"/>
    <w:rsid w:val="00C244C3"/>
    <w:rsid w:val="00C41BE5"/>
    <w:rsid w:val="00C933BC"/>
    <w:rsid w:val="00C94276"/>
    <w:rsid w:val="00C9437B"/>
    <w:rsid w:val="00CC1E28"/>
    <w:rsid w:val="00CD2E8F"/>
    <w:rsid w:val="00D1429A"/>
    <w:rsid w:val="00D36247"/>
    <w:rsid w:val="00D67B34"/>
    <w:rsid w:val="00D8323F"/>
    <w:rsid w:val="00D93C6E"/>
    <w:rsid w:val="00DA6FAA"/>
    <w:rsid w:val="00DD081B"/>
    <w:rsid w:val="00DF242D"/>
    <w:rsid w:val="00E27C67"/>
    <w:rsid w:val="00E434F1"/>
    <w:rsid w:val="00E8105C"/>
    <w:rsid w:val="00EB0A2B"/>
    <w:rsid w:val="00EF0B06"/>
    <w:rsid w:val="00EF6E19"/>
    <w:rsid w:val="00F33767"/>
    <w:rsid w:val="00F4347E"/>
    <w:rsid w:val="00F52817"/>
    <w:rsid w:val="00F70F17"/>
    <w:rsid w:val="00F863A6"/>
    <w:rsid w:val="00FA5FC0"/>
    <w:rsid w:val="00FC1D8A"/>
    <w:rsid w:val="00FE0721"/>
    <w:rsid w:val="00FF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4677D"/>
  <w15:chartTrackingRefBased/>
  <w15:docId w15:val="{60D1EF26-B90A-C84F-9E47-73DA9D91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F15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6F15"/>
    <w:rPr>
      <w:color w:val="0563C1" w:themeColor="hyperlink"/>
      <w:u w:val="single"/>
    </w:rPr>
  </w:style>
  <w:style w:type="paragraph" w:styleId="Footer">
    <w:name w:val="footer"/>
    <w:basedOn w:val="Normal"/>
    <w:link w:val="FooterChar"/>
    <w:unhideWhenUsed/>
    <w:rsid w:val="00AC6F15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C6F1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C6F15"/>
    <w:pPr>
      <w:ind w:left="720"/>
      <w:contextualSpacing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C6F1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F1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F15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942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2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276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E69B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E69BE"/>
    <w:rPr>
      <w:sz w:val="22"/>
      <w:szCs w:val="22"/>
    </w:rPr>
  </w:style>
  <w:style w:type="paragraph" w:styleId="Header">
    <w:name w:val="header"/>
    <w:link w:val="HeaderChar"/>
    <w:rsid w:val="00DF24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DF242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CRCoverPage">
    <w:name w:val="CR Cover Page"/>
    <w:rsid w:val="00DF242D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1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01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1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sato.fukatsu@oracle.com" TargetMode="External"/><Relationship Id="rId13" Type="http://schemas.openxmlformats.org/officeDocument/2006/relationships/hyperlink" Target="https://aecc.org/wp-content/uploads/2023/12/AECC_E2ENW_TR_v2.6.p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_zhong@mail.toyota.co.jp" TargetMode="External"/><Relationship Id="rId12" Type="http://schemas.openxmlformats.org/officeDocument/2006/relationships/hyperlink" Target="https://aecc.org/wp-content/uploads/2024/02/AECC_General_Principle_and_Vision_v4.0.3-rev02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ecc.org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aison@aec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kael.klein@ericsson.com" TargetMode="External"/><Relationship Id="rId14" Type="http://schemas.openxmlformats.org/officeDocument/2006/relationships/hyperlink" Target="https://aecc.org/wp-content/uploads/2023/11/20230915_EN_Connected_infrastructure_for_the_realization_of_Green_Mobility_Society.Designed_10.20pdf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TMC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Zhong</dc:creator>
  <cp:keywords/>
  <dc:description/>
  <cp:lastModifiedBy>MCC editorial</cp:lastModifiedBy>
  <cp:revision>45</cp:revision>
  <dcterms:created xsi:type="dcterms:W3CDTF">2021-08-19T15:46:00Z</dcterms:created>
  <dcterms:modified xsi:type="dcterms:W3CDTF">2024-05-05T14:37:00Z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cb76b2-10b8-4fe1-93d4-2202842406cd_Enabled">
    <vt:lpwstr>True</vt:lpwstr>
  </property>
  <property fmtid="{D5CDD505-2E9C-101B-9397-08002B2CF9AE}" pid="3" name="MSIP_Label_17cb76b2-10b8-4fe1-93d4-2202842406cd_SiteId">
    <vt:lpwstr>945c199a-83a2-4e80-9f8c-5a91be5752dd</vt:lpwstr>
  </property>
  <property fmtid="{D5CDD505-2E9C-101B-9397-08002B2CF9AE}" pid="4" name="MSIP_Label_17cb76b2-10b8-4fe1-93d4-2202842406cd_Owner">
    <vt:lpwstr>Wenlei.Wu@emc.com</vt:lpwstr>
  </property>
  <property fmtid="{D5CDD505-2E9C-101B-9397-08002B2CF9AE}" pid="5" name="MSIP_Label_17cb76b2-10b8-4fe1-93d4-2202842406cd_SetDate">
    <vt:lpwstr>2021-08-19T09:31:51.7680776Z</vt:lpwstr>
  </property>
  <property fmtid="{D5CDD505-2E9C-101B-9397-08002B2CF9AE}" pid="6" name="MSIP_Label_17cb76b2-10b8-4fe1-93d4-2202842406cd_Name">
    <vt:lpwstr>External Public</vt:lpwstr>
  </property>
  <property fmtid="{D5CDD505-2E9C-101B-9397-08002B2CF9AE}" pid="7" name="MSIP_Label_17cb76b2-10b8-4fe1-93d4-2202842406cd_Application">
    <vt:lpwstr>Microsoft Azure Information Protection</vt:lpwstr>
  </property>
  <property fmtid="{D5CDD505-2E9C-101B-9397-08002B2CF9AE}" pid="8" name="MSIP_Label_17cb76b2-10b8-4fe1-93d4-2202842406cd_ActionId">
    <vt:lpwstr>3ea36d86-bf38-4a68-8ed2-87d9ca6afba8</vt:lpwstr>
  </property>
  <property fmtid="{D5CDD505-2E9C-101B-9397-08002B2CF9AE}" pid="9" name="MSIP_Label_17cb76b2-10b8-4fe1-93d4-2202842406cd_Extended_MSFT_Method">
    <vt:lpwstr>Manual</vt:lpwstr>
  </property>
  <property fmtid="{D5CDD505-2E9C-101B-9397-08002B2CF9AE}" pid="10" name="aiplabel">
    <vt:lpwstr>External Public</vt:lpwstr>
  </property>
</Properties>
</file>