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BBE" w:rsidRPr="005E3333" w:rsidRDefault="00B06BBE" w:rsidP="00B06BBE">
      <w:pPr>
        <w:pStyle w:val="CRCoverPage"/>
        <w:tabs>
          <w:tab w:val="left" w:pos="2268"/>
          <w:tab w:val="right" w:pos="9639"/>
        </w:tabs>
        <w:spacing w:after="0"/>
        <w:rPr>
          <w:rFonts w:cs="Arial"/>
          <w:b/>
          <w:sz w:val="24"/>
        </w:rPr>
      </w:pPr>
      <w:r w:rsidRPr="005E3333">
        <w:rPr>
          <w:rFonts w:cs="Arial"/>
          <w:b/>
          <w:sz w:val="24"/>
        </w:rPr>
        <w:t>3GPP TSG-SA</w:t>
      </w:r>
      <w:r w:rsidR="0037426C">
        <w:rPr>
          <w:rFonts w:cs="Arial"/>
          <w:b/>
          <w:sz w:val="24"/>
        </w:rPr>
        <w:t>5 (Telecom Management)</w:t>
      </w:r>
      <w:r w:rsidR="0037426C">
        <w:rPr>
          <w:rFonts w:cs="Arial"/>
          <w:b/>
          <w:sz w:val="24"/>
        </w:rPr>
        <w:tab/>
        <w:t>S5-110228</w:t>
      </w:r>
    </w:p>
    <w:p w:rsidR="00B06BBE" w:rsidRPr="005E3333" w:rsidRDefault="00B06BBE" w:rsidP="00B06BBE">
      <w:pPr>
        <w:pStyle w:val="CRCoverPage"/>
        <w:tabs>
          <w:tab w:val="left" w:pos="2268"/>
          <w:tab w:val="right" w:pos="9639"/>
        </w:tabs>
        <w:spacing w:after="0"/>
        <w:rPr>
          <w:rFonts w:cs="Arial"/>
          <w:b/>
          <w:sz w:val="24"/>
        </w:rPr>
      </w:pPr>
      <w:r w:rsidRPr="005E3333">
        <w:rPr>
          <w:rFonts w:cs="Arial"/>
          <w:b/>
          <w:sz w:val="24"/>
        </w:rPr>
        <w:t>SA5#75,</w:t>
      </w:r>
      <w:r w:rsidRPr="005E3333">
        <w:t xml:space="preserve"> </w:t>
      </w:r>
      <w:r w:rsidRPr="005E3333">
        <w:rPr>
          <w:rFonts w:cs="Arial"/>
          <w:b/>
          <w:sz w:val="24"/>
        </w:rPr>
        <w:t>24 - 28 Jan 2011; Sorrento, Italy</w:t>
      </w:r>
      <w:r w:rsidRPr="005E3333">
        <w:rPr>
          <w:rFonts w:cs="Arial"/>
          <w:b/>
          <w:sz w:val="24"/>
        </w:rPr>
        <w:tab/>
      </w:r>
      <w:r w:rsidRPr="005E3333">
        <w:rPr>
          <w:rFonts w:cs="Arial"/>
          <w:i/>
          <w:sz w:val="18"/>
          <w:szCs w:val="18"/>
        </w:rPr>
        <w:t>revision of S5-11abcd</w:t>
      </w:r>
    </w:p>
    <w:p w:rsidR="0095392C" w:rsidRPr="005E3333" w:rsidRDefault="0095392C" w:rsidP="0095392C">
      <w:pPr>
        <w:keepNext/>
        <w:pBdr>
          <w:bottom w:val="single" w:sz="4" w:space="1" w:color="auto"/>
        </w:pBdr>
        <w:tabs>
          <w:tab w:val="right" w:pos="9639"/>
        </w:tabs>
        <w:outlineLvl w:val="0"/>
        <w:rPr>
          <w:rFonts w:ascii="Arial" w:hAnsi="Arial" w:cs="Arial"/>
          <w:b/>
          <w:sz w:val="24"/>
        </w:rPr>
      </w:pPr>
    </w:p>
    <w:p w:rsidR="009B4F61" w:rsidRPr="005E3333" w:rsidRDefault="00465178" w:rsidP="00125E82">
      <w:pPr>
        <w:keepNext/>
        <w:tabs>
          <w:tab w:val="left" w:pos="2127"/>
        </w:tabs>
        <w:spacing w:after="0"/>
        <w:ind w:left="2126" w:hanging="2126"/>
        <w:outlineLvl w:val="0"/>
        <w:rPr>
          <w:rFonts w:ascii="Arial" w:hAnsi="Arial"/>
          <w:b/>
        </w:rPr>
      </w:pPr>
      <w:r w:rsidRPr="005E3333">
        <w:rPr>
          <w:rFonts w:ascii="Arial" w:hAnsi="Arial"/>
          <w:b/>
        </w:rPr>
        <w:t>Source:</w:t>
      </w:r>
      <w:r w:rsidRPr="005E3333">
        <w:rPr>
          <w:rFonts w:ascii="Arial" w:hAnsi="Arial"/>
          <w:b/>
        </w:rPr>
        <w:tab/>
      </w:r>
      <w:r w:rsidR="00BD5A16" w:rsidRPr="005E3333">
        <w:rPr>
          <w:rFonts w:ascii="Arial" w:hAnsi="Arial"/>
          <w:b/>
        </w:rPr>
        <w:t>Openet</w:t>
      </w:r>
    </w:p>
    <w:p w:rsidR="009B4F61" w:rsidRPr="005E3333" w:rsidRDefault="009B4F61" w:rsidP="00125E82">
      <w:pPr>
        <w:keepNext/>
        <w:tabs>
          <w:tab w:val="left" w:pos="2127"/>
        </w:tabs>
        <w:spacing w:after="0"/>
        <w:ind w:left="2126" w:hanging="2126"/>
        <w:outlineLvl w:val="0"/>
        <w:rPr>
          <w:rFonts w:ascii="Arial" w:hAnsi="Arial"/>
          <w:b/>
        </w:rPr>
      </w:pPr>
      <w:r w:rsidRPr="005E3333">
        <w:rPr>
          <w:rFonts w:ascii="Arial" w:hAnsi="Arial" w:cs="Arial"/>
          <w:b/>
        </w:rPr>
        <w:t>Title:</w:t>
      </w:r>
      <w:r w:rsidRPr="005E3333">
        <w:rPr>
          <w:rFonts w:ascii="Arial" w:hAnsi="Arial" w:cs="Arial"/>
          <w:b/>
        </w:rPr>
        <w:tab/>
      </w:r>
      <w:r w:rsidR="00BD5A16" w:rsidRPr="005E3333">
        <w:rPr>
          <w:rFonts w:ascii="Arial" w:hAnsi="Arial" w:cs="Arial"/>
          <w:b/>
        </w:rPr>
        <w:t>Common Principles for QoS and Gating Control Based on Spending Limits</w:t>
      </w:r>
    </w:p>
    <w:p w:rsidR="009B4F61" w:rsidRPr="005E3333" w:rsidRDefault="009B4F61" w:rsidP="00125E82">
      <w:pPr>
        <w:keepNext/>
        <w:tabs>
          <w:tab w:val="left" w:pos="2127"/>
        </w:tabs>
        <w:spacing w:after="0"/>
        <w:ind w:left="2126" w:hanging="2126"/>
        <w:outlineLvl w:val="0"/>
        <w:rPr>
          <w:rFonts w:ascii="Arial" w:hAnsi="Arial"/>
          <w:b/>
          <w:lang w:eastAsia="zh-CN"/>
        </w:rPr>
      </w:pPr>
      <w:r w:rsidRPr="005E3333">
        <w:rPr>
          <w:rFonts w:ascii="Arial" w:hAnsi="Arial"/>
          <w:b/>
        </w:rPr>
        <w:t>Document for:</w:t>
      </w:r>
      <w:r w:rsidRPr="005E3333">
        <w:rPr>
          <w:rFonts w:ascii="Arial" w:hAnsi="Arial"/>
          <w:b/>
        </w:rPr>
        <w:tab/>
      </w:r>
      <w:r w:rsidR="00A55987" w:rsidRPr="005E3333">
        <w:rPr>
          <w:rFonts w:ascii="Arial" w:hAnsi="Arial"/>
          <w:b/>
          <w:lang w:eastAsia="zh-CN"/>
        </w:rPr>
        <w:t>Discussion</w:t>
      </w:r>
    </w:p>
    <w:p w:rsidR="009B4F61" w:rsidRPr="005E3333" w:rsidRDefault="009B4F61" w:rsidP="00125E82">
      <w:pPr>
        <w:keepNext/>
        <w:pBdr>
          <w:bottom w:val="single" w:sz="4" w:space="1" w:color="auto"/>
        </w:pBdr>
        <w:tabs>
          <w:tab w:val="left" w:pos="2127"/>
        </w:tabs>
        <w:spacing w:after="0"/>
        <w:ind w:left="2126" w:hanging="2126"/>
        <w:rPr>
          <w:rFonts w:ascii="Arial" w:hAnsi="Arial"/>
          <w:b/>
          <w:lang w:eastAsia="zh-CN"/>
        </w:rPr>
      </w:pPr>
      <w:r w:rsidRPr="005E3333">
        <w:rPr>
          <w:rFonts w:ascii="Arial" w:hAnsi="Arial"/>
          <w:b/>
        </w:rPr>
        <w:t>Agenda Item:</w:t>
      </w:r>
      <w:r w:rsidRPr="005E3333">
        <w:rPr>
          <w:rFonts w:ascii="Arial" w:hAnsi="Arial"/>
          <w:b/>
        </w:rPr>
        <w:tab/>
      </w:r>
      <w:r w:rsidR="00BD5A16" w:rsidRPr="005E3333">
        <w:rPr>
          <w:rFonts w:ascii="Arial" w:hAnsi="Arial"/>
          <w:b/>
        </w:rPr>
        <w:t>Charging for QoS Control Based on Subscriber Spending Limits (500029)</w:t>
      </w:r>
    </w:p>
    <w:p w:rsidR="0049072B" w:rsidRPr="005E3333" w:rsidRDefault="0049072B" w:rsidP="0049072B">
      <w:pPr>
        <w:pStyle w:val="Heading1"/>
      </w:pPr>
      <w:r w:rsidRPr="005E3333">
        <w:t>1</w:t>
      </w:r>
      <w:r w:rsidRPr="005E3333">
        <w:tab/>
        <w:t>Decision/action requested</w:t>
      </w:r>
    </w:p>
    <w:p w:rsidR="009A6EED" w:rsidRPr="005E3333" w:rsidRDefault="00312BDC" w:rsidP="0049072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5E3333">
        <w:rPr>
          <w:b/>
          <w:i/>
        </w:rPr>
        <w:t>To explore the implications of the recently agreed common principles for QoS and Gating Control Based on Spending Limits.</w:t>
      </w:r>
    </w:p>
    <w:p w:rsidR="0049072B" w:rsidRPr="005E3333" w:rsidRDefault="0049072B" w:rsidP="0049072B">
      <w:pPr>
        <w:pStyle w:val="Heading1"/>
      </w:pPr>
      <w:r w:rsidRPr="005E3333">
        <w:t>2</w:t>
      </w:r>
      <w:r w:rsidRPr="005E3333">
        <w:tab/>
        <w:t>References</w:t>
      </w:r>
    </w:p>
    <w:p w:rsidR="00EA545C" w:rsidRPr="005E3333" w:rsidRDefault="00EA545C" w:rsidP="00EA545C">
      <w:pPr>
        <w:pStyle w:val="Reference"/>
      </w:pPr>
      <w:r w:rsidRPr="005E3333">
        <w:t>[</w:t>
      </w:r>
      <w:r w:rsidR="00A50A6C" w:rsidRPr="005E3333">
        <w:t>1</w:t>
      </w:r>
      <w:r w:rsidRPr="005E3333">
        <w:t>]</w:t>
      </w:r>
      <w:r w:rsidRPr="005E3333">
        <w:tab/>
        <w:t xml:space="preserve">3GPP </w:t>
      </w:r>
      <w:r w:rsidR="00A50A6C" w:rsidRPr="005E3333">
        <w:t>TR 23.813</w:t>
      </w:r>
      <w:r w:rsidRPr="005E3333">
        <w:t xml:space="preserve"> </w:t>
      </w:r>
      <w:r w:rsidR="00A50A6C" w:rsidRPr="005E3333">
        <w:t>V0.4.0: “Technical Specification Group Services and System Aspects; Study on Policy solutions and enhancements (Release 10)”</w:t>
      </w:r>
      <w:r w:rsidRPr="005E3333">
        <w:t>.</w:t>
      </w:r>
    </w:p>
    <w:p w:rsidR="0049072B" w:rsidRPr="005E3333" w:rsidRDefault="0049072B" w:rsidP="0049072B">
      <w:pPr>
        <w:pStyle w:val="Heading1"/>
      </w:pPr>
      <w:r w:rsidRPr="005E3333">
        <w:t>3</w:t>
      </w:r>
      <w:r w:rsidRPr="005E3333">
        <w:tab/>
        <w:t>Rationale</w:t>
      </w:r>
    </w:p>
    <w:p w:rsidR="008F4154" w:rsidRPr="008F4154" w:rsidRDefault="008C06CA" w:rsidP="008F4154">
      <w:r>
        <w:t xml:space="preserve">SA1 has agreed upon the need for </w:t>
      </w:r>
      <w:r w:rsidRPr="008C06CA">
        <w:t>QoS and Gating Control Based on Spending Limits</w:t>
      </w:r>
      <w:r w:rsidR="008F4154">
        <w:t>, and it has identified applicable use-cases</w:t>
      </w:r>
      <w:r>
        <w:t>. SA2 is currently defining the architecture</w:t>
      </w:r>
      <w:r w:rsidR="003F3D58">
        <w:t xml:space="preserve"> that will support this new functionality</w:t>
      </w:r>
      <w:r w:rsidR="008F4154">
        <w:t xml:space="preserve">. This contribution is timely because SA2 has recently </w:t>
      </w:r>
      <w:r w:rsidR="008F4154" w:rsidRPr="005E3333">
        <w:t xml:space="preserve">agreed </w:t>
      </w:r>
      <w:r w:rsidR="008F4154">
        <w:t xml:space="preserve">a set of common </w:t>
      </w:r>
      <w:r w:rsidR="008F4154" w:rsidRPr="005E3333">
        <w:t xml:space="preserve">principles </w:t>
      </w:r>
      <w:r w:rsidR="008F4154">
        <w:t>that are applicable regardless of which architecture is ultimately chosen.</w:t>
      </w:r>
    </w:p>
    <w:p w:rsidR="008C06CA" w:rsidRPr="008F4154" w:rsidRDefault="00471C5C" w:rsidP="00471C5C">
      <w:r w:rsidRPr="005E3333">
        <w:t>The purpose of this contribution is t</w:t>
      </w:r>
      <w:r w:rsidR="00312BDC" w:rsidRPr="005E3333">
        <w:t xml:space="preserve">o highlight </w:t>
      </w:r>
      <w:r w:rsidRPr="005E3333">
        <w:t xml:space="preserve">the </w:t>
      </w:r>
      <w:r w:rsidR="00312BDC" w:rsidRPr="005E3333">
        <w:t xml:space="preserve">recently agreed </w:t>
      </w:r>
      <w:r w:rsidRPr="005E3333">
        <w:t xml:space="preserve">common </w:t>
      </w:r>
      <w:r w:rsidR="00312BDC" w:rsidRPr="005E3333">
        <w:t xml:space="preserve">principles in SA2, and to identify areas that will consequently require </w:t>
      </w:r>
      <w:r w:rsidR="008F4154">
        <w:t>consideration by SA5</w:t>
      </w:r>
      <w:r w:rsidR="003F3D58">
        <w:t xml:space="preserve">, irrespective of the </w:t>
      </w:r>
      <w:r w:rsidR="00740AED">
        <w:t>final architecture.</w:t>
      </w:r>
    </w:p>
    <w:p w:rsidR="00FD1E90" w:rsidRPr="005E3333" w:rsidRDefault="00061A88" w:rsidP="00FD1E90">
      <w:pPr>
        <w:pStyle w:val="Heading1"/>
      </w:pPr>
      <w:r w:rsidRPr="005E3333">
        <w:t>4</w:t>
      </w:r>
      <w:r w:rsidR="00FD1E90" w:rsidRPr="005E3333">
        <w:tab/>
        <w:t>Detailed proposal</w:t>
      </w:r>
    </w:p>
    <w:p w:rsidR="00471C5C" w:rsidRPr="005E3333" w:rsidRDefault="00471C5C" w:rsidP="00471C5C">
      <w:pPr>
        <w:pStyle w:val="Heading2"/>
      </w:pPr>
      <w:r w:rsidRPr="005E3333">
        <w:t>4.1</w:t>
      </w:r>
      <w:r w:rsidRPr="005E3333">
        <w:tab/>
        <w:t>Background</w:t>
      </w:r>
    </w:p>
    <w:p w:rsidR="00EC6360" w:rsidRDefault="00EC6360" w:rsidP="00EC6360">
      <w:r>
        <w:t xml:space="preserve">Sy is a proposed new reference point between the OCS and PCRF being discussed in SA2.  </w:t>
      </w:r>
      <w:r w:rsidR="00A622A1">
        <w:fldChar w:fldCharType="begin"/>
      </w:r>
      <w:r>
        <w:instrText xml:space="preserve"> REF _Ref282701580 \h </w:instrText>
      </w:r>
      <w:r w:rsidR="00A622A1">
        <w:fldChar w:fldCharType="separate"/>
      </w:r>
      <w:r>
        <w:t xml:space="preserve">Figure </w:t>
      </w:r>
      <w:r>
        <w:rPr>
          <w:noProof/>
        </w:rPr>
        <w:t>1</w:t>
      </w:r>
      <w:r w:rsidR="00A622A1">
        <w:fldChar w:fldCharType="end"/>
      </w:r>
      <w:r>
        <w:t xml:space="preserve"> shows how Sy would fit into the existing PCC architecture. If standardised, Sy will become part of 3GPP Release 11.</w:t>
      </w:r>
    </w:p>
    <w:p w:rsidR="00EC6360" w:rsidRDefault="00EC6360" w:rsidP="00EC6360">
      <w:pPr>
        <w:keepNext/>
        <w:jc w:val="center"/>
      </w:pPr>
      <w:r>
        <w:object w:dxaOrig="8714" w:dyaOrig="6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239.25pt" o:ole="">
            <v:imagedata r:id="rId8" o:title=""/>
          </v:shape>
          <o:OLEObject Type="Embed" ProgID="Word.Picture.8" ShapeID="_x0000_i1025" DrawAspect="Content" ObjectID="_1356506802" r:id="rId9"/>
        </w:object>
      </w:r>
    </w:p>
    <w:p w:rsidR="00EC6360" w:rsidRDefault="00EC6360" w:rsidP="00EC6360">
      <w:pPr>
        <w:pStyle w:val="Caption"/>
        <w:jc w:val="center"/>
      </w:pPr>
      <w:bookmarkStart w:id="0" w:name="_Ref282701580"/>
      <w:r>
        <w:t xml:space="preserve">Figure </w:t>
      </w:r>
      <w:fldSimple w:instr=" SEQ Figure \* ARABIC ">
        <w:r>
          <w:rPr>
            <w:noProof/>
          </w:rPr>
          <w:t>1</w:t>
        </w:r>
      </w:fldSimple>
      <w:bookmarkEnd w:id="0"/>
      <w:r>
        <w:t xml:space="preserve">: </w:t>
      </w:r>
      <w:r w:rsidRPr="00516D96">
        <w:t>How Sy would fit into the existing PCC architecture</w:t>
      </w:r>
    </w:p>
    <w:p w:rsidR="00B722B4" w:rsidRPr="005E3333" w:rsidRDefault="00B722B4" w:rsidP="00B722B4">
      <w:r w:rsidRPr="005E3333">
        <w:lastRenderedPageBreak/>
        <w:t>Sy is being discussed as one of three potential solutions to a key issue within a study item, captured in the technical report 23.813 [1]. The key issue is called “QoS and gating control based on spending limits”, and the desired use case to enable the PCRF to derive policies (e.g. QoS and service gating) based on subscriber spending thresholds. It currently has the following description:</w:t>
      </w:r>
    </w:p>
    <w:p w:rsidR="00B722B4" w:rsidRPr="005E3333" w:rsidRDefault="00B722B4" w:rsidP="00B722B4">
      <w:pPr>
        <w:ind w:left="284"/>
      </w:pPr>
      <w:proofErr w:type="gramStart"/>
      <w:r w:rsidRPr="005E3333">
        <w:t>ability</w:t>
      </w:r>
      <w:proofErr w:type="gramEnd"/>
      <w:r w:rsidRPr="005E3333">
        <w:t xml:space="preserve"> to change the QoS level based on spending limits. Example scenario: the subscriber plan allows for high QoS up to $2 per day and a lower QoS beyond that.</w:t>
      </w:r>
    </w:p>
    <w:p w:rsidR="00B722B4" w:rsidRPr="005E3333" w:rsidRDefault="00B722B4" w:rsidP="00B722B4">
      <w:r w:rsidRPr="005E3333">
        <w:t>Further discussion in SA1 has elaborated the set of use cases to:</w:t>
      </w:r>
    </w:p>
    <w:p w:rsidR="00B722B4" w:rsidRPr="005E3333" w:rsidRDefault="00B722B4" w:rsidP="00B722B4">
      <w:pPr>
        <w:numPr>
          <w:ilvl w:val="0"/>
          <w:numId w:val="20"/>
        </w:numPr>
      </w:pPr>
      <w:r w:rsidRPr="005E3333">
        <w:t>Bandwidth limitation and gating for user connection when daily spending limit is reached.</w:t>
      </w:r>
    </w:p>
    <w:p w:rsidR="00B722B4" w:rsidRPr="005E3333" w:rsidRDefault="00B722B4" w:rsidP="00B722B4">
      <w:pPr>
        <w:ind w:left="568"/>
      </w:pPr>
      <w:r w:rsidRPr="005E3333">
        <w:t>Alice subscribes to a data plan that gives her a daily spending limit of 2$ and a maximum bandwidth of 2Mb/s downlink. When the daily spending limit is reached the bandwidth is limited to 512 Kb/s and the peer-to-peer and FTP traffic is blocked for the rest of the day. It will remain like this for the rest of the day unless Alice raises her daily spending limit.</w:t>
      </w:r>
    </w:p>
    <w:p w:rsidR="00B722B4" w:rsidRPr="005E3333" w:rsidRDefault="00B722B4" w:rsidP="00B722B4">
      <w:pPr>
        <w:numPr>
          <w:ilvl w:val="0"/>
          <w:numId w:val="20"/>
        </w:numPr>
      </w:pPr>
      <w:r w:rsidRPr="005E3333">
        <w:t>Blocking video sessions when spending limit is reached.</w:t>
      </w:r>
    </w:p>
    <w:p w:rsidR="00471C5C" w:rsidRPr="005E3333" w:rsidRDefault="00B722B4" w:rsidP="00B722B4">
      <w:pPr>
        <w:ind w:left="568"/>
      </w:pPr>
      <w:r w:rsidRPr="005E3333">
        <w:t>Bob subscribes to a data plan that gives him unrestricted access to all services except video streaming. For video streaming a daily spending limit of 4$ is provided. When the daily spending limit is reached any video streaming session is terminated, new video streaming sessions are blocked and it will remain like this for the rest of that day unless the user raises his spending limit.</w:t>
      </w:r>
    </w:p>
    <w:p w:rsidR="00B722B4" w:rsidRPr="005E3333" w:rsidRDefault="00B722B4" w:rsidP="00471C5C">
      <w:r w:rsidRPr="005E3333">
        <w:t xml:space="preserve">In the standard architecture, OCS is the only node that is aware of a monetary value (the rating function converts non-monetary units – time, volume or service specific – to an actual spend, which is maintained within the OCS). PCRF is the node responsible for making policy decisions, such as authorising QoS. Therefore, to enable policy decisions to take spending information into account, OCS and PCRF must exchange information. Sy enables this via direct communication – PCRF may query the current state of </w:t>
      </w:r>
      <w:proofErr w:type="gramStart"/>
      <w:r w:rsidRPr="005E3333">
        <w:t>the spend</w:t>
      </w:r>
      <w:proofErr w:type="gramEnd"/>
      <w:r w:rsidRPr="005E3333">
        <w:t xml:space="preserve"> directly from OCS and also get notifications when spending thresholds are breached.</w:t>
      </w:r>
    </w:p>
    <w:p w:rsidR="00471C5C" w:rsidRPr="005E3333" w:rsidRDefault="00471C5C" w:rsidP="00471C5C">
      <w:pPr>
        <w:pStyle w:val="Heading2"/>
      </w:pPr>
      <w:r w:rsidRPr="005E3333">
        <w:t>4.2</w:t>
      </w:r>
      <w:r w:rsidRPr="005E3333">
        <w:tab/>
        <w:t xml:space="preserve">Common </w:t>
      </w:r>
      <w:r w:rsidR="00B722B4" w:rsidRPr="005E3333">
        <w:t>p</w:t>
      </w:r>
      <w:r w:rsidRPr="005E3333">
        <w:t>rinciples</w:t>
      </w:r>
      <w:r w:rsidR="00164210" w:rsidRPr="005E3333">
        <w:t xml:space="preserve"> agreed by SA2</w:t>
      </w:r>
    </w:p>
    <w:p w:rsidR="00B722B4" w:rsidRPr="005E3333" w:rsidRDefault="00B722B4" w:rsidP="00B722B4">
      <w:r w:rsidRPr="005E3333">
        <w:t xml:space="preserve">The SA2 Architecture WG </w:t>
      </w:r>
      <w:r w:rsidR="00E86863" w:rsidRPr="005E3333">
        <w:t>is currently considering three alternative solutions to address these use cases</w:t>
      </w:r>
      <w:r w:rsidR="00221500" w:rsidRPr="005E3333">
        <w:t xml:space="preserve"> relating to QoS and gating control based on spending limits</w:t>
      </w:r>
      <w:r w:rsidR="00E86863" w:rsidRPr="005E3333">
        <w:t xml:space="preserve">. </w:t>
      </w:r>
      <w:r w:rsidR="00221500" w:rsidRPr="005E3333">
        <w:t xml:space="preserve">However, it </w:t>
      </w:r>
      <w:r w:rsidRPr="005E3333">
        <w:t xml:space="preserve">has recently agreed a set of common principles </w:t>
      </w:r>
      <w:r w:rsidR="00221500" w:rsidRPr="005E3333">
        <w:t xml:space="preserve">regardless of which solution is ultimately </w:t>
      </w:r>
      <w:r w:rsidR="005E3333" w:rsidRPr="005E3333">
        <w:t>chosen</w:t>
      </w:r>
      <w:r w:rsidRPr="005E3333">
        <w:t xml:space="preserve">. These principles are </w:t>
      </w:r>
      <w:r w:rsidR="005E3333">
        <w:t xml:space="preserve">identified in section 4.3.1.1 of </w:t>
      </w:r>
      <w:r w:rsidRPr="005E3333">
        <w:t>[1]</w:t>
      </w:r>
      <w:r w:rsidR="005E3333">
        <w:t xml:space="preserve">, and they are quoted below for </w:t>
      </w:r>
      <w:r w:rsidR="00EB2A3D" w:rsidRPr="00EB2A3D">
        <w:t>convenience</w:t>
      </w:r>
      <w:r w:rsidRPr="005E3333">
        <w:t>:</w:t>
      </w:r>
    </w:p>
    <w:p w:rsidR="00E86863" w:rsidRPr="005E3333" w:rsidRDefault="00E86863" w:rsidP="00E86863">
      <w:pPr>
        <w:ind w:left="284"/>
        <w:rPr>
          <w:i/>
        </w:rPr>
      </w:pPr>
      <w:r w:rsidRPr="005E3333">
        <w:rPr>
          <w:i/>
        </w:rPr>
        <w:t>These principles apply to all of the proposed alternative solutions. Signalling may take place directly between OCS and PCRF or via PCEF as outlined in the alternative solutions.</w:t>
      </w:r>
    </w:p>
    <w:p w:rsidR="00E86863" w:rsidRPr="005E3333" w:rsidRDefault="00E86863" w:rsidP="00E86863">
      <w:pPr>
        <w:numPr>
          <w:ilvl w:val="0"/>
          <w:numId w:val="21"/>
        </w:numPr>
        <w:tabs>
          <w:tab w:val="clear" w:pos="720"/>
          <w:tab w:val="num" w:pos="1004"/>
        </w:tabs>
        <w:overflowPunct w:val="0"/>
        <w:autoSpaceDE w:val="0"/>
        <w:autoSpaceDN w:val="0"/>
        <w:adjustRightInd w:val="0"/>
        <w:ind w:left="1004"/>
        <w:textAlignment w:val="baseline"/>
        <w:rPr>
          <w:i/>
        </w:rPr>
      </w:pPr>
      <w:r w:rsidRPr="005E3333">
        <w:rPr>
          <w:i/>
        </w:rPr>
        <w:t>A counter as defined in [7] shall exist in the ABMF within the OCS that tracks a subscriber’s spend over a period of time.</w:t>
      </w:r>
    </w:p>
    <w:p w:rsidR="00E86863" w:rsidRPr="005E3333" w:rsidRDefault="00E86863" w:rsidP="00E86863">
      <w:pPr>
        <w:numPr>
          <w:ilvl w:val="0"/>
          <w:numId w:val="21"/>
        </w:numPr>
        <w:tabs>
          <w:tab w:val="clear" w:pos="720"/>
          <w:tab w:val="num" w:pos="1004"/>
        </w:tabs>
        <w:overflowPunct w:val="0"/>
        <w:autoSpaceDE w:val="0"/>
        <w:autoSpaceDN w:val="0"/>
        <w:adjustRightInd w:val="0"/>
        <w:ind w:left="1004"/>
        <w:textAlignment w:val="baseline"/>
        <w:rPr>
          <w:i/>
        </w:rPr>
      </w:pPr>
      <w:r w:rsidRPr="005E3333">
        <w:rPr>
          <w:i/>
        </w:rPr>
        <w:t>The OCS may have more than one counter per subscriber. Each counter can track a subscriber’s overall spend or that of an individual service. An identification mechanism will be required to differentiate counters.</w:t>
      </w:r>
    </w:p>
    <w:p w:rsidR="00E86863" w:rsidRPr="005E3333" w:rsidRDefault="00E86863" w:rsidP="00E86863">
      <w:pPr>
        <w:numPr>
          <w:ilvl w:val="0"/>
          <w:numId w:val="21"/>
        </w:numPr>
        <w:tabs>
          <w:tab w:val="clear" w:pos="720"/>
          <w:tab w:val="num" w:pos="1004"/>
        </w:tabs>
        <w:overflowPunct w:val="0"/>
        <w:autoSpaceDE w:val="0"/>
        <w:autoSpaceDN w:val="0"/>
        <w:adjustRightInd w:val="0"/>
        <w:ind w:left="1004"/>
        <w:textAlignment w:val="baseline"/>
        <w:rPr>
          <w:i/>
        </w:rPr>
      </w:pPr>
      <w:r w:rsidRPr="005E3333">
        <w:rPr>
          <w:i/>
        </w:rPr>
        <w:t>Counter management is the responsibility of the OCS, including any associated threshold value(s) (e.g. $2).</w:t>
      </w:r>
    </w:p>
    <w:p w:rsidR="00E86863" w:rsidRPr="005E3333" w:rsidRDefault="00E86863" w:rsidP="00E86863">
      <w:pPr>
        <w:numPr>
          <w:ilvl w:val="0"/>
          <w:numId w:val="21"/>
        </w:numPr>
        <w:tabs>
          <w:tab w:val="clear" w:pos="720"/>
          <w:tab w:val="num" w:pos="1004"/>
        </w:tabs>
        <w:overflowPunct w:val="0"/>
        <w:autoSpaceDE w:val="0"/>
        <w:autoSpaceDN w:val="0"/>
        <w:adjustRightInd w:val="0"/>
        <w:ind w:left="1004"/>
        <w:textAlignment w:val="baseline"/>
        <w:rPr>
          <w:i/>
        </w:rPr>
      </w:pPr>
      <w:r w:rsidRPr="005E3333">
        <w:rPr>
          <w:i/>
        </w:rPr>
        <w:t>Policy decisions relating to gating and QoS are the responsibility of the PCRF.</w:t>
      </w:r>
    </w:p>
    <w:p w:rsidR="00E86863" w:rsidRPr="005E3333" w:rsidRDefault="00E86863" w:rsidP="00E86863">
      <w:pPr>
        <w:pStyle w:val="ListBullet2"/>
        <w:numPr>
          <w:ilvl w:val="0"/>
          <w:numId w:val="21"/>
        </w:numPr>
        <w:tabs>
          <w:tab w:val="clear" w:pos="720"/>
          <w:tab w:val="num" w:pos="1004"/>
          <w:tab w:val="left" w:pos="2977"/>
        </w:tabs>
        <w:overflowPunct w:val="0"/>
        <w:autoSpaceDE w:val="0"/>
        <w:autoSpaceDN w:val="0"/>
        <w:adjustRightInd w:val="0"/>
        <w:ind w:left="1004"/>
        <w:textAlignment w:val="baseline"/>
        <w:rPr>
          <w:i/>
        </w:rPr>
      </w:pPr>
      <w:r w:rsidRPr="005E3333">
        <w:rPr>
          <w:i/>
        </w:rPr>
        <w:t>When the counter value reaches an associated threshold, the OCS notifies the PCRF</w:t>
      </w:r>
    </w:p>
    <w:p w:rsidR="00E86863" w:rsidRPr="005E3333" w:rsidRDefault="00E86863" w:rsidP="00E86863">
      <w:pPr>
        <w:pStyle w:val="EditorsNote"/>
        <w:ind w:left="1419"/>
        <w:rPr>
          <w:rFonts w:ascii="Arial" w:hAnsi="Arial" w:cs="Arial"/>
          <w:i/>
        </w:rPr>
      </w:pPr>
      <w:r w:rsidRPr="005E3333">
        <w:rPr>
          <w:i/>
        </w:rPr>
        <w:t>Editor’s note: Further information being passed from OCS to PCRF is not excluded by this principle.</w:t>
      </w:r>
    </w:p>
    <w:p w:rsidR="00E86863" w:rsidRPr="005E3333" w:rsidRDefault="00E86863" w:rsidP="00E86863">
      <w:pPr>
        <w:numPr>
          <w:ilvl w:val="0"/>
          <w:numId w:val="21"/>
        </w:numPr>
        <w:tabs>
          <w:tab w:val="clear" w:pos="720"/>
          <w:tab w:val="num" w:pos="1004"/>
        </w:tabs>
        <w:overflowPunct w:val="0"/>
        <w:autoSpaceDE w:val="0"/>
        <w:autoSpaceDN w:val="0"/>
        <w:adjustRightInd w:val="0"/>
        <w:ind w:left="1004"/>
        <w:textAlignment w:val="baseline"/>
        <w:rPr>
          <w:i/>
        </w:rPr>
      </w:pPr>
      <w:r w:rsidRPr="005E3333">
        <w:rPr>
          <w:i/>
        </w:rPr>
        <w:t>At least two conditions shall trigger information flow between OCS and PCRF in relation to these use cases:</w:t>
      </w:r>
    </w:p>
    <w:p w:rsidR="00E86863" w:rsidRPr="005E3333" w:rsidRDefault="00E86863" w:rsidP="00E86863">
      <w:pPr>
        <w:numPr>
          <w:ilvl w:val="1"/>
          <w:numId w:val="21"/>
        </w:numPr>
        <w:tabs>
          <w:tab w:val="clear" w:pos="1440"/>
          <w:tab w:val="num" w:pos="1724"/>
        </w:tabs>
        <w:overflowPunct w:val="0"/>
        <w:autoSpaceDE w:val="0"/>
        <w:autoSpaceDN w:val="0"/>
        <w:adjustRightInd w:val="0"/>
        <w:ind w:left="1724"/>
        <w:textAlignment w:val="baseline"/>
        <w:rPr>
          <w:i/>
        </w:rPr>
      </w:pPr>
      <w:r w:rsidRPr="005E3333">
        <w:rPr>
          <w:i/>
        </w:rPr>
        <w:t xml:space="preserve">On IP-CAN session establishment, the OCS will inform the PCRF what thresholds have already been reached, allowing the PCRF to make an initial policy decision for the session. </w:t>
      </w:r>
    </w:p>
    <w:p w:rsidR="00471C5C" w:rsidRPr="005E3333" w:rsidRDefault="00E86863" w:rsidP="00471C5C">
      <w:pPr>
        <w:numPr>
          <w:ilvl w:val="1"/>
          <w:numId w:val="21"/>
        </w:numPr>
        <w:tabs>
          <w:tab w:val="clear" w:pos="1440"/>
          <w:tab w:val="num" w:pos="1724"/>
        </w:tabs>
        <w:overflowPunct w:val="0"/>
        <w:autoSpaceDE w:val="0"/>
        <w:autoSpaceDN w:val="0"/>
        <w:adjustRightInd w:val="0"/>
        <w:ind w:left="1724"/>
        <w:textAlignment w:val="baseline"/>
        <w:rPr>
          <w:i/>
        </w:rPr>
      </w:pPr>
      <w:r w:rsidRPr="005E3333">
        <w:rPr>
          <w:i/>
        </w:rPr>
        <w:t>When a threshold is reached mid-session, the OCS shall notify the PCRF triggering modification of the subscriber's policy appropriately.</w:t>
      </w:r>
    </w:p>
    <w:p w:rsidR="00471C5C" w:rsidRPr="005E3333" w:rsidRDefault="00372B03" w:rsidP="00471C5C">
      <w:pPr>
        <w:pStyle w:val="Heading2"/>
      </w:pPr>
      <w:r>
        <w:br w:type="page"/>
      </w:r>
      <w:r w:rsidR="00471C5C" w:rsidRPr="005E3333">
        <w:lastRenderedPageBreak/>
        <w:t>4.3</w:t>
      </w:r>
      <w:r w:rsidR="00471C5C" w:rsidRPr="005E3333">
        <w:tab/>
      </w:r>
      <w:r w:rsidR="00216763" w:rsidRPr="005E3333">
        <w:t>Resulting i</w:t>
      </w:r>
      <w:r w:rsidR="00B722B4" w:rsidRPr="005E3333">
        <w:t>ssues</w:t>
      </w:r>
    </w:p>
    <w:p w:rsidR="0049072B" w:rsidRPr="005E3333" w:rsidRDefault="00471C5C" w:rsidP="00471C5C">
      <w:r w:rsidRPr="005E3333">
        <w:t>These common principles will require chang</w:t>
      </w:r>
      <w:r w:rsidR="00713DE9">
        <w:t>es to the OCS by SA5</w:t>
      </w:r>
      <w:r w:rsidRPr="005E3333">
        <w:t>.</w:t>
      </w:r>
      <w:r w:rsidR="00216763" w:rsidRPr="005E3333">
        <w:t xml:space="preserve"> In particular, the following issues will need to be considered:</w:t>
      </w:r>
    </w:p>
    <w:p w:rsidR="00164210" w:rsidRPr="005E3333" w:rsidRDefault="00164210" w:rsidP="00216763">
      <w:pPr>
        <w:numPr>
          <w:ilvl w:val="0"/>
          <w:numId w:val="20"/>
        </w:numPr>
      </w:pPr>
      <w:r w:rsidRPr="005E3333">
        <w:t xml:space="preserve">What is the impact on </w:t>
      </w:r>
      <w:proofErr w:type="gramStart"/>
      <w:r w:rsidRPr="005E3333">
        <w:t>Rc</w:t>
      </w:r>
      <w:proofErr w:type="gramEnd"/>
      <w:r w:rsidRPr="005E3333">
        <w:t xml:space="preserve"> of exposing the ABMF publically?</w:t>
      </w:r>
    </w:p>
    <w:p w:rsidR="00216763" w:rsidRPr="005E3333" w:rsidRDefault="00216763" w:rsidP="00216763">
      <w:pPr>
        <w:numPr>
          <w:ilvl w:val="0"/>
          <w:numId w:val="20"/>
        </w:numPr>
      </w:pPr>
      <w:r w:rsidRPr="005E3333">
        <w:t>What is the impact of exposing the</w:t>
      </w:r>
      <w:r w:rsidR="00DF5981" w:rsidRPr="005E3333">
        <w:t xml:space="preserve"> values of these</w:t>
      </w:r>
      <w:r w:rsidRPr="005E3333">
        <w:t xml:space="preserve"> internal counters publically?</w:t>
      </w:r>
    </w:p>
    <w:p w:rsidR="00DF5981" w:rsidRPr="005E3333" w:rsidRDefault="00DF5981" w:rsidP="00DF5981">
      <w:pPr>
        <w:numPr>
          <w:ilvl w:val="1"/>
          <w:numId w:val="20"/>
        </w:numPr>
      </w:pPr>
      <w:r w:rsidRPr="005E3333">
        <w:t>Are any additional features exposed publically?</w:t>
      </w:r>
    </w:p>
    <w:p w:rsidR="00DF5981" w:rsidRPr="005E3333" w:rsidRDefault="005E3333" w:rsidP="00DF5981">
      <w:pPr>
        <w:numPr>
          <w:ilvl w:val="2"/>
          <w:numId w:val="20"/>
        </w:numPr>
      </w:pPr>
      <w:r w:rsidRPr="005E3333">
        <w:t>Thresholds</w:t>
      </w:r>
    </w:p>
    <w:p w:rsidR="00110372" w:rsidRPr="005E3333" w:rsidRDefault="00110372" w:rsidP="00110372">
      <w:pPr>
        <w:numPr>
          <w:ilvl w:val="3"/>
          <w:numId w:val="20"/>
        </w:numPr>
      </w:pPr>
      <w:r w:rsidRPr="005E3333">
        <w:t>Can they be res</w:t>
      </w:r>
      <w:r w:rsidR="00E219E9" w:rsidRPr="005E3333">
        <w:t>e</w:t>
      </w:r>
      <w:r w:rsidRPr="005E3333">
        <w:t>t?</w:t>
      </w:r>
    </w:p>
    <w:p w:rsidR="00DF5981" w:rsidRPr="005E3333" w:rsidRDefault="00DF5981" w:rsidP="00DF5981">
      <w:pPr>
        <w:numPr>
          <w:ilvl w:val="2"/>
          <w:numId w:val="20"/>
        </w:numPr>
      </w:pPr>
      <w:r w:rsidRPr="005E3333">
        <w:t>Reset triggers</w:t>
      </w:r>
    </w:p>
    <w:p w:rsidR="00216763" w:rsidRPr="005E3333" w:rsidRDefault="00216763" w:rsidP="00216763">
      <w:pPr>
        <w:numPr>
          <w:ilvl w:val="0"/>
          <w:numId w:val="20"/>
        </w:numPr>
      </w:pPr>
      <w:r w:rsidRPr="005E3333">
        <w:t>How are these internal counters identified?</w:t>
      </w:r>
    </w:p>
    <w:p w:rsidR="00216763" w:rsidRPr="005E3333" w:rsidRDefault="00216763" w:rsidP="00216763">
      <w:pPr>
        <w:numPr>
          <w:ilvl w:val="1"/>
          <w:numId w:val="20"/>
        </w:numPr>
      </w:pPr>
      <w:r w:rsidRPr="005E3333">
        <w:t>Will they have standardised names?</w:t>
      </w:r>
    </w:p>
    <w:p w:rsidR="00216763" w:rsidRPr="005E3333" w:rsidRDefault="00216763" w:rsidP="00216763">
      <w:pPr>
        <w:numPr>
          <w:ilvl w:val="1"/>
          <w:numId w:val="20"/>
        </w:numPr>
      </w:pPr>
      <w:r w:rsidRPr="005E3333">
        <w:t>Will it be possible to enumerate them from the OCS?</w:t>
      </w:r>
    </w:p>
    <w:p w:rsidR="00E219E9" w:rsidRPr="005E3333" w:rsidRDefault="00E219E9" w:rsidP="00E219E9">
      <w:pPr>
        <w:numPr>
          <w:ilvl w:val="0"/>
          <w:numId w:val="20"/>
        </w:numPr>
      </w:pPr>
      <w:r w:rsidRPr="005E3333">
        <w:t xml:space="preserve">What parameters are required when requesting a </w:t>
      </w:r>
      <w:r w:rsidR="00713DE9">
        <w:t>counter</w:t>
      </w:r>
      <w:r w:rsidRPr="005E3333">
        <w:t>?</w:t>
      </w:r>
    </w:p>
    <w:p w:rsidR="00E219E9" w:rsidRPr="005E3333" w:rsidRDefault="00E219E9" w:rsidP="00E219E9">
      <w:pPr>
        <w:numPr>
          <w:ilvl w:val="1"/>
          <w:numId w:val="20"/>
        </w:numPr>
      </w:pPr>
      <w:r w:rsidRPr="005E3333">
        <w:t>Subscriber ID</w:t>
      </w:r>
    </w:p>
    <w:p w:rsidR="00E219E9" w:rsidRDefault="00E219E9" w:rsidP="00E219E9">
      <w:pPr>
        <w:numPr>
          <w:ilvl w:val="1"/>
          <w:numId w:val="20"/>
        </w:numPr>
      </w:pPr>
      <w:r w:rsidRPr="005E3333">
        <w:t>Service type</w:t>
      </w:r>
    </w:p>
    <w:p w:rsidR="00713DE9" w:rsidRPr="005E3333" w:rsidRDefault="00713DE9" w:rsidP="00E219E9">
      <w:pPr>
        <w:numPr>
          <w:ilvl w:val="1"/>
          <w:numId w:val="20"/>
        </w:numPr>
      </w:pPr>
      <w:r>
        <w:t>Counter ID</w:t>
      </w:r>
    </w:p>
    <w:p w:rsidR="00E219E9" w:rsidRDefault="00E219E9" w:rsidP="00E219E9">
      <w:pPr>
        <w:numPr>
          <w:ilvl w:val="0"/>
          <w:numId w:val="20"/>
        </w:numPr>
      </w:pPr>
      <w:r w:rsidRPr="005E3333">
        <w:t xml:space="preserve">How </w:t>
      </w:r>
      <w:proofErr w:type="gramStart"/>
      <w:r w:rsidRPr="005E3333">
        <w:t>are</w:t>
      </w:r>
      <w:proofErr w:type="gramEnd"/>
      <w:r w:rsidRPr="005E3333">
        <w:t xml:space="preserve"> the different counter units </w:t>
      </w:r>
      <w:r w:rsidR="005E3333" w:rsidRPr="005E3333">
        <w:t>accommodated</w:t>
      </w:r>
      <w:r w:rsidRPr="005E3333">
        <w:t>?</w:t>
      </w:r>
    </w:p>
    <w:p w:rsidR="00713DE9" w:rsidRPr="005E3333" w:rsidRDefault="00713DE9" w:rsidP="00713DE9">
      <w:pPr>
        <w:numPr>
          <w:ilvl w:val="1"/>
          <w:numId w:val="20"/>
        </w:numPr>
      </w:pPr>
      <w:r>
        <w:t>Currency, quantity of bytes, ...</w:t>
      </w:r>
    </w:p>
    <w:p w:rsidR="00110372" w:rsidRPr="005E3333" w:rsidRDefault="00110372" w:rsidP="00110372">
      <w:pPr>
        <w:numPr>
          <w:ilvl w:val="0"/>
          <w:numId w:val="20"/>
        </w:numPr>
      </w:pPr>
      <w:r w:rsidRPr="005E3333">
        <w:t>What other actions will trigger OCS-PCRF interactions?</w:t>
      </w:r>
    </w:p>
    <w:p w:rsidR="00110372" w:rsidRPr="005E3333" w:rsidRDefault="00110372" w:rsidP="00110372">
      <w:pPr>
        <w:numPr>
          <w:ilvl w:val="1"/>
          <w:numId w:val="20"/>
        </w:numPr>
      </w:pPr>
      <w:r w:rsidRPr="005E3333">
        <w:t>Counter reset</w:t>
      </w:r>
    </w:p>
    <w:p w:rsidR="00216763" w:rsidRPr="005E3333" w:rsidRDefault="00216763" w:rsidP="00471C5C">
      <w:pPr>
        <w:rPr>
          <w:i/>
        </w:rPr>
      </w:pPr>
      <w:r w:rsidRPr="005E3333">
        <w:t>It is likely that there will be additional issues that require consideration, and these should be identified as soon as possible.</w:t>
      </w:r>
    </w:p>
    <w:sectPr w:rsidR="00216763" w:rsidRPr="005E3333"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4A4" w:rsidRDefault="006B74A4">
      <w:r>
        <w:separator/>
      </w:r>
    </w:p>
  </w:endnote>
  <w:endnote w:type="continuationSeparator" w:id="0">
    <w:p w:rsidR="006B74A4" w:rsidRDefault="006B74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4A4" w:rsidRDefault="006B74A4">
      <w:r>
        <w:separator/>
      </w:r>
    </w:p>
  </w:footnote>
  <w:footnote w:type="continuationSeparator" w:id="0">
    <w:p w:rsidR="006B74A4" w:rsidRDefault="006B74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53581C"/>
    <w:multiLevelType w:val="hybridMultilevel"/>
    <w:tmpl w:val="FCA25D8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59D62C02"/>
    <w:multiLevelType w:val="hybridMultilevel"/>
    <w:tmpl w:val="9DC06F5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9"/>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F1614"/>
    <w:rsid w:val="00014E75"/>
    <w:rsid w:val="00047BEC"/>
    <w:rsid w:val="00061A88"/>
    <w:rsid w:val="00081A7A"/>
    <w:rsid w:val="000C5FE1"/>
    <w:rsid w:val="00103A65"/>
    <w:rsid w:val="00104C29"/>
    <w:rsid w:val="00110372"/>
    <w:rsid w:val="00121378"/>
    <w:rsid w:val="00125E82"/>
    <w:rsid w:val="0014611D"/>
    <w:rsid w:val="00164210"/>
    <w:rsid w:val="001816DF"/>
    <w:rsid w:val="001851EE"/>
    <w:rsid w:val="00186326"/>
    <w:rsid w:val="001D4FFA"/>
    <w:rsid w:val="001F1614"/>
    <w:rsid w:val="001F3570"/>
    <w:rsid w:val="00216763"/>
    <w:rsid w:val="00221500"/>
    <w:rsid w:val="0024297B"/>
    <w:rsid w:val="00242D4A"/>
    <w:rsid w:val="00244D21"/>
    <w:rsid w:val="00282B3F"/>
    <w:rsid w:val="00284E09"/>
    <w:rsid w:val="00286DB8"/>
    <w:rsid w:val="002A6E48"/>
    <w:rsid w:val="002C1A9D"/>
    <w:rsid w:val="002C3D9A"/>
    <w:rsid w:val="00302476"/>
    <w:rsid w:val="00303788"/>
    <w:rsid w:val="003069C9"/>
    <w:rsid w:val="00307416"/>
    <w:rsid w:val="00312BDC"/>
    <w:rsid w:val="003625CE"/>
    <w:rsid w:val="00371D90"/>
    <w:rsid w:val="00372B03"/>
    <w:rsid w:val="0037426C"/>
    <w:rsid w:val="003D4522"/>
    <w:rsid w:val="003F3D58"/>
    <w:rsid w:val="003F53FC"/>
    <w:rsid w:val="003F6C3C"/>
    <w:rsid w:val="0043583D"/>
    <w:rsid w:val="00435939"/>
    <w:rsid w:val="00465178"/>
    <w:rsid w:val="00471C5C"/>
    <w:rsid w:val="00483260"/>
    <w:rsid w:val="0049072B"/>
    <w:rsid w:val="004939C4"/>
    <w:rsid w:val="004A166F"/>
    <w:rsid w:val="004D6BA2"/>
    <w:rsid w:val="00515080"/>
    <w:rsid w:val="005A1D1F"/>
    <w:rsid w:val="005B3736"/>
    <w:rsid w:val="005B5F48"/>
    <w:rsid w:val="005D083D"/>
    <w:rsid w:val="005E3333"/>
    <w:rsid w:val="00610C30"/>
    <w:rsid w:val="00615889"/>
    <w:rsid w:val="00625256"/>
    <w:rsid w:val="00637F1A"/>
    <w:rsid w:val="006B4F3D"/>
    <w:rsid w:val="006B74A4"/>
    <w:rsid w:val="006C3A80"/>
    <w:rsid w:val="006E6DC9"/>
    <w:rsid w:val="007122E3"/>
    <w:rsid w:val="00713A96"/>
    <w:rsid w:val="00713DE9"/>
    <w:rsid w:val="00714B5B"/>
    <w:rsid w:val="00740AED"/>
    <w:rsid w:val="00770D63"/>
    <w:rsid w:val="007C60CA"/>
    <w:rsid w:val="007E5E8C"/>
    <w:rsid w:val="007E7E76"/>
    <w:rsid w:val="00800BFD"/>
    <w:rsid w:val="00802B46"/>
    <w:rsid w:val="00806541"/>
    <w:rsid w:val="00826E1A"/>
    <w:rsid w:val="0082791E"/>
    <w:rsid w:val="008326FE"/>
    <w:rsid w:val="00836A2D"/>
    <w:rsid w:val="00865D68"/>
    <w:rsid w:val="008C06CA"/>
    <w:rsid w:val="008F4154"/>
    <w:rsid w:val="008F5B88"/>
    <w:rsid w:val="00904323"/>
    <w:rsid w:val="00920FB6"/>
    <w:rsid w:val="00922195"/>
    <w:rsid w:val="00927C3C"/>
    <w:rsid w:val="0095392C"/>
    <w:rsid w:val="009A6EED"/>
    <w:rsid w:val="009B1CE1"/>
    <w:rsid w:val="009B4F61"/>
    <w:rsid w:val="009C571C"/>
    <w:rsid w:val="009E1A5D"/>
    <w:rsid w:val="009F7EBC"/>
    <w:rsid w:val="00A060A4"/>
    <w:rsid w:val="00A0680A"/>
    <w:rsid w:val="00A32864"/>
    <w:rsid w:val="00A4785B"/>
    <w:rsid w:val="00A50A6C"/>
    <w:rsid w:val="00A55987"/>
    <w:rsid w:val="00A55DBD"/>
    <w:rsid w:val="00A5663F"/>
    <w:rsid w:val="00A622A1"/>
    <w:rsid w:val="00AB2F89"/>
    <w:rsid w:val="00AB78B3"/>
    <w:rsid w:val="00AF11FF"/>
    <w:rsid w:val="00B06BBE"/>
    <w:rsid w:val="00B222D0"/>
    <w:rsid w:val="00B24496"/>
    <w:rsid w:val="00B4452F"/>
    <w:rsid w:val="00B56B45"/>
    <w:rsid w:val="00B612C9"/>
    <w:rsid w:val="00B722B4"/>
    <w:rsid w:val="00B8108B"/>
    <w:rsid w:val="00B87771"/>
    <w:rsid w:val="00BD215A"/>
    <w:rsid w:val="00BD5A16"/>
    <w:rsid w:val="00BD68C1"/>
    <w:rsid w:val="00C55D83"/>
    <w:rsid w:val="00C8684E"/>
    <w:rsid w:val="00CA4E51"/>
    <w:rsid w:val="00CA6AA4"/>
    <w:rsid w:val="00D469FC"/>
    <w:rsid w:val="00D56EFB"/>
    <w:rsid w:val="00D71C62"/>
    <w:rsid w:val="00D71EE5"/>
    <w:rsid w:val="00D85B83"/>
    <w:rsid w:val="00DF5981"/>
    <w:rsid w:val="00E02521"/>
    <w:rsid w:val="00E03884"/>
    <w:rsid w:val="00E1766C"/>
    <w:rsid w:val="00E20E31"/>
    <w:rsid w:val="00E219E9"/>
    <w:rsid w:val="00E53ACC"/>
    <w:rsid w:val="00E86863"/>
    <w:rsid w:val="00E9003D"/>
    <w:rsid w:val="00EA545C"/>
    <w:rsid w:val="00EB2A3D"/>
    <w:rsid w:val="00EB4EF5"/>
    <w:rsid w:val="00EC6360"/>
    <w:rsid w:val="00EF2390"/>
    <w:rsid w:val="00F25B74"/>
    <w:rsid w:val="00F52990"/>
    <w:rsid w:val="00F813AA"/>
    <w:rsid w:val="00F83359"/>
    <w:rsid w:val="00FB2AE4"/>
    <w:rsid w:val="00FC7A64"/>
    <w:rsid w:val="00FD1E90"/>
    <w:rsid w:val="00FD2C2F"/>
    <w:rsid w:val="00FE7931"/>
    <w:rsid w:val="00FF03B5"/>
    <w:rsid w:val="00FF7FE7"/>
  </w:rsids>
  <m:mathPr>
    <m:mathFont m:val="Cambria Math"/>
    <m:brkBin m:val="before"/>
    <m:brkBinSub m:val="--"/>
    <m:smallFrac m:val="off"/>
    <m:dispDef/>
    <m:lMargin m:val="0"/>
    <m:rMargin m:val="0"/>
    <m:defJc m:val="centerGroup"/>
    <m:wrapIndent m:val="1440"/>
    <m:intLim m:val="subSup"/>
    <m:naryLim m:val="undOvr"/>
  </m:mathPr>
  <w:uiCompat97To2003/>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22A1"/>
    <w:pPr>
      <w:spacing w:after="180"/>
    </w:pPr>
    <w:rPr>
      <w:rFonts w:ascii="Times New Roman" w:hAnsi="Times New Roman"/>
      <w:lang w:val="en-GB" w:eastAsia="en-US"/>
    </w:rPr>
  </w:style>
  <w:style w:type="paragraph" w:styleId="Heading1">
    <w:name w:val="heading 1"/>
    <w:next w:val="Normal"/>
    <w:qFormat/>
    <w:rsid w:val="00A622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A622A1"/>
    <w:pPr>
      <w:pBdr>
        <w:top w:val="none" w:sz="0" w:space="0" w:color="auto"/>
      </w:pBdr>
      <w:spacing w:before="180"/>
      <w:outlineLvl w:val="1"/>
    </w:pPr>
    <w:rPr>
      <w:sz w:val="32"/>
    </w:rPr>
  </w:style>
  <w:style w:type="paragraph" w:styleId="Heading3">
    <w:name w:val="heading 3"/>
    <w:aliases w:val="h3"/>
    <w:basedOn w:val="Heading2"/>
    <w:next w:val="Normal"/>
    <w:qFormat/>
    <w:rsid w:val="00A622A1"/>
    <w:pPr>
      <w:spacing w:before="120"/>
      <w:outlineLvl w:val="2"/>
    </w:pPr>
    <w:rPr>
      <w:sz w:val="28"/>
    </w:rPr>
  </w:style>
  <w:style w:type="paragraph" w:styleId="Heading4">
    <w:name w:val="heading 4"/>
    <w:basedOn w:val="Heading3"/>
    <w:next w:val="Normal"/>
    <w:qFormat/>
    <w:rsid w:val="00A622A1"/>
    <w:pPr>
      <w:ind w:left="1418" w:hanging="1418"/>
      <w:outlineLvl w:val="3"/>
    </w:pPr>
    <w:rPr>
      <w:sz w:val="24"/>
    </w:rPr>
  </w:style>
  <w:style w:type="paragraph" w:styleId="Heading5">
    <w:name w:val="heading 5"/>
    <w:basedOn w:val="Heading4"/>
    <w:next w:val="Normal"/>
    <w:qFormat/>
    <w:rsid w:val="00A622A1"/>
    <w:pPr>
      <w:ind w:left="1701" w:hanging="1701"/>
      <w:outlineLvl w:val="4"/>
    </w:pPr>
    <w:rPr>
      <w:sz w:val="22"/>
    </w:rPr>
  </w:style>
  <w:style w:type="paragraph" w:styleId="Heading6">
    <w:name w:val="heading 6"/>
    <w:basedOn w:val="H6"/>
    <w:next w:val="Normal"/>
    <w:qFormat/>
    <w:rsid w:val="00A622A1"/>
    <w:pPr>
      <w:outlineLvl w:val="5"/>
    </w:pPr>
  </w:style>
  <w:style w:type="paragraph" w:styleId="Heading7">
    <w:name w:val="heading 7"/>
    <w:basedOn w:val="H6"/>
    <w:next w:val="Normal"/>
    <w:qFormat/>
    <w:rsid w:val="00A622A1"/>
    <w:pPr>
      <w:outlineLvl w:val="6"/>
    </w:pPr>
  </w:style>
  <w:style w:type="paragraph" w:styleId="Heading8">
    <w:name w:val="heading 8"/>
    <w:basedOn w:val="Heading1"/>
    <w:next w:val="Normal"/>
    <w:qFormat/>
    <w:rsid w:val="00A622A1"/>
    <w:pPr>
      <w:ind w:left="0" w:firstLine="0"/>
      <w:outlineLvl w:val="7"/>
    </w:pPr>
  </w:style>
  <w:style w:type="paragraph" w:styleId="Heading9">
    <w:name w:val="heading 9"/>
    <w:basedOn w:val="Heading8"/>
    <w:next w:val="Normal"/>
    <w:qFormat/>
    <w:rsid w:val="00A622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22A1"/>
    <w:pPr>
      <w:ind w:left="1985" w:hanging="1985"/>
      <w:outlineLvl w:val="9"/>
    </w:pPr>
    <w:rPr>
      <w:sz w:val="20"/>
    </w:rPr>
  </w:style>
  <w:style w:type="paragraph" w:styleId="TOC8">
    <w:name w:val="toc 8"/>
    <w:basedOn w:val="TOC1"/>
    <w:semiHidden/>
    <w:rsid w:val="00A622A1"/>
    <w:pPr>
      <w:spacing w:before="180"/>
      <w:ind w:left="2693" w:hanging="2693"/>
    </w:pPr>
    <w:rPr>
      <w:b/>
    </w:rPr>
  </w:style>
  <w:style w:type="paragraph" w:styleId="TOC1">
    <w:name w:val="toc 1"/>
    <w:semiHidden/>
    <w:rsid w:val="00A622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622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A622A1"/>
    <w:pPr>
      <w:ind w:left="1701" w:hanging="1701"/>
    </w:pPr>
  </w:style>
  <w:style w:type="paragraph" w:styleId="TOC4">
    <w:name w:val="toc 4"/>
    <w:basedOn w:val="TOC3"/>
    <w:semiHidden/>
    <w:rsid w:val="00A622A1"/>
    <w:pPr>
      <w:ind w:left="1418" w:hanging="1418"/>
    </w:pPr>
  </w:style>
  <w:style w:type="paragraph" w:styleId="TOC3">
    <w:name w:val="toc 3"/>
    <w:basedOn w:val="TOC2"/>
    <w:semiHidden/>
    <w:rsid w:val="00A622A1"/>
    <w:pPr>
      <w:ind w:left="1134" w:hanging="1134"/>
    </w:pPr>
  </w:style>
  <w:style w:type="paragraph" w:styleId="TOC2">
    <w:name w:val="toc 2"/>
    <w:basedOn w:val="TOC1"/>
    <w:semiHidden/>
    <w:rsid w:val="00A622A1"/>
    <w:pPr>
      <w:keepNext w:val="0"/>
      <w:spacing w:before="0"/>
      <w:ind w:left="851" w:hanging="851"/>
    </w:pPr>
    <w:rPr>
      <w:sz w:val="20"/>
    </w:rPr>
  </w:style>
  <w:style w:type="paragraph" w:styleId="Index2">
    <w:name w:val="index 2"/>
    <w:basedOn w:val="Index1"/>
    <w:semiHidden/>
    <w:rsid w:val="00A622A1"/>
    <w:pPr>
      <w:ind w:left="284"/>
    </w:pPr>
  </w:style>
  <w:style w:type="paragraph" w:styleId="Index1">
    <w:name w:val="index 1"/>
    <w:basedOn w:val="Normal"/>
    <w:semiHidden/>
    <w:rsid w:val="00A622A1"/>
    <w:pPr>
      <w:keepLines/>
      <w:spacing w:after="0"/>
    </w:pPr>
  </w:style>
  <w:style w:type="paragraph" w:customStyle="1" w:styleId="ZH">
    <w:name w:val="ZH"/>
    <w:rsid w:val="00A622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622A1"/>
    <w:pPr>
      <w:outlineLvl w:val="9"/>
    </w:pPr>
  </w:style>
  <w:style w:type="paragraph" w:styleId="ListNumber2">
    <w:name w:val="List Number 2"/>
    <w:basedOn w:val="ListNumber"/>
    <w:rsid w:val="00A622A1"/>
    <w:pPr>
      <w:ind w:left="851"/>
    </w:pPr>
  </w:style>
  <w:style w:type="paragraph" w:styleId="ListNumber">
    <w:name w:val="List Number"/>
    <w:basedOn w:val="List"/>
    <w:rsid w:val="00A622A1"/>
  </w:style>
  <w:style w:type="paragraph" w:styleId="List">
    <w:name w:val="List"/>
    <w:basedOn w:val="Normal"/>
    <w:rsid w:val="00A622A1"/>
    <w:pPr>
      <w:ind w:left="568" w:hanging="284"/>
    </w:pPr>
  </w:style>
  <w:style w:type="paragraph" w:styleId="Header">
    <w:name w:val="header"/>
    <w:aliases w:val="header odd,header,header odd1,header odd2,header odd3,header odd4,header odd5,header odd6"/>
    <w:rsid w:val="00A622A1"/>
    <w:pPr>
      <w:widowControl w:val="0"/>
    </w:pPr>
    <w:rPr>
      <w:rFonts w:ascii="Arial" w:hAnsi="Arial"/>
      <w:b/>
      <w:noProof/>
      <w:sz w:val="18"/>
      <w:lang w:val="en-GB" w:eastAsia="en-US"/>
    </w:rPr>
  </w:style>
  <w:style w:type="character" w:styleId="FootnoteReference">
    <w:name w:val="footnote reference"/>
    <w:basedOn w:val="DefaultParagraphFont"/>
    <w:semiHidden/>
    <w:rsid w:val="00A622A1"/>
    <w:rPr>
      <w:b/>
      <w:position w:val="6"/>
      <w:sz w:val="16"/>
    </w:rPr>
  </w:style>
  <w:style w:type="paragraph" w:styleId="FootnoteText">
    <w:name w:val="footnote text"/>
    <w:basedOn w:val="Normal"/>
    <w:semiHidden/>
    <w:rsid w:val="00A622A1"/>
    <w:pPr>
      <w:keepLines/>
      <w:spacing w:after="0"/>
      <w:ind w:left="454" w:hanging="454"/>
    </w:pPr>
    <w:rPr>
      <w:sz w:val="16"/>
    </w:rPr>
  </w:style>
  <w:style w:type="paragraph" w:customStyle="1" w:styleId="TAH">
    <w:name w:val="TAH"/>
    <w:basedOn w:val="TAC"/>
    <w:rsid w:val="00A622A1"/>
    <w:rPr>
      <w:b/>
    </w:rPr>
  </w:style>
  <w:style w:type="paragraph" w:customStyle="1" w:styleId="TAC">
    <w:name w:val="TAC"/>
    <w:basedOn w:val="TAL"/>
    <w:rsid w:val="00A622A1"/>
    <w:pPr>
      <w:jc w:val="center"/>
    </w:pPr>
  </w:style>
  <w:style w:type="paragraph" w:customStyle="1" w:styleId="TAL">
    <w:name w:val="TAL"/>
    <w:basedOn w:val="Normal"/>
    <w:rsid w:val="00A622A1"/>
    <w:pPr>
      <w:keepNext/>
      <w:keepLines/>
      <w:spacing w:after="0"/>
    </w:pPr>
    <w:rPr>
      <w:rFonts w:ascii="Arial" w:hAnsi="Arial"/>
      <w:sz w:val="18"/>
    </w:rPr>
  </w:style>
  <w:style w:type="paragraph" w:customStyle="1" w:styleId="TF">
    <w:name w:val="TF"/>
    <w:basedOn w:val="TH"/>
    <w:rsid w:val="00A622A1"/>
    <w:pPr>
      <w:keepNext w:val="0"/>
      <w:spacing w:before="0" w:after="240"/>
    </w:pPr>
  </w:style>
  <w:style w:type="paragraph" w:customStyle="1" w:styleId="TH">
    <w:name w:val="TH"/>
    <w:basedOn w:val="Normal"/>
    <w:rsid w:val="00A622A1"/>
    <w:pPr>
      <w:keepNext/>
      <w:keepLines/>
      <w:spacing w:before="60"/>
      <w:jc w:val="center"/>
    </w:pPr>
    <w:rPr>
      <w:rFonts w:ascii="Arial" w:hAnsi="Arial"/>
      <w:b/>
    </w:rPr>
  </w:style>
  <w:style w:type="paragraph" w:customStyle="1" w:styleId="NO">
    <w:name w:val="NO"/>
    <w:basedOn w:val="Normal"/>
    <w:rsid w:val="00A622A1"/>
    <w:pPr>
      <w:keepLines/>
      <w:ind w:left="1135" w:hanging="851"/>
    </w:pPr>
  </w:style>
  <w:style w:type="paragraph" w:styleId="TOC9">
    <w:name w:val="toc 9"/>
    <w:basedOn w:val="TOC8"/>
    <w:semiHidden/>
    <w:rsid w:val="00A622A1"/>
    <w:pPr>
      <w:ind w:left="1418" w:hanging="1418"/>
    </w:pPr>
  </w:style>
  <w:style w:type="paragraph" w:customStyle="1" w:styleId="EX">
    <w:name w:val="EX"/>
    <w:basedOn w:val="Normal"/>
    <w:rsid w:val="00A622A1"/>
    <w:pPr>
      <w:keepLines/>
      <w:ind w:left="1702" w:hanging="1418"/>
    </w:pPr>
  </w:style>
  <w:style w:type="paragraph" w:customStyle="1" w:styleId="FP">
    <w:name w:val="FP"/>
    <w:basedOn w:val="Normal"/>
    <w:rsid w:val="00A622A1"/>
    <w:pPr>
      <w:spacing w:after="0"/>
    </w:pPr>
  </w:style>
  <w:style w:type="paragraph" w:customStyle="1" w:styleId="LD">
    <w:name w:val="LD"/>
    <w:rsid w:val="00A622A1"/>
    <w:pPr>
      <w:keepNext/>
      <w:keepLines/>
      <w:spacing w:line="180" w:lineRule="exact"/>
    </w:pPr>
    <w:rPr>
      <w:rFonts w:ascii="MS LineDraw" w:hAnsi="MS LineDraw"/>
      <w:noProof/>
      <w:lang w:val="en-GB" w:eastAsia="en-US"/>
    </w:rPr>
  </w:style>
  <w:style w:type="paragraph" w:customStyle="1" w:styleId="NW">
    <w:name w:val="NW"/>
    <w:basedOn w:val="NO"/>
    <w:rsid w:val="00A622A1"/>
    <w:pPr>
      <w:spacing w:after="0"/>
    </w:pPr>
  </w:style>
  <w:style w:type="paragraph" w:customStyle="1" w:styleId="EW">
    <w:name w:val="EW"/>
    <w:basedOn w:val="EX"/>
    <w:rsid w:val="00A622A1"/>
    <w:pPr>
      <w:spacing w:after="0"/>
    </w:pPr>
  </w:style>
  <w:style w:type="paragraph" w:styleId="TOC6">
    <w:name w:val="toc 6"/>
    <w:basedOn w:val="TOC5"/>
    <w:next w:val="Normal"/>
    <w:semiHidden/>
    <w:rsid w:val="00A622A1"/>
    <w:pPr>
      <w:ind w:left="1985" w:hanging="1985"/>
    </w:pPr>
  </w:style>
  <w:style w:type="paragraph" w:styleId="TOC7">
    <w:name w:val="toc 7"/>
    <w:basedOn w:val="TOC6"/>
    <w:next w:val="Normal"/>
    <w:semiHidden/>
    <w:rsid w:val="00A622A1"/>
    <w:pPr>
      <w:ind w:left="2268" w:hanging="2268"/>
    </w:pPr>
  </w:style>
  <w:style w:type="paragraph" w:styleId="ListBullet2">
    <w:name w:val="List Bullet 2"/>
    <w:basedOn w:val="ListBullet"/>
    <w:rsid w:val="00A622A1"/>
    <w:pPr>
      <w:ind w:left="851"/>
    </w:pPr>
  </w:style>
  <w:style w:type="paragraph" w:styleId="ListBullet">
    <w:name w:val="List Bullet"/>
    <w:basedOn w:val="List"/>
    <w:rsid w:val="00A622A1"/>
  </w:style>
  <w:style w:type="paragraph" w:styleId="ListBullet3">
    <w:name w:val="List Bullet 3"/>
    <w:basedOn w:val="ListBullet2"/>
    <w:rsid w:val="00A622A1"/>
    <w:pPr>
      <w:ind w:left="1135"/>
    </w:pPr>
  </w:style>
  <w:style w:type="paragraph" w:customStyle="1" w:styleId="EQ">
    <w:name w:val="EQ"/>
    <w:basedOn w:val="Normal"/>
    <w:next w:val="Normal"/>
    <w:rsid w:val="00A622A1"/>
    <w:pPr>
      <w:keepLines/>
      <w:tabs>
        <w:tab w:val="center" w:pos="4536"/>
        <w:tab w:val="right" w:pos="9072"/>
      </w:tabs>
    </w:pPr>
    <w:rPr>
      <w:noProof/>
    </w:rPr>
  </w:style>
  <w:style w:type="paragraph" w:customStyle="1" w:styleId="NF">
    <w:name w:val="NF"/>
    <w:basedOn w:val="NO"/>
    <w:rsid w:val="00A622A1"/>
    <w:pPr>
      <w:keepNext/>
      <w:spacing w:after="0"/>
    </w:pPr>
    <w:rPr>
      <w:rFonts w:ascii="Arial" w:hAnsi="Arial"/>
      <w:sz w:val="18"/>
    </w:rPr>
  </w:style>
  <w:style w:type="paragraph" w:customStyle="1" w:styleId="PL">
    <w:name w:val="PL"/>
    <w:rsid w:val="00A62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622A1"/>
    <w:pPr>
      <w:jc w:val="right"/>
    </w:pPr>
  </w:style>
  <w:style w:type="paragraph" w:customStyle="1" w:styleId="TAN">
    <w:name w:val="TAN"/>
    <w:basedOn w:val="TAL"/>
    <w:rsid w:val="00A622A1"/>
    <w:pPr>
      <w:ind w:left="851" w:hanging="851"/>
    </w:pPr>
  </w:style>
  <w:style w:type="paragraph" w:customStyle="1" w:styleId="ZA">
    <w:name w:val="ZA"/>
    <w:rsid w:val="00A622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622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622A1"/>
    <w:pPr>
      <w:framePr w:wrap="notBeside" w:vAnchor="page" w:hAnchor="margin" w:y="15764"/>
      <w:widowControl w:val="0"/>
    </w:pPr>
    <w:rPr>
      <w:rFonts w:ascii="Arial" w:hAnsi="Arial"/>
      <w:noProof/>
      <w:sz w:val="32"/>
      <w:lang w:val="en-GB" w:eastAsia="en-US"/>
    </w:rPr>
  </w:style>
  <w:style w:type="paragraph" w:customStyle="1" w:styleId="ZU">
    <w:name w:val="ZU"/>
    <w:rsid w:val="00A622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622A1"/>
    <w:pPr>
      <w:framePr w:wrap="notBeside" w:y="16161"/>
    </w:pPr>
  </w:style>
  <w:style w:type="character" w:customStyle="1" w:styleId="ZGSM">
    <w:name w:val="ZGSM"/>
    <w:rsid w:val="00A622A1"/>
  </w:style>
  <w:style w:type="paragraph" w:styleId="List2">
    <w:name w:val="List 2"/>
    <w:basedOn w:val="List"/>
    <w:rsid w:val="00A622A1"/>
    <w:pPr>
      <w:ind w:left="851"/>
    </w:pPr>
  </w:style>
  <w:style w:type="paragraph" w:customStyle="1" w:styleId="ZG">
    <w:name w:val="ZG"/>
    <w:rsid w:val="00A622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622A1"/>
    <w:pPr>
      <w:ind w:left="1135"/>
    </w:pPr>
  </w:style>
  <w:style w:type="paragraph" w:styleId="List4">
    <w:name w:val="List 4"/>
    <w:basedOn w:val="List3"/>
    <w:rsid w:val="00A622A1"/>
    <w:pPr>
      <w:ind w:left="1418"/>
    </w:pPr>
  </w:style>
  <w:style w:type="paragraph" w:styleId="List5">
    <w:name w:val="List 5"/>
    <w:basedOn w:val="List4"/>
    <w:rsid w:val="00A622A1"/>
    <w:pPr>
      <w:ind w:left="1702"/>
    </w:pPr>
  </w:style>
  <w:style w:type="paragraph" w:customStyle="1" w:styleId="EditorsNote">
    <w:name w:val="Editor's Note"/>
    <w:aliases w:val="EN"/>
    <w:basedOn w:val="NO"/>
    <w:link w:val="EditorsNoteChar"/>
    <w:rsid w:val="00A622A1"/>
    <w:rPr>
      <w:color w:val="FF0000"/>
    </w:rPr>
  </w:style>
  <w:style w:type="paragraph" w:styleId="ListBullet4">
    <w:name w:val="List Bullet 4"/>
    <w:basedOn w:val="ListBullet3"/>
    <w:rsid w:val="00A622A1"/>
    <w:pPr>
      <w:ind w:left="1418"/>
    </w:pPr>
  </w:style>
  <w:style w:type="paragraph" w:styleId="ListBullet5">
    <w:name w:val="List Bullet 5"/>
    <w:basedOn w:val="ListBullet4"/>
    <w:rsid w:val="00A622A1"/>
    <w:pPr>
      <w:ind w:left="1702"/>
    </w:pPr>
  </w:style>
  <w:style w:type="paragraph" w:customStyle="1" w:styleId="B1">
    <w:name w:val="B1"/>
    <w:basedOn w:val="List"/>
    <w:rsid w:val="00A622A1"/>
  </w:style>
  <w:style w:type="paragraph" w:customStyle="1" w:styleId="B2">
    <w:name w:val="B2"/>
    <w:basedOn w:val="List2"/>
    <w:rsid w:val="00A622A1"/>
  </w:style>
  <w:style w:type="paragraph" w:customStyle="1" w:styleId="B3">
    <w:name w:val="B3"/>
    <w:basedOn w:val="List3"/>
    <w:rsid w:val="00A622A1"/>
  </w:style>
  <w:style w:type="paragraph" w:customStyle="1" w:styleId="B4">
    <w:name w:val="B4"/>
    <w:basedOn w:val="List4"/>
    <w:rsid w:val="00A622A1"/>
  </w:style>
  <w:style w:type="paragraph" w:customStyle="1" w:styleId="B5">
    <w:name w:val="B5"/>
    <w:basedOn w:val="List5"/>
    <w:rsid w:val="00A622A1"/>
  </w:style>
  <w:style w:type="paragraph" w:styleId="Footer">
    <w:name w:val="footer"/>
    <w:basedOn w:val="Header"/>
    <w:rsid w:val="00A622A1"/>
    <w:pPr>
      <w:jc w:val="center"/>
    </w:pPr>
    <w:rPr>
      <w:i/>
    </w:rPr>
  </w:style>
  <w:style w:type="paragraph" w:customStyle="1" w:styleId="ZTD">
    <w:name w:val="ZTD"/>
    <w:basedOn w:val="ZB"/>
    <w:rsid w:val="00A622A1"/>
    <w:pPr>
      <w:framePr w:hRule="auto" w:wrap="notBeside" w:y="852"/>
    </w:pPr>
    <w:rPr>
      <w:i w:val="0"/>
      <w:sz w:val="40"/>
    </w:rPr>
  </w:style>
  <w:style w:type="paragraph" w:customStyle="1" w:styleId="CRCoverPage">
    <w:name w:val="CR Cover Page"/>
    <w:rsid w:val="00A622A1"/>
    <w:pPr>
      <w:spacing w:after="120"/>
    </w:pPr>
    <w:rPr>
      <w:rFonts w:ascii="Arial" w:hAnsi="Arial"/>
      <w:lang w:val="en-GB" w:eastAsia="en-US"/>
    </w:rPr>
  </w:style>
  <w:style w:type="paragraph" w:customStyle="1" w:styleId="tdoc-header">
    <w:name w:val="tdoc-header"/>
    <w:rsid w:val="00A622A1"/>
    <w:rPr>
      <w:rFonts w:ascii="Arial" w:hAnsi="Arial"/>
      <w:noProof/>
      <w:sz w:val="24"/>
      <w:lang w:val="en-GB" w:eastAsia="en-US"/>
    </w:rPr>
  </w:style>
  <w:style w:type="character" w:styleId="Hyperlink">
    <w:name w:val="Hyperlink"/>
    <w:basedOn w:val="DefaultParagraphFont"/>
    <w:rsid w:val="00A622A1"/>
    <w:rPr>
      <w:color w:val="0000FF"/>
      <w:u w:val="single"/>
    </w:rPr>
  </w:style>
  <w:style w:type="character" w:styleId="CommentReference">
    <w:name w:val="annotation reference"/>
    <w:basedOn w:val="DefaultParagraphFont"/>
    <w:semiHidden/>
    <w:rsid w:val="00A622A1"/>
    <w:rPr>
      <w:sz w:val="16"/>
    </w:rPr>
  </w:style>
  <w:style w:type="paragraph" w:styleId="CommentText">
    <w:name w:val="annotation text"/>
    <w:basedOn w:val="Normal"/>
    <w:link w:val="CommentTextChar"/>
    <w:semiHidden/>
    <w:rsid w:val="00A622A1"/>
  </w:style>
  <w:style w:type="character" w:styleId="FollowedHyperlink">
    <w:name w:val="FollowedHyperlink"/>
    <w:basedOn w:val="DefaultParagraphFont"/>
    <w:rsid w:val="00A622A1"/>
    <w:rPr>
      <w:color w:val="800080"/>
      <w:u w:val="single"/>
    </w:rPr>
  </w:style>
  <w:style w:type="paragraph" w:styleId="BalloonText">
    <w:name w:val="Balloon Text"/>
    <w:basedOn w:val="Normal"/>
    <w:semiHidden/>
    <w:rsid w:val="00A622A1"/>
    <w:rPr>
      <w:rFonts w:ascii="Tahoma" w:hAnsi="Tahoma" w:cs="Tahoma"/>
      <w:sz w:val="16"/>
      <w:szCs w:val="16"/>
    </w:rPr>
  </w:style>
  <w:style w:type="paragraph" w:customStyle="1" w:styleId="code">
    <w:name w:val="code"/>
    <w:basedOn w:val="Normal"/>
    <w:rsid w:val="00A622A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A622A1"/>
  </w:style>
  <w:style w:type="paragraph" w:customStyle="1" w:styleId="Reference">
    <w:name w:val="Reference"/>
    <w:basedOn w:val="Normal"/>
    <w:rsid w:val="00EA545C"/>
    <w:pPr>
      <w:tabs>
        <w:tab w:val="left" w:pos="851"/>
      </w:tabs>
      <w:ind w:left="851" w:hanging="851"/>
    </w:pPr>
  </w:style>
  <w:style w:type="paragraph" w:styleId="CommentSubject">
    <w:name w:val="annotation subject"/>
    <w:basedOn w:val="CommentText"/>
    <w:next w:val="CommentText"/>
    <w:link w:val="CommentSubjectChar"/>
    <w:rsid w:val="00E03884"/>
    <w:rPr>
      <w:b/>
      <w:bCs/>
    </w:rPr>
  </w:style>
  <w:style w:type="character" w:customStyle="1" w:styleId="CommentTextChar">
    <w:name w:val="Comment Text Char"/>
    <w:basedOn w:val="DefaultParagraphFont"/>
    <w:link w:val="CommentText"/>
    <w:semiHidden/>
    <w:rsid w:val="00E03884"/>
    <w:rPr>
      <w:rFonts w:ascii="Times New Roman" w:hAnsi="Times New Roman"/>
      <w:lang w:val="en-GB" w:eastAsia="en-US"/>
    </w:rPr>
  </w:style>
  <w:style w:type="character" w:customStyle="1" w:styleId="CommentSubjectChar">
    <w:name w:val="Comment Subject Char"/>
    <w:basedOn w:val="CommentTextChar"/>
    <w:link w:val="CommentSubject"/>
    <w:rsid w:val="00E03884"/>
  </w:style>
  <w:style w:type="character" w:customStyle="1" w:styleId="EditorsNoteChar">
    <w:name w:val="Editor's Note Char"/>
    <w:basedOn w:val="DefaultParagraphFont"/>
    <w:link w:val="EditorsNote"/>
    <w:rsid w:val="00E86863"/>
    <w:rPr>
      <w:rFonts w:ascii="Times New Roman" w:hAnsi="Times New Roman"/>
      <w:color w:val="FF0000"/>
      <w:lang w:val="en-GB" w:eastAsia="en-US"/>
    </w:rPr>
  </w:style>
  <w:style w:type="paragraph" w:styleId="Caption">
    <w:name w:val="caption"/>
    <w:basedOn w:val="Normal"/>
    <w:next w:val="Normal"/>
    <w:unhideWhenUsed/>
    <w:qFormat/>
    <w:rsid w:val="00EC6360"/>
    <w:rPr>
      <w:b/>
      <w:bC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89C18-F0DD-4B0A-B97E-FD813E4AC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945</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alanmcn</cp:lastModifiedBy>
  <cp:revision>3</cp:revision>
  <cp:lastPrinted>2011-01-13T15:49:00Z</cp:lastPrinted>
  <dcterms:created xsi:type="dcterms:W3CDTF">2011-01-14T10:38:00Z</dcterms:created>
  <dcterms:modified xsi:type="dcterms:W3CDTF">2011-01-14T10:40:00Z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