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6311F7CA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E416A">
        <w:rPr>
          <w:b/>
          <w:i/>
          <w:noProof/>
          <w:sz w:val="28"/>
        </w:rPr>
        <w:t>2068</w:t>
      </w:r>
    </w:p>
    <w:p w14:paraId="7CB45193" w14:textId="2CF53517" w:rsidR="001E41F3" w:rsidRPr="005D6EAF" w:rsidRDefault="005D6EAF" w:rsidP="005D6EAF">
      <w:pPr>
        <w:pStyle w:val="CRCoverPage"/>
        <w:outlineLvl w:val="0"/>
        <w:rPr>
          <w:b/>
          <w:bCs/>
          <w:noProof/>
          <w:sz w:val="24"/>
        </w:rPr>
      </w:pPr>
      <w:r w:rsidRPr="005D6EAF">
        <w:rPr>
          <w:b/>
          <w:bCs/>
          <w:sz w:val="24"/>
        </w:rPr>
        <w:t>e-meeting,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EA7EC" w:rsidR="001E41F3" w:rsidRPr="00410371" w:rsidRDefault="00F72B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40C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6ED193" w:rsidR="001E41F3" w:rsidRPr="00410371" w:rsidRDefault="00F72B3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2BB53C" w:rsidR="001E41F3" w:rsidRPr="00410371" w:rsidRDefault="00F72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740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3F99A0" w:rsidR="001E41F3" w:rsidRPr="00410371" w:rsidRDefault="00F72B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40C1">
                <w:rPr>
                  <w:b/>
                  <w:noProof/>
                  <w:sz w:val="28"/>
                </w:rPr>
                <w:t>17.</w:t>
              </w:r>
              <w:r w:rsidR="00877F40">
                <w:rPr>
                  <w:b/>
                  <w:noProof/>
                  <w:sz w:val="28"/>
                </w:rPr>
                <w:t>6</w:t>
              </w:r>
              <w:r w:rsidR="003740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E3556C" w:rsidR="00F25D98" w:rsidRDefault="003740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9549B8" w:rsidR="001E41F3" w:rsidRDefault="00A456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fr-FR"/>
              </w:rPr>
              <w:t xml:space="preserve">Rel-17 </w:t>
            </w:r>
            <w:r w:rsidR="003740C1">
              <w:rPr>
                <w:rFonts w:cs="Arial"/>
                <w:lang w:val="fr-FR"/>
              </w:rPr>
              <w:t xml:space="preserve">TS 28.541 Diagram fix for NRM fragment for RRM </w:t>
            </w:r>
            <w:proofErr w:type="spellStart"/>
            <w:r w:rsidR="003740C1">
              <w:rPr>
                <w:rFonts w:cs="Arial"/>
                <w:lang w:val="fr-FR"/>
              </w:rPr>
              <w:t>policies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35363C" w:rsidR="001E41F3" w:rsidRDefault="00374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7F0899" w:rsidR="001E41F3" w:rsidRDefault="00B0112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fr-FR"/>
              </w:rP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7FDF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740C1">
              <w:t>03-2</w:t>
            </w:r>
            <w:r w:rsidR="00522596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D7AC01" w:rsidR="001E41F3" w:rsidRDefault="00F72B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740C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D51B5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740C1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C3576C" w:rsidR="001E41F3" w:rsidRDefault="003740C1" w:rsidP="003740C1">
            <w:pPr>
              <w:pStyle w:val="CRCoverPage"/>
              <w:spacing w:after="0"/>
              <w:rPr>
                <w:noProof/>
              </w:rPr>
            </w:pPr>
            <w:r w:rsidRPr="003740C1">
              <w:rPr>
                <w:noProof/>
              </w:rPr>
              <w:t>NRM fragment for RRM policies is incorrect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D626A" w14:textId="77777777" w:rsidR="003740C1" w:rsidRPr="003740C1" w:rsidRDefault="003740C1" w:rsidP="003740C1">
            <w:pPr>
              <w:pStyle w:val="CRCoverPage"/>
              <w:rPr>
                <w:noProof/>
                <w:lang w:val="fr-FR"/>
              </w:rPr>
            </w:pPr>
            <w:r w:rsidRPr="003740C1">
              <w:rPr>
                <w:noProof/>
                <w:lang w:val="fr-FR"/>
              </w:rPr>
              <w:t>Fix the class diagram for NRM fragment for RRM policies</w:t>
            </w:r>
          </w:p>
          <w:p w14:paraId="1B053395" w14:textId="77777777" w:rsidR="003740C1" w:rsidRPr="003740C1" w:rsidRDefault="003740C1" w:rsidP="003740C1">
            <w:pPr>
              <w:pStyle w:val="CRCoverPage"/>
              <w:numPr>
                <w:ilvl w:val="0"/>
                <w:numId w:val="1"/>
              </w:numPr>
              <w:rPr>
                <w:noProof/>
                <w:lang w:val="fr-FR"/>
              </w:rPr>
            </w:pPr>
            <w:r w:rsidRPr="003740C1">
              <w:rPr>
                <w:noProof/>
                <w:lang w:val="fr-FR"/>
              </w:rPr>
              <w:t>RRMPolicyRatio class is name contained in RRMPolicyManagedEntity instead of RRMPolicy_.</w:t>
            </w:r>
          </w:p>
          <w:p w14:paraId="3198A203" w14:textId="77777777" w:rsidR="003740C1" w:rsidRPr="003740C1" w:rsidRDefault="003740C1" w:rsidP="003740C1">
            <w:pPr>
              <w:pStyle w:val="CRCoverPage"/>
              <w:numPr>
                <w:ilvl w:val="0"/>
                <w:numId w:val="1"/>
              </w:numPr>
              <w:rPr>
                <w:noProof/>
                <w:lang w:val="fr-FR"/>
              </w:rPr>
            </w:pPr>
            <w:r w:rsidRPr="003740C1">
              <w:rPr>
                <w:noProof/>
                <w:lang w:val="fr-FR"/>
              </w:rPr>
              <w:t>RRMPolicyManagedEntity is a proxy class but the IOC representation of this proxy class is missing, this has been added in this correction.</w:t>
            </w:r>
          </w:p>
          <w:p w14:paraId="31C656EC" w14:textId="478C207C" w:rsidR="001E41F3" w:rsidRDefault="003740C1" w:rsidP="003740C1">
            <w:pPr>
              <w:pStyle w:val="CRCoverPage"/>
              <w:spacing w:after="0"/>
              <w:rPr>
                <w:noProof/>
              </w:rPr>
            </w:pPr>
            <w:r w:rsidRPr="003740C1">
              <w:rPr>
                <w:noProof/>
                <w:lang w:val="fr-FR"/>
              </w:rPr>
              <w:t>Figure 4.2.1.1-6 has been modified to reflect the above two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EC7CD" w:rsidR="001E41F3" w:rsidRDefault="00374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6BF5C9" w:rsidR="001E41F3" w:rsidRDefault="00374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C10E03" w:rsidR="001E41F3" w:rsidRDefault="00374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437BCE" w:rsidR="001E41F3" w:rsidRDefault="003740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4595BB" w:rsidR="001E41F3" w:rsidRDefault="000B0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Rel-16 TDOC # - </w:t>
            </w:r>
            <w:r w:rsidRPr="000B0CB3">
              <w:rPr>
                <w:noProof/>
              </w:rPr>
              <w:t>S5-222066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92DA56" w14:textId="77777777" w:rsidR="001E41F3" w:rsidRDefault="001E41F3">
      <w:pPr>
        <w:rPr>
          <w:noProof/>
        </w:rPr>
      </w:pPr>
    </w:p>
    <w:p w14:paraId="653789FA" w14:textId="77777777" w:rsidR="003740C1" w:rsidRDefault="003740C1">
      <w:pPr>
        <w:rPr>
          <w:noProof/>
        </w:rPr>
      </w:pPr>
    </w:p>
    <w:p w14:paraId="6C008085" w14:textId="77777777" w:rsidR="003740C1" w:rsidRDefault="003740C1" w:rsidP="003740C1">
      <w:pPr>
        <w:pStyle w:val="CRCoverPage"/>
        <w:spacing w:after="0"/>
        <w:rPr>
          <w:noProof/>
          <w:sz w:val="8"/>
          <w:szCs w:val="8"/>
        </w:rPr>
      </w:pPr>
    </w:p>
    <w:p w14:paraId="6A4F6B38" w14:textId="77777777" w:rsidR="003740C1" w:rsidRDefault="003740C1" w:rsidP="003740C1">
      <w:pPr>
        <w:pStyle w:val="CRCoverPage"/>
        <w:spacing w:after="0"/>
        <w:rPr>
          <w:noProof/>
          <w:sz w:val="8"/>
          <w:szCs w:val="8"/>
        </w:rPr>
      </w:pPr>
    </w:p>
    <w:p w14:paraId="03D13BC2" w14:textId="77777777" w:rsidR="003740C1" w:rsidRDefault="003740C1" w:rsidP="003740C1">
      <w:pPr>
        <w:pStyle w:val="CRCoverPage"/>
        <w:spacing w:after="0"/>
        <w:rPr>
          <w:noProof/>
          <w:sz w:val="8"/>
          <w:szCs w:val="8"/>
        </w:rPr>
      </w:pPr>
    </w:p>
    <w:p w14:paraId="0CEE30FC" w14:textId="77777777" w:rsidR="003740C1" w:rsidRDefault="003740C1" w:rsidP="00374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Ref492280639"/>
      <w:r>
        <w:rPr>
          <w:b/>
          <w:i/>
        </w:rPr>
        <w:t>First changes</w:t>
      </w:r>
      <w:bookmarkEnd w:id="1"/>
    </w:p>
    <w:p w14:paraId="28D9ED2B" w14:textId="77777777" w:rsidR="003740C1" w:rsidRDefault="003740C1" w:rsidP="003740C1">
      <w:pPr>
        <w:pStyle w:val="CRCoverPage"/>
        <w:spacing w:after="0"/>
        <w:rPr>
          <w:noProof/>
          <w:sz w:val="8"/>
          <w:szCs w:val="8"/>
        </w:rPr>
      </w:pPr>
    </w:p>
    <w:p w14:paraId="4B6C583F" w14:textId="77777777" w:rsidR="003740C1" w:rsidRDefault="003740C1" w:rsidP="003740C1">
      <w:pPr>
        <w:spacing w:after="0"/>
        <w:rPr>
          <w:noProof/>
        </w:rPr>
        <w:sectPr w:rsidR="003740C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82499F" w14:textId="77777777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lastRenderedPageBreak/>
        <w:t>4</w:t>
      </w:r>
      <w:r>
        <w:rPr>
          <w:rFonts w:ascii="Arial" w:hAnsi="Arial"/>
          <w:sz w:val="24"/>
        </w:rPr>
        <w:t>.2.1.1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R</w:t>
      </w:r>
      <w:r>
        <w:rPr>
          <w:rFonts w:ascii="Arial" w:hAnsi="Arial"/>
          <w:sz w:val="24"/>
        </w:rPr>
        <w:t>elationships</w:t>
      </w:r>
    </w:p>
    <w:p w14:paraId="1F4F1F59" w14:textId="77777777" w:rsidR="003740C1" w:rsidRDefault="003740C1" w:rsidP="003740C1">
      <w:pPr>
        <w:overflowPunct w:val="0"/>
        <w:autoSpaceDE w:val="0"/>
        <w:autoSpaceDN w:val="0"/>
        <w:adjustRightInd w:val="0"/>
      </w:pPr>
      <w:r>
        <w:t>This clause depicts the set of classes (</w:t>
      </w:r>
      <w:proofErr w:type="gramStart"/>
      <w:r>
        <w:t>e.g.</w:t>
      </w:r>
      <w:proofErr w:type="gramEnd"/>
      <w:r>
        <w:t xml:space="preserve"> IOCs) that encapsulates the information relevant for this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 For the UML semantics, see 3GPP TS 32.156 [43]. Subsequent clauses provide more detailed specification of various aspects of these classes.</w:t>
      </w:r>
    </w:p>
    <w:p w14:paraId="397250DB" w14:textId="77777777" w:rsidR="003740C1" w:rsidRDefault="003740C1" w:rsidP="003740C1">
      <w:pPr>
        <w:overflowPunct w:val="0"/>
        <w:autoSpaceDE w:val="0"/>
        <w:autoSpaceDN w:val="0"/>
        <w:adjustRightInd w:val="0"/>
      </w:pPr>
      <w:r>
        <w:t xml:space="preserve">The model fragments are for management representation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 xml:space="preserve"> for all NG-RAN deployment scenario as listed below:</w:t>
      </w:r>
    </w:p>
    <w:p w14:paraId="7194ABE2" w14:textId="77777777" w:rsidR="003740C1" w:rsidRDefault="003740C1" w:rsidP="003740C1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 xml:space="preserve">Non-split NG-RAN </w:t>
      </w:r>
      <w:r>
        <w:rPr>
          <w:lang w:val="en-IN" w:eastAsia="ja-JP"/>
        </w:rPr>
        <w:t>deployment scenario</w:t>
      </w:r>
      <w:r>
        <w:rPr>
          <w:lang w:val="en-IN"/>
        </w:rPr>
        <w:t xml:space="preserve">, represents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 defined in 3GPP TS 38.401[4]</w:t>
      </w:r>
      <w:r>
        <w:rPr>
          <w:lang w:val="en-IN" w:eastAsia="ja-JP"/>
        </w:rPr>
        <w:t xml:space="preserve">. In this scenario, a </w:t>
      </w:r>
      <w:proofErr w:type="spellStart"/>
      <w:r>
        <w:rPr>
          <w:lang w:val="en-IN" w:eastAsia="zh-CN"/>
        </w:rPr>
        <w:t>gNB</w:t>
      </w:r>
      <w:proofErr w:type="spellEnd"/>
      <w:r>
        <w:rPr>
          <w:lang w:val="en-IN" w:eastAsia="zh-CN"/>
        </w:rPr>
        <w:t xml:space="preserve"> is represented by a combination of a </w:t>
      </w:r>
      <w:proofErr w:type="spellStart"/>
      <w:r>
        <w:rPr>
          <w:lang w:val="en-IN" w:eastAsia="ja-JP"/>
        </w:rPr>
        <w:t>GNBCUCPFunction</w:t>
      </w:r>
      <w:proofErr w:type="spellEnd"/>
      <w:r>
        <w:rPr>
          <w:lang w:val="en-IN" w:eastAsia="ja-JP"/>
        </w:rPr>
        <w:t xml:space="preserve">, one or more </w:t>
      </w:r>
      <w:proofErr w:type="spellStart"/>
      <w:r>
        <w:rPr>
          <w:lang w:val="en-IN" w:eastAsia="ja-JP"/>
        </w:rPr>
        <w:t>GNBCUUPFunctions</w:t>
      </w:r>
      <w:proofErr w:type="spellEnd"/>
      <w:r>
        <w:rPr>
          <w:lang w:val="en-IN" w:eastAsia="ja-JP"/>
        </w:rPr>
        <w:t xml:space="preserve"> and one or more </w:t>
      </w:r>
      <w:proofErr w:type="spellStart"/>
      <w:r>
        <w:rPr>
          <w:lang w:val="en-IN" w:eastAsia="ja-JP"/>
        </w:rPr>
        <w:t>GNBDUFunctions</w:t>
      </w:r>
      <w:proofErr w:type="spellEnd"/>
      <w:r>
        <w:rPr>
          <w:lang w:val="en-IN" w:eastAsia="ja-JP"/>
        </w:rPr>
        <w:t>.</w:t>
      </w:r>
    </w:p>
    <w:p w14:paraId="6F93047F" w14:textId="77777777" w:rsidR="003740C1" w:rsidRDefault="003740C1" w:rsidP="003740C1">
      <w:pPr>
        <w:overflowPunct w:val="0"/>
        <w:autoSpaceDE w:val="0"/>
        <w:autoSpaceDN w:val="0"/>
        <w:adjustRightInd w:val="0"/>
        <w:ind w:left="568" w:hanging="284"/>
        <w:rPr>
          <w:lang w:val="en-IN"/>
        </w:rPr>
      </w:pPr>
      <w:r>
        <w:rPr>
          <w:lang w:val="en-IN"/>
        </w:rPr>
        <w:t>-</w:t>
      </w:r>
      <w:r>
        <w:rPr>
          <w:lang w:val="en-IN"/>
        </w:rPr>
        <w:tab/>
        <w:t xml:space="preserve">2-split NG-RAN </w:t>
      </w:r>
      <w:r>
        <w:rPr>
          <w:lang w:val="en-IN" w:eastAsia="ja-JP"/>
        </w:rPr>
        <w:t>deployment scenario</w:t>
      </w:r>
      <w:r>
        <w:rPr>
          <w:lang w:val="en-IN"/>
        </w:rPr>
        <w:t xml:space="preserve">, represents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 consist</w:t>
      </w:r>
      <w:r>
        <w:rPr>
          <w:lang w:val="en-IN" w:eastAsia="ja-JP"/>
        </w:rPr>
        <w:t xml:space="preserve"> of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 xml:space="preserve">-CU and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 xml:space="preserve">-DU defined in 3GPP TS 38.401[4] clause 6.1.1. </w:t>
      </w:r>
      <w:r>
        <w:rPr>
          <w:lang w:val="en-IN"/>
        </w:rPr>
        <w:t xml:space="preserve">In this scenario, a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 xml:space="preserve">-CU is represented by a combination of a </w:t>
      </w:r>
      <w:proofErr w:type="spellStart"/>
      <w:r>
        <w:rPr>
          <w:lang w:val="en-IN" w:eastAsia="ja-JP"/>
        </w:rPr>
        <w:t>GNBCUCPFunction</w:t>
      </w:r>
      <w:proofErr w:type="spellEnd"/>
      <w:r>
        <w:rPr>
          <w:lang w:val="en-IN" w:eastAsia="ja-JP"/>
        </w:rPr>
        <w:t xml:space="preserve"> and one or more </w:t>
      </w:r>
      <w:proofErr w:type="spellStart"/>
      <w:r>
        <w:rPr>
          <w:lang w:val="en-IN" w:eastAsia="ja-JP"/>
        </w:rPr>
        <w:t>GNBCUUPFunctions</w:t>
      </w:r>
      <w:proofErr w:type="spellEnd"/>
      <w:r>
        <w:rPr>
          <w:lang w:val="en-IN" w:eastAsia="ja-JP"/>
        </w:rPr>
        <w:t xml:space="preserve">, whereas a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 xml:space="preserve">-DU is represented by a </w:t>
      </w:r>
      <w:proofErr w:type="spellStart"/>
      <w:r>
        <w:rPr>
          <w:lang w:val="en-IN" w:eastAsia="ja-JP"/>
        </w:rPr>
        <w:t>GNBDUFunction</w:t>
      </w:r>
      <w:proofErr w:type="spellEnd"/>
      <w:r>
        <w:rPr>
          <w:lang w:val="en-IN" w:eastAsia="ja-JP"/>
        </w:rPr>
        <w:t>.</w:t>
      </w:r>
    </w:p>
    <w:p w14:paraId="76205EAA" w14:textId="77777777" w:rsidR="003740C1" w:rsidRDefault="003740C1" w:rsidP="003740C1">
      <w:pPr>
        <w:overflowPunct w:val="0"/>
        <w:autoSpaceDE w:val="0"/>
        <w:autoSpaceDN w:val="0"/>
        <w:adjustRightInd w:val="0"/>
        <w:ind w:left="568" w:hanging="284"/>
        <w:rPr>
          <w:lang w:val="en-IN" w:eastAsia="zh-CN"/>
        </w:rPr>
      </w:pPr>
      <w:r>
        <w:rPr>
          <w:lang w:val="en-IN"/>
        </w:rPr>
        <w:t>-</w:t>
      </w:r>
      <w:r>
        <w:rPr>
          <w:lang w:val="en-IN"/>
        </w:rPr>
        <w:tab/>
        <w:t xml:space="preserve">3-split NG-RAN </w:t>
      </w:r>
      <w:r>
        <w:rPr>
          <w:lang w:val="en-IN" w:eastAsia="ja-JP"/>
        </w:rPr>
        <w:t>deployment scenario</w:t>
      </w:r>
      <w:r>
        <w:rPr>
          <w:lang w:val="en-IN"/>
        </w:rPr>
        <w:t xml:space="preserve">, represents the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 consist of</w:t>
      </w:r>
      <w:r>
        <w:rPr>
          <w:lang w:val="en-IN" w:eastAsia="ja-JP"/>
        </w:rPr>
        <w:t xml:space="preserve">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 xml:space="preserve">-CU-CP,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 xml:space="preserve">-CU-UP and </w:t>
      </w:r>
      <w:proofErr w:type="spellStart"/>
      <w:r>
        <w:rPr>
          <w:lang w:val="en-IN" w:eastAsia="ja-JP"/>
        </w:rPr>
        <w:t>gNB</w:t>
      </w:r>
      <w:proofErr w:type="spellEnd"/>
      <w:r>
        <w:rPr>
          <w:lang w:val="en-IN" w:eastAsia="ja-JP"/>
        </w:rPr>
        <w:t>-DU defined in 3GPP TS 38.401[4] clause 6.1.2.</w:t>
      </w:r>
      <w:r>
        <w:rPr>
          <w:lang w:val="en-IN"/>
        </w:rPr>
        <w:t xml:space="preserve"> In this scenario, a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 xml:space="preserve">-CU-CP is represented by a </w:t>
      </w:r>
      <w:proofErr w:type="spellStart"/>
      <w:r>
        <w:rPr>
          <w:lang w:val="en-IN"/>
        </w:rPr>
        <w:t>GNBCUCPFunction</w:t>
      </w:r>
      <w:proofErr w:type="spellEnd"/>
      <w:r>
        <w:rPr>
          <w:lang w:val="en-IN"/>
        </w:rPr>
        <w:t xml:space="preserve">, a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-CU-</w:t>
      </w:r>
      <w:r>
        <w:rPr>
          <w:lang w:val="en-IN" w:eastAsia="zh-CN"/>
        </w:rPr>
        <w:t xml:space="preserve">UP is represented by a </w:t>
      </w:r>
      <w:proofErr w:type="spellStart"/>
      <w:r>
        <w:rPr>
          <w:lang w:val="en-IN"/>
        </w:rPr>
        <w:t>GNBCUUPFunction</w:t>
      </w:r>
      <w:proofErr w:type="spellEnd"/>
      <w:r>
        <w:rPr>
          <w:lang w:val="en-IN"/>
        </w:rPr>
        <w:t xml:space="preserve">, </w:t>
      </w:r>
      <w:r>
        <w:rPr>
          <w:lang w:val="en-IN" w:eastAsia="zh-CN"/>
        </w:rPr>
        <w:t xml:space="preserve">and a </w:t>
      </w:r>
      <w:proofErr w:type="spellStart"/>
      <w:r>
        <w:rPr>
          <w:lang w:val="en-IN" w:eastAsia="zh-CN"/>
        </w:rPr>
        <w:t>gNB</w:t>
      </w:r>
      <w:proofErr w:type="spellEnd"/>
      <w:r>
        <w:rPr>
          <w:lang w:val="en-IN" w:eastAsia="zh-CN"/>
        </w:rPr>
        <w:t xml:space="preserve">-DU is represented by </w:t>
      </w:r>
      <w:r>
        <w:rPr>
          <w:lang w:val="en-IN"/>
        </w:rPr>
        <w:t xml:space="preserve">a </w:t>
      </w:r>
      <w:proofErr w:type="spellStart"/>
      <w:r>
        <w:rPr>
          <w:lang w:val="en-IN" w:eastAsia="ja-JP"/>
        </w:rPr>
        <w:t>GNBDUFunction</w:t>
      </w:r>
      <w:proofErr w:type="spellEnd"/>
      <w:r>
        <w:rPr>
          <w:lang w:val="en-IN" w:eastAsia="ja-JP"/>
        </w:rPr>
        <w:t>.</w:t>
      </w:r>
    </w:p>
    <w:p w14:paraId="52DC9A91" w14:textId="24915C43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drawing>
          <wp:inline distT="0" distB="0" distL="0" distR="0" wp14:anchorId="384C2AF3" wp14:editId="2CBE88C3">
            <wp:extent cx="3960495" cy="1436370"/>
            <wp:effectExtent l="0" t="0" r="190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0495" cy="143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27B6C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4.2.1.1-1: NRM for all deployment scenarios</w:t>
      </w:r>
    </w:p>
    <w:p w14:paraId="69E5DAC3" w14:textId="0FF43E85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drawing>
          <wp:inline distT="0" distB="0" distL="0" distR="0" wp14:anchorId="5D188DAF" wp14:editId="4CBD29AA">
            <wp:extent cx="6114415" cy="3769995"/>
            <wp:effectExtent l="0" t="0" r="635" b="190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376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666D9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eastAsia="SimSun" w:hAnsi="Arial" w:cs="Arial"/>
          <w:b/>
          <w:lang w:val="en-IN"/>
        </w:rPr>
        <w:t>Figure 4.2.1.1-2: NRM for EPs for all deployment scenarios</w:t>
      </w:r>
    </w:p>
    <w:p w14:paraId="3AA45DE9" w14:textId="19C4C625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12005183" wp14:editId="5DE79ED2">
            <wp:extent cx="6103620" cy="206438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3620" cy="206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38DA2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eastAsia="SimSun" w:hAnsi="Arial" w:cs="Arial"/>
          <w:b/>
          <w:lang w:val="en-IN"/>
        </w:rPr>
        <w:t>Figure 4.2.1.1-3: NRM for &lt;&lt;IOC&gt;&gt;</w:t>
      </w:r>
      <w:proofErr w:type="spellStart"/>
      <w:r>
        <w:rPr>
          <w:rFonts w:ascii="Courier New" w:eastAsia="SimSun" w:hAnsi="Courier New" w:cs="Courier New"/>
          <w:b/>
          <w:lang w:val="en-IN"/>
        </w:rPr>
        <w:t>NRSectorCarrier</w:t>
      </w:r>
      <w:proofErr w:type="spellEnd"/>
      <w:r>
        <w:rPr>
          <w:rFonts w:ascii="Arial" w:eastAsia="SimSun" w:hAnsi="Arial" w:cs="Arial"/>
          <w:b/>
          <w:lang w:val="en-IN"/>
        </w:rPr>
        <w:t xml:space="preserve"> and &lt;&lt;IOC&gt;&gt;</w:t>
      </w:r>
      <w:r>
        <w:rPr>
          <w:rFonts w:ascii="Courier New" w:eastAsia="SimSun" w:hAnsi="Courier New" w:cs="Courier New"/>
          <w:b/>
          <w:lang w:val="en-IN"/>
        </w:rPr>
        <w:t>BWP</w:t>
      </w:r>
      <w:r>
        <w:rPr>
          <w:rFonts w:ascii="Arial" w:eastAsia="SimSun" w:hAnsi="Arial" w:cs="Arial"/>
          <w:b/>
          <w:lang w:val="en-IN"/>
        </w:rPr>
        <w:t xml:space="preserve"> for all deployment scenarios</w:t>
      </w:r>
    </w:p>
    <w:p w14:paraId="594D5F75" w14:textId="1FA58DED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drawing>
          <wp:inline distT="0" distB="0" distL="0" distR="0" wp14:anchorId="3143C763" wp14:editId="1D85589F">
            <wp:extent cx="6114415" cy="2440305"/>
            <wp:effectExtent l="0" t="0" r="63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44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540305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4.2.1.1-4: Cell Relation view for all deployment scenarios</w:t>
      </w:r>
    </w:p>
    <w:p w14:paraId="1A047F6E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>
        <w:rPr>
          <w:lang w:val="en-IN"/>
        </w:rPr>
        <w:t>NOTE 1:</w:t>
      </w:r>
      <w:r>
        <w:rPr>
          <w:lang w:val="en-IN"/>
        </w:rPr>
        <w:tab/>
        <w:t xml:space="preserve">The above NRM fragment uses </w:t>
      </w:r>
      <w:proofErr w:type="spellStart"/>
      <w:r>
        <w:rPr>
          <w:rFonts w:ascii="Courier New" w:hAnsi="Courier New" w:cs="Courier New"/>
          <w:lang w:val="en-IN"/>
        </w:rPr>
        <w:t>SubNetwork</w:t>
      </w:r>
      <w:proofErr w:type="spellEnd"/>
      <w:r>
        <w:rPr>
          <w:lang w:val="en-IN"/>
        </w:rPr>
        <w:t xml:space="preserve"> to hold both NR and LTE external entities and frequencies.</w:t>
      </w:r>
    </w:p>
    <w:p w14:paraId="399963AC" w14:textId="0BEF8F1A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drawing>
          <wp:inline distT="0" distB="0" distL="0" distR="0" wp14:anchorId="1044EEAB" wp14:editId="7FA8DB3C">
            <wp:extent cx="6120765" cy="236855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368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91869D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4.2.1.1-5: Cell Relation view for all deployment scenarios</w:t>
      </w:r>
    </w:p>
    <w:p w14:paraId="05E619AB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ind w:left="1135" w:hanging="851"/>
        <w:rPr>
          <w:lang w:val="en-IN"/>
        </w:rPr>
      </w:pPr>
      <w:r>
        <w:rPr>
          <w:lang w:val="en-IN"/>
        </w:rPr>
        <w:lastRenderedPageBreak/>
        <w:t>NOTE 2:</w:t>
      </w:r>
      <w:r>
        <w:rPr>
          <w:lang w:val="en-IN"/>
        </w:rPr>
        <w:tab/>
        <w:t xml:space="preserve">The above NRM fragment uses </w:t>
      </w:r>
      <w:proofErr w:type="spellStart"/>
      <w:r>
        <w:rPr>
          <w:rFonts w:ascii="Courier New" w:hAnsi="Courier New" w:cs="Courier New"/>
          <w:lang w:val="en-IN"/>
        </w:rPr>
        <w:t>NRNetwork</w:t>
      </w:r>
      <w:proofErr w:type="spellEnd"/>
      <w:r>
        <w:rPr>
          <w:lang w:val="en-IN"/>
        </w:rPr>
        <w:t xml:space="preserve"> to hold NR external entities and frequency and using </w:t>
      </w:r>
      <w:proofErr w:type="spellStart"/>
      <w:r>
        <w:rPr>
          <w:rFonts w:ascii="Courier New" w:hAnsi="Courier New" w:cs="Courier New"/>
          <w:lang w:val="en-IN"/>
        </w:rPr>
        <w:t>EUtraNetwork</w:t>
      </w:r>
      <w:proofErr w:type="spellEnd"/>
      <w:r>
        <w:rPr>
          <w:lang w:val="en-IN"/>
        </w:rPr>
        <w:t xml:space="preserve"> to hold LTE external entities and frequency. The </w:t>
      </w:r>
      <w:proofErr w:type="spellStart"/>
      <w:r>
        <w:rPr>
          <w:rFonts w:ascii="Courier New" w:hAnsi="Courier New" w:cs="Courier New"/>
          <w:lang w:val="en-IN"/>
        </w:rPr>
        <w:t>NRNetwork</w:t>
      </w:r>
      <w:proofErr w:type="spellEnd"/>
      <w:r>
        <w:rPr>
          <w:lang w:val="en-IN"/>
        </w:rPr>
        <w:t xml:space="preserve"> and </w:t>
      </w:r>
      <w:proofErr w:type="spellStart"/>
      <w:r>
        <w:rPr>
          <w:rFonts w:ascii="Courier New" w:hAnsi="Courier New" w:cs="Courier New"/>
          <w:lang w:val="en-IN"/>
        </w:rPr>
        <w:t>EUtraNetwork</w:t>
      </w:r>
      <w:proofErr w:type="spellEnd"/>
      <w:r>
        <w:rPr>
          <w:lang w:val="en-IN"/>
        </w:rPr>
        <w:t xml:space="preserve"> are subclasses of </w:t>
      </w:r>
      <w:proofErr w:type="spellStart"/>
      <w:r>
        <w:rPr>
          <w:rFonts w:ascii="Courier New" w:hAnsi="Courier New" w:cs="Courier New"/>
          <w:lang w:val="en-IN"/>
        </w:rPr>
        <w:t>SubNetwork</w:t>
      </w:r>
      <w:proofErr w:type="spellEnd"/>
      <w:r>
        <w:rPr>
          <w:rFonts w:ascii="Courier New" w:hAnsi="Courier New" w:cs="Courier New"/>
          <w:lang w:val="en-IN"/>
        </w:rPr>
        <w:t xml:space="preserve"> </w:t>
      </w:r>
      <w:r>
        <w:rPr>
          <w:lang w:val="en-IN"/>
        </w:rPr>
        <w:t xml:space="preserve">(defined in 3GPP TS 28.622 [30]) with no additional attributes. The reason using </w:t>
      </w:r>
      <w:proofErr w:type="spellStart"/>
      <w:r>
        <w:rPr>
          <w:rFonts w:ascii="Courier New" w:hAnsi="Courier New" w:cs="Courier New"/>
          <w:lang w:val="en-IN"/>
        </w:rPr>
        <w:t>NRNetwork</w:t>
      </w:r>
      <w:proofErr w:type="spellEnd"/>
      <w:r>
        <w:rPr>
          <w:lang w:val="en-IN"/>
        </w:rPr>
        <w:t xml:space="preserve"> and </w:t>
      </w:r>
      <w:proofErr w:type="spellStart"/>
      <w:r>
        <w:rPr>
          <w:rFonts w:ascii="Courier New" w:hAnsi="Courier New" w:cs="Courier New"/>
          <w:lang w:val="en-IN"/>
        </w:rPr>
        <w:t>EUtraNetwork</w:t>
      </w:r>
      <w:proofErr w:type="spellEnd"/>
      <w:r>
        <w:rPr>
          <w:lang w:val="en-IN"/>
        </w:rPr>
        <w:t xml:space="preserve"> is for a clean separation of NR external entities and frequency and LTE external entities and frequency. </w:t>
      </w:r>
    </w:p>
    <w:p w14:paraId="6773666C" w14:textId="09AFF009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del w:id="2" w:author="Swaminathan, Sivaramakrishnan (Nokia - IN/Bangalore)" w:date="2022-03-17T14:11:00Z">
        <w:r>
          <w:rPr>
            <w:rFonts w:ascii="Arial" w:eastAsia="SimSun" w:hAnsi="Arial"/>
            <w:b/>
            <w:noProof/>
          </w:rPr>
          <w:drawing>
            <wp:inline distT="0" distB="0" distL="0" distR="0" wp14:anchorId="3F84D775" wp14:editId="648CD40D">
              <wp:extent cx="5811520" cy="2754630"/>
              <wp:effectExtent l="0" t="0" r="0" b="0"/>
              <wp:docPr id="12" name="Pictur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2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1520" cy="27546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12D2B01" w14:textId="46C36BAA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eastAsia="SimSun" w:hAnsi="Arial" w:cs="Arial"/>
          <w:b/>
          <w:lang w:val="en-IN"/>
        </w:rPr>
      </w:pPr>
      <w:ins w:id="3" w:author="Swaminathan, Sivaramakrishnan (Nokia - IN/Bangalore)" w:date="2022-03-17T14:11:00Z">
        <w:r>
          <w:rPr>
            <w:rFonts w:ascii="Arial" w:eastAsia="SimSun" w:hAnsi="Arial" w:cs="Arial"/>
            <w:b/>
            <w:noProof/>
            <w:lang w:val="en-IN"/>
          </w:rPr>
          <w:drawing>
            <wp:inline distT="0" distB="0" distL="0" distR="0" wp14:anchorId="664A8C54" wp14:editId="2DA5A54E">
              <wp:extent cx="3724910" cy="2254885"/>
              <wp:effectExtent l="0" t="0" r="8890" b="0"/>
              <wp:docPr id="11" name="Picture 11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2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24910" cy="2254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CD7A32C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ind w:left="2272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4.2.1.1-6: NRM fragment for RRM Policies</w:t>
      </w:r>
    </w:p>
    <w:p w14:paraId="079BB8B6" w14:textId="7194893E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/>
        </w:rPr>
        <w:lastRenderedPageBreak/>
        <w:drawing>
          <wp:inline distT="0" distB="0" distL="0" distR="0" wp14:anchorId="54F650C6" wp14:editId="6CA42E63">
            <wp:extent cx="4684395" cy="2950845"/>
            <wp:effectExtent l="0" t="0" r="1905" b="190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4395" cy="295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09DCE7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4.2.1.1-7: NRM fragment to support RIM</w:t>
      </w:r>
    </w:p>
    <w:p w14:paraId="216C925D" w14:textId="77777777" w:rsidR="003740C1" w:rsidRDefault="003740C1" w:rsidP="003740C1">
      <w:pPr>
        <w:overflowPunct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Figure 4.2.1.1-8 shows the NRM fragment for pre-configured 5QIs in NG-RAN. </w:t>
      </w:r>
    </w:p>
    <w:p w14:paraId="5D37CAC8" w14:textId="6F43D318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>
        <w:rPr>
          <w:rFonts w:ascii="Arial" w:hAnsi="Arial"/>
          <w:b/>
          <w:noProof/>
        </w:rPr>
        <w:drawing>
          <wp:inline distT="0" distB="0" distL="0" distR="0" wp14:anchorId="0885A91B" wp14:editId="1D4EB35E">
            <wp:extent cx="6114415" cy="1716405"/>
            <wp:effectExtent l="0" t="0" r="63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71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420F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4.2.1.1-8: NRM fragment for pre-configured 5QIs in NG-RAN</w:t>
      </w:r>
    </w:p>
    <w:p w14:paraId="6DD20666" w14:textId="6333781B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0AB516E0" wp14:editId="3FC427B1">
            <wp:extent cx="1750060" cy="1407795"/>
            <wp:effectExtent l="0" t="0" r="2540" b="190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060" cy="140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C65CD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4.2.1.1-9: NRM fragment for DANR Management</w:t>
      </w:r>
    </w:p>
    <w:p w14:paraId="66EA2EEE" w14:textId="47F951A2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 w:cs="Arial"/>
          <w:b/>
          <w:lang w:val="en-IN" w:eastAsia="zh-CN"/>
        </w:rPr>
        <w:lastRenderedPageBreak/>
        <w:t xml:space="preserve"> </w:t>
      </w:r>
      <w:r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603B4D57" wp14:editId="3AC8E4AB">
            <wp:extent cx="4207510" cy="1374140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510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748E9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  <w:lang w:val="fr-FR"/>
        </w:rPr>
        <w:t>Figure 4.2.1.1-10: NRM fragment for DES Management</w:t>
      </w:r>
    </w:p>
    <w:p w14:paraId="3554F46D" w14:textId="5D348FB0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/>
          <w:b/>
          <w:noProof/>
          <w:lang w:eastAsia="zh-CN"/>
        </w:rPr>
        <w:drawing>
          <wp:inline distT="0" distB="0" distL="0" distR="0" wp14:anchorId="5E12E4C3" wp14:editId="311A68D5">
            <wp:extent cx="4123055" cy="13741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3055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1D503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4.2.1.1-11: NRM fragment for DRACH Management</w:t>
      </w:r>
    </w:p>
    <w:p w14:paraId="6DC59EA4" w14:textId="3A042C14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/>
          <w:b/>
          <w:noProof/>
          <w:lang w:eastAsia="zh-CN"/>
        </w:rPr>
        <w:drawing>
          <wp:inline distT="0" distB="0" distL="0" distR="0" wp14:anchorId="15DEE4BC" wp14:editId="15D57C09">
            <wp:extent cx="5733415" cy="139128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3EF84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 w:cs="Arial"/>
          <w:b/>
          <w:lang w:val="en-IN"/>
        </w:rPr>
        <w:t xml:space="preserve">Figure 4.2.1.1-12: NRM fragment for </w:t>
      </w:r>
      <w:r>
        <w:rPr>
          <w:rFonts w:ascii="Arial" w:hAnsi="Arial" w:cs="Arial"/>
          <w:b/>
          <w:lang w:val="en-IN" w:eastAsia="zh-CN"/>
        </w:rPr>
        <w:t>DMRO Management</w:t>
      </w:r>
    </w:p>
    <w:p w14:paraId="01E87133" w14:textId="0FF06F5D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 w:eastAsia="zh-CN"/>
        </w:rPr>
      </w:pPr>
      <w:r>
        <w:rPr>
          <w:rFonts w:ascii="Arial" w:hAnsi="Arial"/>
          <w:b/>
          <w:noProof/>
          <w:lang w:eastAsia="zh-CN"/>
        </w:rPr>
        <w:drawing>
          <wp:inline distT="0" distB="0" distL="0" distR="0" wp14:anchorId="22F9B63F" wp14:editId="0601D90D">
            <wp:extent cx="5733415" cy="14585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145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4B67A0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4.2.1.1-13: NRM fragment for DPCI Management</w:t>
      </w:r>
    </w:p>
    <w:p w14:paraId="60D34482" w14:textId="5C15CF28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 w:eastAsia="zh-CN"/>
        </w:rPr>
        <w:drawing>
          <wp:inline distT="0" distB="0" distL="0" distR="0" wp14:anchorId="60D16055" wp14:editId="2F7FFCE6">
            <wp:extent cx="3467100" cy="14306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430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F828D6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4.2.1.1-14: NRM fragment for CES Management</w:t>
      </w:r>
    </w:p>
    <w:p w14:paraId="02436C04" w14:textId="5890F278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noProof/>
          <w:lang w:val="en-IN" w:eastAsia="zh-CN"/>
        </w:rPr>
        <w:lastRenderedPageBreak/>
        <w:drawing>
          <wp:inline distT="0" distB="0" distL="0" distR="0" wp14:anchorId="5B6987BA" wp14:editId="43FCE95A">
            <wp:extent cx="3505835" cy="139128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835" cy="1391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9399DC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4.2.1.1-15: NRM fragment for CPCI Management</w:t>
      </w:r>
    </w:p>
    <w:p w14:paraId="0C8286E9" w14:textId="77777777" w:rsidR="003740C1" w:rsidRDefault="003740C1" w:rsidP="003740C1">
      <w:pPr>
        <w:overflowPunct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Figure 4.2.1.1-16 shows the NRM fragment for dynamically assigned 5QIs in NG-RAN. </w:t>
      </w:r>
    </w:p>
    <w:p w14:paraId="067E581D" w14:textId="4349DB1D" w:rsidR="003740C1" w:rsidRDefault="003740C1" w:rsidP="003740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color w:val="000000"/>
          <w:lang w:val="en-IN"/>
        </w:rPr>
      </w:pPr>
      <w:r>
        <w:rPr>
          <w:rFonts w:ascii="Arial" w:hAnsi="Arial"/>
          <w:b/>
          <w:noProof/>
        </w:rPr>
        <w:drawing>
          <wp:inline distT="0" distB="0" distL="0" distR="0" wp14:anchorId="7A88C528" wp14:editId="477DE1BD">
            <wp:extent cx="6114415" cy="1716405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71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6FE3E" w14:textId="77777777" w:rsidR="003740C1" w:rsidRDefault="003740C1" w:rsidP="003740C1">
      <w:pPr>
        <w:keepLines/>
        <w:overflowPunct w:val="0"/>
        <w:autoSpaceDE w:val="0"/>
        <w:autoSpaceDN w:val="0"/>
        <w:adjustRightInd w:val="0"/>
        <w:spacing w:after="240"/>
        <w:jc w:val="center"/>
        <w:rPr>
          <w:rFonts w:ascii="Arial" w:eastAsia="SimSun" w:hAnsi="Arial" w:cs="Arial"/>
          <w:b/>
          <w:lang w:val="en-IN"/>
        </w:rPr>
      </w:pPr>
      <w:r>
        <w:rPr>
          <w:rFonts w:ascii="Arial" w:hAnsi="Arial" w:cs="Arial"/>
          <w:b/>
          <w:lang w:val="en-IN"/>
        </w:rPr>
        <w:t>Figure 4.2.1.1-16: NRM fragment for dynamically assigned 5QIs in NG-RAN</w:t>
      </w:r>
    </w:p>
    <w:p w14:paraId="7F5462B7" w14:textId="77777777" w:rsidR="003740C1" w:rsidRDefault="003740C1" w:rsidP="00374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5C10A5" w14:textId="77777777" w:rsidR="003740C1" w:rsidRDefault="003740C1" w:rsidP="003740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DF7880B" w14:textId="77777777" w:rsidR="003740C1" w:rsidRDefault="003740C1" w:rsidP="00374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1557EA72" w14:textId="0A7FD5BE" w:rsidR="003740C1" w:rsidRDefault="003740C1">
      <w:pPr>
        <w:rPr>
          <w:noProof/>
        </w:rPr>
        <w:sectPr w:rsidR="003740C1">
          <w:headerReference w:type="even" r:id="rId3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36"/>
      <w:headerReference w:type="default" r:id="rId37"/>
      <w:headerReference w:type="first" r:id="rId3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1DD61" w14:textId="77777777" w:rsidR="003740C1" w:rsidRDefault="003740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E973" w14:textId="77777777" w:rsidR="003740C1" w:rsidRDefault="003740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901FE" w14:textId="77777777" w:rsidR="003740C1" w:rsidRDefault="00374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6CE57" w14:textId="77777777" w:rsidR="003740C1" w:rsidRDefault="003740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28B08" w14:textId="77777777" w:rsidR="003740C1" w:rsidRDefault="003740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6AD78" w14:textId="77777777" w:rsidR="003740C1" w:rsidRDefault="003740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waminathan, Sivaramakrishnan (Nokia - IN/Bangalore)">
    <w15:presenceInfo w15:providerId="AD" w15:userId="S::sivaramakrishnan.swaminathan@nokia.com::bdabad87-74d8-4125-a4b3-835f550ab6b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0CB3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C2ECA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0C1"/>
    <w:rsid w:val="00374DD4"/>
    <w:rsid w:val="003A49CB"/>
    <w:rsid w:val="003E1A36"/>
    <w:rsid w:val="003E416A"/>
    <w:rsid w:val="00410371"/>
    <w:rsid w:val="004242F1"/>
    <w:rsid w:val="004A52C6"/>
    <w:rsid w:val="004B75B7"/>
    <w:rsid w:val="004D1D31"/>
    <w:rsid w:val="005009D9"/>
    <w:rsid w:val="0051580D"/>
    <w:rsid w:val="00522596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F40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564B"/>
    <w:rsid w:val="00A47E70"/>
    <w:rsid w:val="00A50CF0"/>
    <w:rsid w:val="00A7671C"/>
    <w:rsid w:val="00AA2CBC"/>
    <w:rsid w:val="00AC5820"/>
    <w:rsid w:val="00AD1CD8"/>
    <w:rsid w:val="00B0112E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2B3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image" Target="media/image9.emf"/><Relationship Id="rId39" Type="http://schemas.openxmlformats.org/officeDocument/2006/relationships/fontTable" Target="fontTable.xml"/><Relationship Id="rId21" Type="http://schemas.openxmlformats.org/officeDocument/2006/relationships/image" Target="media/image4.png"/><Relationship Id="rId34" Type="http://schemas.openxmlformats.org/officeDocument/2006/relationships/image" Target="media/image17.emf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3.png"/><Relationship Id="rId29" Type="http://schemas.openxmlformats.org/officeDocument/2006/relationships/image" Target="media/image12.e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png"/><Relationship Id="rId32" Type="http://schemas.openxmlformats.org/officeDocument/2006/relationships/image" Target="media/image15.png"/><Relationship Id="rId37" Type="http://schemas.openxmlformats.org/officeDocument/2006/relationships/header" Target="header6.xml"/><Relationship Id="rId40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image" Target="media/image6.emf"/><Relationship Id="rId28" Type="http://schemas.openxmlformats.org/officeDocument/2006/relationships/image" Target="media/image11.png"/><Relationship Id="rId36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png"/><Relationship Id="rId31" Type="http://schemas.openxmlformats.org/officeDocument/2006/relationships/image" Target="media/image1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5.png"/><Relationship Id="rId27" Type="http://schemas.openxmlformats.org/officeDocument/2006/relationships/image" Target="media/image10.png"/><Relationship Id="rId30" Type="http://schemas.openxmlformats.org/officeDocument/2006/relationships/image" Target="media/image13.emf"/><Relationship Id="rId35" Type="http://schemas.openxmlformats.org/officeDocument/2006/relationships/header" Target="header4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8.png"/><Relationship Id="rId33" Type="http://schemas.openxmlformats.org/officeDocument/2006/relationships/image" Target="media/image16.png"/><Relationship Id="rId38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8</Pages>
  <Words>702</Words>
  <Characters>4486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Swaminathan, Sivaramakrishnan (Nokia - IN/Bangalore)</cp:lastModifiedBy>
  <cp:revision>27</cp:revision>
  <cp:lastPrinted>1899-12-31T23:00:00Z</cp:lastPrinted>
  <dcterms:created xsi:type="dcterms:W3CDTF">2020-02-03T08:32:00Z</dcterms:created>
  <dcterms:modified xsi:type="dcterms:W3CDTF">2022-03-24T06:16:00Z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