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E12" w:rsidRPr="006D5CB2" w:rsidRDefault="00D54E12" w:rsidP="00FF512D">
      <w:pPr>
        <w:tabs>
          <w:tab w:val="left" w:pos="2127"/>
        </w:tabs>
        <w:spacing w:before="120" w:line="240" w:lineRule="auto"/>
        <w:ind w:left="2127" w:hanging="2127"/>
        <w:jc w:val="both"/>
        <w:rPr>
          <w:b/>
          <w:sz w:val="24"/>
        </w:rPr>
      </w:pPr>
      <w:bookmarkStart w:id="0" w:name="_GoBack"/>
      <w:bookmarkEnd w:id="0"/>
      <w:r w:rsidRPr="006D5CB2">
        <w:rPr>
          <w:b/>
          <w:sz w:val="24"/>
        </w:rPr>
        <w:t>Source:</w:t>
      </w:r>
      <w:r w:rsidRPr="006D5CB2">
        <w:rPr>
          <w:b/>
          <w:sz w:val="24"/>
        </w:rPr>
        <w:tab/>
      </w:r>
      <w:r w:rsidR="006870E3">
        <w:rPr>
          <w:b/>
          <w:sz w:val="24"/>
        </w:rPr>
        <w:t>HEAD acoustics GmbH</w:t>
      </w:r>
    </w:p>
    <w:p w:rsidR="00D54E12" w:rsidRPr="006D5CB2" w:rsidRDefault="00FB7F60" w:rsidP="00FF512D">
      <w:pPr>
        <w:tabs>
          <w:tab w:val="left" w:pos="2127"/>
        </w:tabs>
        <w:spacing w:line="240" w:lineRule="auto"/>
        <w:ind w:left="2131" w:hanging="2131"/>
        <w:jc w:val="both"/>
        <w:rPr>
          <w:b/>
          <w:sz w:val="24"/>
          <w:lang w:eastAsia="zh-CN"/>
        </w:rPr>
      </w:pPr>
      <w:r w:rsidRPr="006D5CB2">
        <w:rPr>
          <w:b/>
          <w:sz w:val="24"/>
        </w:rPr>
        <w:t>Title:</w:t>
      </w:r>
      <w:r w:rsidRPr="006D5CB2">
        <w:rPr>
          <w:b/>
          <w:sz w:val="24"/>
        </w:rPr>
        <w:tab/>
      </w:r>
      <w:r w:rsidR="007D384E">
        <w:rPr>
          <w:b/>
          <w:sz w:val="24"/>
        </w:rPr>
        <w:t>R</w:t>
      </w:r>
      <w:r w:rsidR="00CA2106">
        <w:rPr>
          <w:b/>
          <w:sz w:val="24"/>
        </w:rPr>
        <w:t xml:space="preserve">esults </w:t>
      </w:r>
      <w:r w:rsidR="007D384E">
        <w:rPr>
          <w:b/>
          <w:sz w:val="24"/>
        </w:rPr>
        <w:t>on noisy RLR measurements</w:t>
      </w:r>
    </w:p>
    <w:p w:rsidR="00D54E12" w:rsidRPr="006D5CB2" w:rsidRDefault="00D54E12" w:rsidP="00FF512D">
      <w:pPr>
        <w:pStyle w:val="berschrift2"/>
        <w:spacing w:line="240" w:lineRule="auto"/>
        <w:jc w:val="both"/>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FF512D">
      <w:pPr>
        <w:pStyle w:val="berschrift2"/>
        <w:spacing w:line="240" w:lineRule="auto"/>
        <w:jc w:val="both"/>
        <w:rPr>
          <w:lang w:val="en-GB"/>
        </w:rPr>
      </w:pPr>
      <w:r>
        <w:rPr>
          <w:lang w:val="en-GB"/>
        </w:rPr>
        <w:t>Agenda Item:</w:t>
      </w:r>
      <w:r>
        <w:rPr>
          <w:lang w:val="en-GB"/>
        </w:rPr>
        <w:tab/>
      </w:r>
      <w:r w:rsidR="004F1252">
        <w:rPr>
          <w:lang w:val="en-GB"/>
        </w:rPr>
        <w:t>9.</w:t>
      </w:r>
      <w:r w:rsidR="003C016B">
        <w:rPr>
          <w:lang w:val="en-GB"/>
        </w:rPr>
        <w:t>7</w:t>
      </w:r>
    </w:p>
    <w:p w:rsidR="004E2448" w:rsidRDefault="004E2448" w:rsidP="00FF512D">
      <w:pPr>
        <w:pBdr>
          <w:top w:val="single" w:sz="12" w:space="1" w:color="auto"/>
        </w:pBdr>
        <w:spacing w:after="0" w:line="240" w:lineRule="auto"/>
        <w:jc w:val="both"/>
        <w:rPr>
          <w:sz w:val="20"/>
        </w:rPr>
      </w:pPr>
    </w:p>
    <w:p w:rsidR="004E2448" w:rsidRPr="00C50FEB" w:rsidRDefault="004E2448" w:rsidP="00FF512D">
      <w:pPr>
        <w:pStyle w:val="berschrift1"/>
        <w:numPr>
          <w:ilvl w:val="0"/>
          <w:numId w:val="7"/>
        </w:numPr>
        <w:jc w:val="both"/>
        <w:rPr>
          <w:rFonts w:eastAsia="Times New Roman"/>
          <w:b/>
        </w:rPr>
      </w:pPr>
      <w:r w:rsidRPr="00C50FEB">
        <w:rPr>
          <w:rFonts w:eastAsia="Times New Roman"/>
          <w:b/>
        </w:rPr>
        <w:t>Introduction</w:t>
      </w:r>
    </w:p>
    <w:p w:rsidR="00904F53" w:rsidRDefault="00033ADA" w:rsidP="00FF512D">
      <w:pPr>
        <w:jc w:val="both"/>
        <w:rPr>
          <w:lang w:val="en-US"/>
        </w:rPr>
      </w:pPr>
      <w:r>
        <w:rPr>
          <w:lang w:val="en-US"/>
        </w:rPr>
        <w:t xml:space="preserve">The work item </w:t>
      </w:r>
      <w:r w:rsidR="004C6AD8">
        <w:rPr>
          <w:lang w:val="en-US"/>
        </w:rPr>
        <w:t>RAOT</w:t>
      </w:r>
      <w:r>
        <w:rPr>
          <w:lang w:val="en-US"/>
        </w:rPr>
        <w:t xml:space="preserve"> </w:t>
      </w:r>
      <w:sdt>
        <w:sdtPr>
          <w:rPr>
            <w:lang w:val="en-US"/>
          </w:rPr>
          <w:id w:val="-733238440"/>
          <w:citation/>
        </w:sdtPr>
        <w:sdtEndPr/>
        <w:sdtContent>
          <w:r w:rsidR="004C6AD8">
            <w:rPr>
              <w:lang w:val="en-US"/>
            </w:rPr>
            <w:fldChar w:fldCharType="begin"/>
          </w:r>
          <w:r w:rsidR="004C6AD8" w:rsidRPr="000D164E">
            <w:rPr>
              <w:lang w:val="en-US"/>
            </w:rPr>
            <w:instrText xml:space="preserve">CITATION 3GP172 \l 1031 </w:instrText>
          </w:r>
          <w:r w:rsidR="004C6AD8">
            <w:rPr>
              <w:lang w:val="en-US"/>
            </w:rPr>
            <w:fldChar w:fldCharType="separate"/>
          </w:r>
          <w:r w:rsidR="003C2878" w:rsidRPr="000D164E">
            <w:rPr>
              <w:noProof/>
              <w:lang w:val="en-US"/>
            </w:rPr>
            <w:t>[1]</w:t>
          </w:r>
          <w:r w:rsidR="004C6AD8">
            <w:rPr>
              <w:lang w:val="en-US"/>
            </w:rPr>
            <w:fldChar w:fldCharType="end"/>
          </w:r>
        </w:sdtContent>
      </w:sdt>
      <w:r w:rsidR="00445279">
        <w:rPr>
          <w:lang w:val="en-US"/>
        </w:rPr>
        <w:t xml:space="preserve"> was initiated </w:t>
      </w:r>
      <w:r w:rsidR="00D331BF">
        <w:rPr>
          <w:lang w:val="en-US"/>
        </w:rPr>
        <w:t xml:space="preserve">to </w:t>
      </w:r>
      <w:r w:rsidR="00266769">
        <w:rPr>
          <w:lang w:val="en-US"/>
        </w:rPr>
        <w:t>define</w:t>
      </w:r>
      <w:r w:rsidR="003E6DCA">
        <w:rPr>
          <w:lang w:val="en-US"/>
        </w:rPr>
        <w:t xml:space="preserve"> </w:t>
      </w:r>
      <w:r w:rsidR="00266769">
        <w:rPr>
          <w:lang w:val="en-US"/>
        </w:rPr>
        <w:t xml:space="preserve">a </w:t>
      </w:r>
      <w:r w:rsidR="003E6DCA">
        <w:rPr>
          <w:lang w:val="en-US"/>
        </w:rPr>
        <w:t>maximum acoustic output in case of background noise conditions.</w:t>
      </w:r>
      <w:r w:rsidR="00D331BF">
        <w:rPr>
          <w:lang w:val="en-US"/>
        </w:rPr>
        <w:t xml:space="preserve"> In such conditions, devices may </w:t>
      </w:r>
      <w:r w:rsidR="00266769">
        <w:rPr>
          <w:lang w:val="en-US"/>
        </w:rPr>
        <w:t xml:space="preserve">boost the receive signal to maintain a certain signal-to-noise-ratio (SNR), which may cause too loud level at the listener’s ear. Since there is no test described in TS 26.132 </w:t>
      </w:r>
      <w:sdt>
        <w:sdtPr>
          <w:rPr>
            <w:lang w:val="en-US"/>
          </w:rPr>
          <w:id w:val="-397977160"/>
          <w:citation/>
        </w:sdtPr>
        <w:sdtEndPr/>
        <w:sdtContent>
          <w:r w:rsidR="00266769">
            <w:rPr>
              <w:lang w:val="en-US"/>
            </w:rPr>
            <w:fldChar w:fldCharType="begin"/>
          </w:r>
          <w:r w:rsidR="00266769" w:rsidRPr="000D164E">
            <w:rPr>
              <w:lang w:val="en-US"/>
            </w:rPr>
            <w:instrText xml:space="preserve"> CITATION 3GPR \l 1031 </w:instrText>
          </w:r>
          <w:r w:rsidR="00266769">
            <w:rPr>
              <w:lang w:val="en-US"/>
            </w:rPr>
            <w:fldChar w:fldCharType="separate"/>
          </w:r>
          <w:r w:rsidR="003C2878" w:rsidRPr="000D164E">
            <w:rPr>
              <w:noProof/>
              <w:lang w:val="en-US"/>
            </w:rPr>
            <w:t>[2]</w:t>
          </w:r>
          <w:r w:rsidR="00266769">
            <w:rPr>
              <w:lang w:val="en-US"/>
            </w:rPr>
            <w:fldChar w:fldCharType="end"/>
          </w:r>
        </w:sdtContent>
      </w:sdt>
      <w:r w:rsidR="00266769">
        <w:rPr>
          <w:lang w:val="en-US"/>
        </w:rPr>
        <w:t xml:space="preserve"> for this scenario, appropriate measurements should be defined. </w:t>
      </w:r>
    </w:p>
    <w:p w:rsidR="007C2D12" w:rsidRDefault="007C2D12" w:rsidP="00FF512D">
      <w:pPr>
        <w:jc w:val="both"/>
        <w:rPr>
          <w:lang w:val="en-US"/>
        </w:rPr>
      </w:pPr>
    </w:p>
    <w:p w:rsidR="00FB712F" w:rsidRDefault="004C6AD8" w:rsidP="00FF512D">
      <w:pPr>
        <w:pStyle w:val="berschrift1"/>
        <w:numPr>
          <w:ilvl w:val="0"/>
          <w:numId w:val="7"/>
        </w:numPr>
        <w:jc w:val="both"/>
        <w:rPr>
          <w:rFonts w:eastAsia="Times New Roman"/>
          <w:b/>
        </w:rPr>
      </w:pPr>
      <w:r>
        <w:rPr>
          <w:rFonts w:eastAsia="Times New Roman"/>
          <w:b/>
        </w:rPr>
        <w:t>Modified measurement</w:t>
      </w:r>
    </w:p>
    <w:p w:rsidR="004C6AD8" w:rsidRDefault="007C2D12" w:rsidP="00FF512D">
      <w:pPr>
        <w:jc w:val="both"/>
      </w:pPr>
      <w:r w:rsidRPr="007C2D12">
        <w:t>The most obvious method to cover this potential issue seems to measure the receive loudness rating (RLR) acc. to clause 8.2.2.2 of [2] under noisy conditions with maximum volume setting and check against the corresponding requirement of TS 26.131 (-13 dB).</w:t>
      </w:r>
    </w:p>
    <w:p w:rsidR="007C2D12" w:rsidRDefault="007C2D12" w:rsidP="00FF512D">
      <w:pPr>
        <w:jc w:val="both"/>
      </w:pPr>
      <w:r>
        <w:t xml:space="preserve">For the noise simulation, a system according ETSI TS 103 224 </w:t>
      </w:r>
      <w:sdt>
        <w:sdtPr>
          <w:id w:val="661283251"/>
          <w:citation/>
        </w:sdtPr>
        <w:sdtEndPr/>
        <w:sdtContent>
          <w:r>
            <w:fldChar w:fldCharType="begin"/>
          </w:r>
          <w:r w:rsidRPr="000D164E">
            <w:rPr>
              <w:lang w:val="en-US"/>
            </w:rPr>
            <w:instrText xml:space="preserve"> CITATION 3PASSv2 \l 1031 </w:instrText>
          </w:r>
          <w:r>
            <w:fldChar w:fldCharType="separate"/>
          </w:r>
          <w:r w:rsidR="003C2878" w:rsidRPr="000D164E">
            <w:rPr>
              <w:noProof/>
              <w:lang w:val="en-US"/>
            </w:rPr>
            <w:t>[3]</w:t>
          </w:r>
          <w:r>
            <w:fldChar w:fldCharType="end"/>
          </w:r>
        </w:sdtContent>
      </w:sdt>
      <w:r>
        <w:t xml:space="preserve"> was chosen. As the noise signal, p</w:t>
      </w:r>
      <w:r w:rsidR="00266769">
        <w:t>ub noise</w:t>
      </w:r>
      <w:r>
        <w:t xml:space="preserve"> according to </w:t>
      </w:r>
      <w:sdt>
        <w:sdtPr>
          <w:id w:val="1599519285"/>
          <w:citation/>
        </w:sdtPr>
        <w:sdtEndPr/>
        <w:sdtContent>
          <w:r>
            <w:fldChar w:fldCharType="begin"/>
          </w:r>
          <w:r w:rsidRPr="000D164E">
            <w:rPr>
              <w:lang w:val="en-US"/>
            </w:rPr>
            <w:instrText xml:space="preserve"> CITATION 3PASSv2 \l 1031 </w:instrText>
          </w:r>
          <w:r>
            <w:fldChar w:fldCharType="separate"/>
          </w:r>
          <w:r w:rsidR="003C2878" w:rsidRPr="000D164E">
            <w:rPr>
              <w:noProof/>
              <w:lang w:val="en-US"/>
            </w:rPr>
            <w:t>[3]</w:t>
          </w:r>
          <w:r>
            <w:fldChar w:fldCharType="end"/>
          </w:r>
        </w:sdtContent>
      </w:sdt>
      <w:r>
        <w:t xml:space="preserve"> was chosen. This noise is also available as a binaural version for background noise simulation systems according to ETSI ES 202 396-1, which could in general also be used for this new measurement.</w:t>
      </w:r>
    </w:p>
    <w:p w:rsidR="007C2D12" w:rsidRDefault="007C2D12" w:rsidP="00FF512D">
      <w:pPr>
        <w:jc w:val="both"/>
      </w:pPr>
      <w:r>
        <w:t xml:space="preserve">The source signal in receive was modified according to </w:t>
      </w:r>
      <w:r>
        <w:fldChar w:fldCharType="begin"/>
      </w:r>
      <w:r>
        <w:instrText xml:space="preserve"> REF _Ref504743525 \h </w:instrText>
      </w:r>
      <w:r w:rsidR="00FF512D">
        <w:instrText xml:space="preserve"> \* MERGEFORMAT </w:instrText>
      </w:r>
      <w:r>
        <w:fldChar w:fldCharType="separate"/>
      </w:r>
      <w:r w:rsidR="00133134" w:rsidRPr="007C2D12">
        <w:rPr>
          <w:b/>
        </w:rPr>
        <w:t xml:space="preserve">Figure </w:t>
      </w:r>
      <w:r w:rsidR="00133134">
        <w:rPr>
          <w:b/>
          <w:noProof/>
        </w:rPr>
        <w:t>1</w:t>
      </w:r>
      <w:r>
        <w:fldChar w:fldCharType="end"/>
      </w:r>
      <w:r>
        <w:t xml:space="preserve">. The original signal of duration </w:t>
      </w:r>
      <w:r w:rsidRPr="007C2D12">
        <w:t>35.4</w:t>
      </w:r>
      <w:r>
        <w:t>s was extended by initial 10.0s of silence, i.e. background noise-only in the recording.</w:t>
      </w:r>
    </w:p>
    <w:p w:rsidR="007C2D12" w:rsidRDefault="007C2D12" w:rsidP="00FF512D">
      <w:pPr>
        <w:jc w:val="both"/>
      </w:pPr>
    </w:p>
    <w:p w:rsidR="007C2D12" w:rsidRDefault="00FC0CFA" w:rsidP="00FF512D">
      <w:pPr>
        <w:keepNext/>
        <w:keepLines/>
        <w:jc w:val="both"/>
      </w:pPr>
      <w:r w:rsidRPr="00FC0CFA">
        <w:rPr>
          <w:noProof/>
          <w:color w:val="1F497D"/>
          <w:lang w:val="en-US"/>
        </w:rPr>
        <w:drawing>
          <wp:inline distT="0" distB="0" distL="0" distR="0" wp14:anchorId="5FE9662B" wp14:editId="63E386B8">
            <wp:extent cx="5936615" cy="2366645"/>
            <wp:effectExtent l="0" t="0" r="6985" b="0"/>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8"/>
                    <a:stretch>
                      <a:fillRect/>
                    </a:stretch>
                  </pic:blipFill>
                  <pic:spPr>
                    <a:xfrm>
                      <a:off x="0" y="0"/>
                      <a:ext cx="5936615" cy="2366645"/>
                    </a:xfrm>
                    <a:prstGeom prst="rect">
                      <a:avLst/>
                    </a:prstGeom>
                  </pic:spPr>
                </pic:pic>
              </a:graphicData>
            </a:graphic>
          </wp:inline>
        </w:drawing>
      </w:r>
    </w:p>
    <w:p w:rsidR="007C2D12" w:rsidRPr="007C2D12" w:rsidRDefault="007C2D12" w:rsidP="00FF512D">
      <w:pPr>
        <w:keepNext/>
        <w:keepLines/>
        <w:jc w:val="both"/>
        <w:rPr>
          <w:b/>
        </w:rPr>
      </w:pPr>
      <w:bookmarkStart w:id="1" w:name="_Ref504743525"/>
      <w:r w:rsidRPr="007C2D12">
        <w:rPr>
          <w:b/>
        </w:rPr>
        <w:t xml:space="preserve">Figure </w:t>
      </w:r>
      <w:r w:rsidRPr="007C2D12">
        <w:rPr>
          <w:b/>
        </w:rPr>
        <w:fldChar w:fldCharType="begin"/>
      </w:r>
      <w:r w:rsidRPr="007C2D12">
        <w:rPr>
          <w:b/>
        </w:rPr>
        <w:instrText xml:space="preserve"> SEQ Figure \* ARABIC </w:instrText>
      </w:r>
      <w:r w:rsidRPr="007C2D12">
        <w:rPr>
          <w:b/>
        </w:rPr>
        <w:fldChar w:fldCharType="separate"/>
      </w:r>
      <w:r w:rsidR="00133134">
        <w:rPr>
          <w:b/>
          <w:noProof/>
        </w:rPr>
        <w:t>1</w:t>
      </w:r>
      <w:r w:rsidRPr="007C2D12">
        <w:rPr>
          <w:b/>
        </w:rPr>
        <w:fldChar w:fldCharType="end"/>
      </w:r>
      <w:bookmarkEnd w:id="1"/>
      <w:r w:rsidRPr="007C2D12">
        <w:rPr>
          <w:b/>
        </w:rPr>
        <w:t>: modified source signal according to 8.2.2.2 of</w:t>
      </w:r>
      <w:r>
        <w:rPr>
          <w:b/>
        </w:rPr>
        <w:t xml:space="preserve"> </w:t>
      </w:r>
      <w:sdt>
        <w:sdtPr>
          <w:rPr>
            <w:b/>
          </w:rPr>
          <w:id w:val="-726986298"/>
          <w:citation/>
        </w:sdtPr>
        <w:sdtEndPr/>
        <w:sdtContent>
          <w:r>
            <w:rPr>
              <w:b/>
            </w:rPr>
            <w:fldChar w:fldCharType="begin"/>
          </w:r>
          <w:r w:rsidRPr="007C2D12">
            <w:rPr>
              <w:b/>
            </w:rPr>
            <w:instrText xml:space="preserve"> CITATION 3GPR \l 1031 </w:instrText>
          </w:r>
          <w:r>
            <w:rPr>
              <w:b/>
            </w:rPr>
            <w:fldChar w:fldCharType="separate"/>
          </w:r>
          <w:r w:rsidR="003C2878" w:rsidRPr="003C2878">
            <w:rPr>
              <w:noProof/>
            </w:rPr>
            <w:t>[2]</w:t>
          </w:r>
          <w:r>
            <w:rPr>
              <w:b/>
            </w:rPr>
            <w:fldChar w:fldCharType="end"/>
          </w:r>
        </w:sdtContent>
      </w:sdt>
    </w:p>
    <w:p w:rsidR="00266769" w:rsidRDefault="007C2D12" w:rsidP="00FF512D">
      <w:pPr>
        <w:jc w:val="both"/>
      </w:pPr>
      <w:r>
        <w:t>Other conditioning sequences could be considered, which e.g., may contain also speech samples.</w:t>
      </w:r>
    </w:p>
    <w:p w:rsidR="007C2D12" w:rsidRPr="00072DC6" w:rsidRDefault="00072DC6" w:rsidP="00FF512D">
      <w:pPr>
        <w:jc w:val="both"/>
      </w:pPr>
      <w:r>
        <w:t xml:space="preserve">The measurements were conducted according to the description of section 8.2.2.2 (and/or 9.2.2.2, 10.2.2.2) of </w:t>
      </w:r>
      <w:sdt>
        <w:sdtPr>
          <w:id w:val="690042182"/>
          <w:citation/>
        </w:sdtPr>
        <w:sdtEndPr/>
        <w:sdtContent>
          <w:r>
            <w:fldChar w:fldCharType="begin"/>
          </w:r>
          <w:r w:rsidRPr="000D164E">
            <w:rPr>
              <w:lang w:val="en-US"/>
            </w:rPr>
            <w:instrText xml:space="preserve"> CITATION 3GPR \l 1031 </w:instrText>
          </w:r>
          <w:r>
            <w:fldChar w:fldCharType="separate"/>
          </w:r>
          <w:r w:rsidR="003C2878" w:rsidRPr="000D164E">
            <w:rPr>
              <w:noProof/>
              <w:lang w:val="en-US"/>
            </w:rPr>
            <w:t>[2]</w:t>
          </w:r>
          <w:r>
            <w:fldChar w:fldCharType="end"/>
          </w:r>
        </w:sdtContent>
      </w:sdt>
      <w:r>
        <w:t xml:space="preserve">, i.e. using artificial head with no equalization and DRP/ERP correction. The proposed recording with the </w:t>
      </w:r>
      <w:r w:rsidR="007C2D12" w:rsidRPr="00072DC6">
        <w:t xml:space="preserve">new </w:t>
      </w:r>
      <w:r w:rsidRPr="00072DC6">
        <w:t>source signal is carried out twice:</w:t>
      </w:r>
    </w:p>
    <w:p w:rsidR="00072DC6" w:rsidRPr="00072DC6" w:rsidRDefault="00072DC6" w:rsidP="00FF512D">
      <w:pPr>
        <w:pStyle w:val="Listenabsatz"/>
        <w:numPr>
          <w:ilvl w:val="0"/>
          <w:numId w:val="11"/>
        </w:numPr>
        <w:jc w:val="both"/>
        <w:rPr>
          <w:rFonts w:ascii="Arial" w:hAnsi="Arial" w:cs="Arial"/>
          <w:sz w:val="22"/>
        </w:rPr>
      </w:pPr>
      <w:r w:rsidRPr="00072DC6">
        <w:rPr>
          <w:rFonts w:ascii="Arial" w:hAnsi="Arial" w:cs="Arial"/>
          <w:sz w:val="22"/>
        </w:rPr>
        <w:t>Downlink signal is muted, only noise is recorded by the artificial head.</w:t>
      </w:r>
    </w:p>
    <w:p w:rsidR="00072DC6" w:rsidRPr="00072DC6" w:rsidRDefault="00072DC6" w:rsidP="00FF512D">
      <w:pPr>
        <w:pStyle w:val="Listenabsatz"/>
        <w:numPr>
          <w:ilvl w:val="0"/>
          <w:numId w:val="11"/>
        </w:numPr>
        <w:jc w:val="both"/>
        <w:rPr>
          <w:rFonts w:ascii="Arial" w:hAnsi="Arial" w:cs="Arial"/>
          <w:sz w:val="22"/>
        </w:rPr>
      </w:pPr>
      <w:r w:rsidRPr="00072DC6">
        <w:rPr>
          <w:rFonts w:ascii="Arial" w:hAnsi="Arial" w:cs="Arial"/>
          <w:sz w:val="22"/>
        </w:rPr>
        <w:t>Downlink signal is activated, speech and noise is recorded by the artificial head.</w:t>
      </w:r>
    </w:p>
    <w:p w:rsidR="00072DC6" w:rsidRPr="00072DC6" w:rsidRDefault="00072DC6" w:rsidP="00FF512D">
      <w:pPr>
        <w:pStyle w:val="Listenabsatz"/>
        <w:jc w:val="both"/>
      </w:pPr>
    </w:p>
    <w:p w:rsidR="00072DC6" w:rsidRDefault="00072DC6" w:rsidP="00FF512D">
      <w:pPr>
        <w:jc w:val="both"/>
      </w:pPr>
      <w:r>
        <w:t>The start of the noise simulation playback is synchronized with the start of each measurement run.</w:t>
      </w:r>
    </w:p>
    <w:p w:rsidR="003C2878" w:rsidRDefault="003C2878" w:rsidP="00FF512D">
      <w:pPr>
        <w:jc w:val="both"/>
      </w:pPr>
      <w:r>
        <w:lastRenderedPageBreak/>
        <w:t xml:space="preserve">RLR calculation is carried out only over the time range as described in </w:t>
      </w:r>
      <w:sdt>
        <w:sdtPr>
          <w:id w:val="2008010371"/>
          <w:citation/>
        </w:sdtPr>
        <w:sdtEndPr/>
        <w:sdtContent>
          <w:r>
            <w:fldChar w:fldCharType="begin"/>
          </w:r>
          <w:r w:rsidRPr="000D164E">
            <w:rPr>
              <w:lang w:val="en-US"/>
            </w:rPr>
            <w:instrText xml:space="preserve"> CITATION 3GPR \l 1031 </w:instrText>
          </w:r>
          <w:r>
            <w:fldChar w:fldCharType="separate"/>
          </w:r>
          <w:r w:rsidRPr="000D164E">
            <w:rPr>
              <w:noProof/>
              <w:lang w:val="en-US"/>
            </w:rPr>
            <w:t>[2]</w:t>
          </w:r>
          <w:r>
            <w:fldChar w:fldCharType="end"/>
          </w:r>
        </w:sdtContent>
      </w:sdt>
      <w:r>
        <w:t xml:space="preserve"> (10.4s-45.05s), i.e. discarding the initial conditioning sequence. For initial analysis, RLR can be directly calculated on the noisy signal. Due to the high speech level (maximum volume) and due to coverage of the ear, a SNR of &gt;20 dB allows the direct calculation in this case.</w:t>
      </w:r>
    </w:p>
    <w:p w:rsidR="00B842CD" w:rsidRDefault="003C2878" w:rsidP="00FF512D">
      <w:pPr>
        <w:jc w:val="both"/>
      </w:pPr>
      <w:r>
        <w:t xml:space="preserve">In addition, another approach is evaluated as well: </w:t>
      </w:r>
      <w:r w:rsidR="00B842CD">
        <w:t>The first time signal (noise-only) is then subtracted from the second recording (speech + noise) in the time domain. Since the playback system provides a highly accurate synchronization, the per-sample subtraction result in a noise-compensated speech signal. This signal may contain possible signal degradations, volume increases or processing artefacts, which are triggered by the noise.</w:t>
      </w:r>
    </w:p>
    <w:p w:rsidR="004C6AD8" w:rsidRDefault="004C6AD8" w:rsidP="00FF512D">
      <w:pPr>
        <w:pStyle w:val="berschrift1"/>
        <w:numPr>
          <w:ilvl w:val="0"/>
          <w:numId w:val="7"/>
        </w:numPr>
        <w:jc w:val="both"/>
        <w:rPr>
          <w:rFonts w:eastAsia="Times New Roman"/>
          <w:b/>
        </w:rPr>
      </w:pPr>
      <w:r>
        <w:rPr>
          <w:rFonts w:eastAsia="Times New Roman"/>
          <w:b/>
        </w:rPr>
        <w:t>Results</w:t>
      </w:r>
    </w:p>
    <w:p w:rsidR="004C6AD8" w:rsidRDefault="004C6AD8" w:rsidP="00FF512D">
      <w:pPr>
        <w:jc w:val="both"/>
      </w:pPr>
      <w:r>
        <w:t xml:space="preserve">Two </w:t>
      </w:r>
      <w:r w:rsidR="00B842CD">
        <w:t xml:space="preserve">commercially available </w:t>
      </w:r>
      <w:r>
        <w:t xml:space="preserve">DUTs were evaluated </w:t>
      </w:r>
      <w:r w:rsidR="003E6DCA">
        <w:t>with the measurement setup described above</w:t>
      </w:r>
      <w:r w:rsidR="003C2878">
        <w:t>, with an application force on 8N</w:t>
      </w:r>
      <w:r w:rsidR="00B842CD">
        <w:t xml:space="preserve">. </w:t>
      </w:r>
      <w:r w:rsidR="00133134">
        <w:t xml:space="preserve">In both terminals no near end signal enhancement was active. Therefore, the differences observed are due to the additional noise present but not due to any phone signal processing. </w:t>
      </w:r>
      <w:r w:rsidR="00B842CD">
        <w:t xml:space="preserve">Both terminals were operating in EVS-SWB mode at 24.4 kbit/s. However, since testing of RLR still is based on WB </w:t>
      </w:r>
      <w:r w:rsidR="001F5AA0">
        <w:t xml:space="preserve">methodology and </w:t>
      </w:r>
      <w:r w:rsidR="00B842CD">
        <w:t xml:space="preserve">analysis, </w:t>
      </w:r>
      <w:r w:rsidR="001F5AA0">
        <w:t>comparable results can be obtained in WB, SWB or FB mode.</w:t>
      </w:r>
    </w:p>
    <w:p w:rsidR="004C6AD8" w:rsidRPr="004C6AD8" w:rsidRDefault="003C2878" w:rsidP="00FF512D">
      <w:pPr>
        <w:jc w:val="both"/>
      </w:pPr>
      <w:r>
        <w:t xml:space="preserve">The analysis results for DUT1 and DUT2 are shown in </w:t>
      </w:r>
      <w:r>
        <w:fldChar w:fldCharType="begin"/>
      </w:r>
      <w:r>
        <w:instrText xml:space="preserve"> REF _Ref504748445 \h </w:instrText>
      </w:r>
      <w:r w:rsidR="00FF512D">
        <w:instrText xml:space="preserve"> \* MERGEFORMAT </w:instrText>
      </w:r>
      <w:r>
        <w:fldChar w:fldCharType="separate"/>
      </w:r>
      <w:r w:rsidR="00133134" w:rsidRPr="006436FD">
        <w:rPr>
          <w:b/>
        </w:rPr>
        <w:t xml:space="preserve">Figure </w:t>
      </w:r>
      <w:r w:rsidR="00133134">
        <w:rPr>
          <w:b/>
          <w:noProof/>
        </w:rPr>
        <w:t>2</w:t>
      </w:r>
      <w:r>
        <w:fldChar w:fldCharType="end"/>
      </w:r>
      <w:r>
        <w:t xml:space="preserve"> and </w:t>
      </w:r>
      <w:r>
        <w:fldChar w:fldCharType="begin"/>
      </w:r>
      <w:r>
        <w:instrText xml:space="preserve"> REF _Ref504748447 \h </w:instrText>
      </w:r>
      <w:r w:rsidR="00FF512D">
        <w:instrText xml:space="preserve"> \* MERGEFORMAT </w:instrText>
      </w:r>
      <w:r>
        <w:fldChar w:fldCharType="separate"/>
      </w:r>
      <w:r w:rsidR="00133134" w:rsidRPr="006436FD">
        <w:rPr>
          <w:b/>
        </w:rPr>
        <w:t xml:space="preserve">Figure </w:t>
      </w:r>
      <w:r w:rsidR="00133134">
        <w:rPr>
          <w:b/>
          <w:noProof/>
        </w:rPr>
        <w:t>3</w:t>
      </w:r>
      <w:r>
        <w:fldChar w:fldCharType="end"/>
      </w:r>
      <w:r>
        <w:t>.</w:t>
      </w:r>
      <w:r w:rsidR="00161881">
        <w:t xml:space="preserve"> The results mainly differ in the low frequency range (100-200Hz); here the residual noise contributes more to the transfer function.</w:t>
      </w:r>
    </w:p>
    <w:p w:rsidR="006436FD" w:rsidRDefault="00C71F29" w:rsidP="00FF512D">
      <w:pPr>
        <w:keepNext/>
        <w:keepLines/>
        <w:jc w:val="both"/>
      </w:pPr>
      <w:r w:rsidRPr="00C71F29">
        <w:rPr>
          <w:noProof/>
          <w:lang w:val="en-US"/>
        </w:rPr>
        <w:drawing>
          <wp:inline distT="0" distB="0" distL="0" distR="0">
            <wp:extent cx="5905500" cy="2352675"/>
            <wp:effectExtent l="0" t="0" r="0" b="952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2352675"/>
                    </a:xfrm>
                    <a:prstGeom prst="rect">
                      <a:avLst/>
                    </a:prstGeom>
                    <a:noFill/>
                    <a:ln>
                      <a:noFill/>
                    </a:ln>
                  </pic:spPr>
                </pic:pic>
              </a:graphicData>
            </a:graphic>
          </wp:inline>
        </w:drawing>
      </w:r>
    </w:p>
    <w:p w:rsidR="00D4513D" w:rsidRPr="006436FD" w:rsidRDefault="006436FD" w:rsidP="00FF512D">
      <w:pPr>
        <w:keepNext/>
        <w:keepLines/>
        <w:jc w:val="both"/>
        <w:rPr>
          <w:b/>
        </w:rPr>
      </w:pPr>
      <w:bookmarkStart w:id="2" w:name="_Ref504748445"/>
      <w:r w:rsidRPr="006436FD">
        <w:rPr>
          <w:b/>
        </w:rPr>
        <w:t xml:space="preserve">Figure </w:t>
      </w:r>
      <w:r w:rsidRPr="006436FD">
        <w:rPr>
          <w:b/>
        </w:rPr>
        <w:fldChar w:fldCharType="begin"/>
      </w:r>
      <w:r w:rsidRPr="006436FD">
        <w:rPr>
          <w:b/>
        </w:rPr>
        <w:instrText xml:space="preserve"> SEQ Figure \* ARABIC </w:instrText>
      </w:r>
      <w:r w:rsidRPr="006436FD">
        <w:rPr>
          <w:b/>
        </w:rPr>
        <w:fldChar w:fldCharType="separate"/>
      </w:r>
      <w:r w:rsidR="00133134">
        <w:rPr>
          <w:b/>
          <w:noProof/>
        </w:rPr>
        <w:t>2</w:t>
      </w:r>
      <w:r w:rsidRPr="006436FD">
        <w:rPr>
          <w:b/>
        </w:rPr>
        <w:fldChar w:fldCharType="end"/>
      </w:r>
      <w:bookmarkEnd w:id="2"/>
      <w:r w:rsidRPr="006436FD">
        <w:rPr>
          <w:b/>
        </w:rPr>
        <w:t>: RLR analysis results for DUT1</w:t>
      </w:r>
    </w:p>
    <w:p w:rsidR="006436FD" w:rsidRDefault="006436FD" w:rsidP="00FF512D">
      <w:pPr>
        <w:jc w:val="both"/>
        <w:rPr>
          <w:lang w:val="en-US"/>
        </w:rPr>
      </w:pPr>
    </w:p>
    <w:p w:rsidR="006436FD" w:rsidRDefault="006436FD" w:rsidP="00FF512D">
      <w:pPr>
        <w:keepNext/>
        <w:keepLines/>
        <w:jc w:val="both"/>
        <w:rPr>
          <w:lang w:val="en-US"/>
        </w:rPr>
      </w:pPr>
      <w:r w:rsidRPr="006436FD">
        <w:rPr>
          <w:noProof/>
          <w:lang w:val="en-US"/>
        </w:rPr>
        <w:drawing>
          <wp:inline distT="0" distB="0" distL="0" distR="0">
            <wp:extent cx="5905500" cy="2352675"/>
            <wp:effectExtent l="0" t="0" r="0" b="952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2352675"/>
                    </a:xfrm>
                    <a:prstGeom prst="rect">
                      <a:avLst/>
                    </a:prstGeom>
                    <a:noFill/>
                    <a:ln>
                      <a:noFill/>
                    </a:ln>
                  </pic:spPr>
                </pic:pic>
              </a:graphicData>
            </a:graphic>
          </wp:inline>
        </w:drawing>
      </w:r>
    </w:p>
    <w:p w:rsidR="006436FD" w:rsidRPr="006436FD" w:rsidRDefault="006436FD" w:rsidP="00FF512D">
      <w:pPr>
        <w:keepNext/>
        <w:keepLines/>
        <w:jc w:val="both"/>
        <w:rPr>
          <w:b/>
        </w:rPr>
      </w:pPr>
      <w:bookmarkStart w:id="3" w:name="_Ref504748447"/>
      <w:r w:rsidRPr="006436FD">
        <w:rPr>
          <w:b/>
        </w:rPr>
        <w:t xml:space="preserve">Figure </w:t>
      </w:r>
      <w:r w:rsidRPr="006436FD">
        <w:rPr>
          <w:b/>
        </w:rPr>
        <w:fldChar w:fldCharType="begin"/>
      </w:r>
      <w:r w:rsidRPr="006436FD">
        <w:rPr>
          <w:b/>
        </w:rPr>
        <w:instrText xml:space="preserve"> SEQ Figure \* ARABIC </w:instrText>
      </w:r>
      <w:r w:rsidRPr="006436FD">
        <w:rPr>
          <w:b/>
        </w:rPr>
        <w:fldChar w:fldCharType="separate"/>
      </w:r>
      <w:r w:rsidR="00133134">
        <w:rPr>
          <w:b/>
          <w:noProof/>
        </w:rPr>
        <w:t>3</w:t>
      </w:r>
      <w:r w:rsidRPr="006436FD">
        <w:rPr>
          <w:b/>
        </w:rPr>
        <w:fldChar w:fldCharType="end"/>
      </w:r>
      <w:bookmarkEnd w:id="3"/>
      <w:r w:rsidRPr="006436FD">
        <w:rPr>
          <w:b/>
        </w:rPr>
        <w:t>: RLR analysis results for DUT</w:t>
      </w:r>
      <w:r>
        <w:rPr>
          <w:b/>
        </w:rPr>
        <w:t>2</w:t>
      </w:r>
    </w:p>
    <w:p w:rsidR="006436FD" w:rsidRDefault="006436FD" w:rsidP="00FF512D">
      <w:pPr>
        <w:jc w:val="both"/>
        <w:rPr>
          <w:lang w:val="en-US"/>
        </w:rPr>
      </w:pPr>
    </w:p>
    <w:p w:rsidR="00FF512D" w:rsidRDefault="00FF512D" w:rsidP="00FF512D">
      <w:pPr>
        <w:jc w:val="both"/>
        <w:rPr>
          <w:lang w:val="en-US"/>
        </w:rPr>
      </w:pPr>
    </w:p>
    <w:p w:rsidR="003C2878" w:rsidRDefault="00FC0CFA" w:rsidP="00FF512D">
      <w:pPr>
        <w:jc w:val="both"/>
        <w:rPr>
          <w:lang w:val="en-US"/>
        </w:rPr>
      </w:pPr>
      <w:r>
        <w:rPr>
          <w:lang w:val="en-US"/>
        </w:rPr>
        <w:t>In addition, several other application forces and volume settings were measured. The resulting RLR values</w:t>
      </w:r>
      <w:r w:rsidR="00161881">
        <w:rPr>
          <w:lang w:val="en-US"/>
        </w:rPr>
        <w:t xml:space="preserve"> as well as the differences to the silent condition</w:t>
      </w:r>
      <w:r>
        <w:rPr>
          <w:lang w:val="en-US"/>
        </w:rPr>
        <w:t xml:space="preserve"> are </w:t>
      </w:r>
      <w:r w:rsidRPr="00161881">
        <w:rPr>
          <w:szCs w:val="22"/>
          <w:lang w:val="en-US"/>
        </w:rPr>
        <w:t xml:space="preserve">provided in </w:t>
      </w:r>
      <w:r w:rsidR="00161881" w:rsidRPr="00161881">
        <w:rPr>
          <w:szCs w:val="22"/>
          <w:lang w:val="en-US"/>
        </w:rPr>
        <w:fldChar w:fldCharType="begin"/>
      </w:r>
      <w:r w:rsidR="00161881" w:rsidRPr="00161881">
        <w:rPr>
          <w:szCs w:val="22"/>
          <w:lang w:val="en-US"/>
        </w:rPr>
        <w:instrText xml:space="preserve"> REF _Ref504749809 \h </w:instrText>
      </w:r>
      <w:r w:rsidR="00161881">
        <w:rPr>
          <w:szCs w:val="22"/>
          <w:lang w:val="en-US"/>
        </w:rPr>
        <w:instrText xml:space="preserve"> \* MERGEFORMAT </w:instrText>
      </w:r>
      <w:r w:rsidR="00161881" w:rsidRPr="00161881">
        <w:rPr>
          <w:szCs w:val="22"/>
          <w:lang w:val="en-US"/>
        </w:rPr>
      </w:r>
      <w:r w:rsidR="00161881" w:rsidRPr="00161881">
        <w:rPr>
          <w:szCs w:val="22"/>
          <w:lang w:val="en-US"/>
        </w:rPr>
        <w:fldChar w:fldCharType="separate"/>
      </w:r>
      <w:r w:rsidR="00133134" w:rsidRPr="001D4C9D">
        <w:rPr>
          <w:b/>
          <w:szCs w:val="22"/>
        </w:rPr>
        <w:t>Table 1</w:t>
      </w:r>
      <w:r w:rsidR="00161881" w:rsidRPr="00161881">
        <w:rPr>
          <w:szCs w:val="22"/>
          <w:lang w:val="en-US"/>
        </w:rPr>
        <w:fldChar w:fldCharType="end"/>
      </w:r>
      <w:r w:rsidRPr="00161881">
        <w:rPr>
          <w:szCs w:val="22"/>
          <w:lang w:val="en-US"/>
        </w:rPr>
        <w:t>.</w:t>
      </w:r>
      <w:r w:rsidR="00161881">
        <w:rPr>
          <w:szCs w:val="22"/>
          <w:lang w:val="en-US"/>
        </w:rPr>
        <w:t xml:space="preserve"> The results of </w:t>
      </w:r>
      <w:r w:rsidR="00161881">
        <w:fldChar w:fldCharType="begin"/>
      </w:r>
      <w:r w:rsidR="00161881">
        <w:instrText xml:space="preserve"> REF _Ref504748445 \h </w:instrText>
      </w:r>
      <w:r w:rsidR="00FF512D">
        <w:instrText xml:space="preserve"> \* MERGEFORMAT </w:instrText>
      </w:r>
      <w:r w:rsidR="00161881">
        <w:fldChar w:fldCharType="separate"/>
      </w:r>
      <w:r w:rsidR="00133134" w:rsidRPr="006436FD">
        <w:rPr>
          <w:b/>
        </w:rPr>
        <w:t xml:space="preserve">Figure </w:t>
      </w:r>
      <w:r w:rsidR="00133134">
        <w:rPr>
          <w:b/>
          <w:noProof/>
        </w:rPr>
        <w:t>2</w:t>
      </w:r>
      <w:r w:rsidR="00161881">
        <w:fldChar w:fldCharType="end"/>
      </w:r>
      <w:r w:rsidR="00161881">
        <w:t xml:space="preserve"> and </w:t>
      </w:r>
      <w:r w:rsidR="00161881">
        <w:fldChar w:fldCharType="begin"/>
      </w:r>
      <w:r w:rsidR="00161881">
        <w:instrText xml:space="preserve"> REF _Ref504748447 \h </w:instrText>
      </w:r>
      <w:r w:rsidR="00FF512D">
        <w:instrText xml:space="preserve"> \* MERGEFORMAT </w:instrText>
      </w:r>
      <w:r w:rsidR="00161881">
        <w:fldChar w:fldCharType="separate"/>
      </w:r>
      <w:r w:rsidR="00133134" w:rsidRPr="006436FD">
        <w:rPr>
          <w:b/>
        </w:rPr>
        <w:t xml:space="preserve">Figure </w:t>
      </w:r>
      <w:r w:rsidR="00133134">
        <w:rPr>
          <w:b/>
          <w:noProof/>
        </w:rPr>
        <w:t>3</w:t>
      </w:r>
      <w:r w:rsidR="00161881">
        <w:fldChar w:fldCharType="end"/>
      </w:r>
      <w:r w:rsidR="00161881">
        <w:t xml:space="preserve"> are marked in bold font.</w:t>
      </w:r>
    </w:p>
    <w:p w:rsidR="003C2878" w:rsidRDefault="003C2878" w:rsidP="00FF512D">
      <w:pPr>
        <w:jc w:val="both"/>
        <w:rPr>
          <w:lang w:val="en-US"/>
        </w:rPr>
      </w:pPr>
    </w:p>
    <w:p w:rsidR="00161881" w:rsidRPr="00161881" w:rsidRDefault="00161881" w:rsidP="00FF512D">
      <w:pPr>
        <w:jc w:val="both"/>
        <w:rPr>
          <w:b/>
          <w:sz w:val="20"/>
        </w:rPr>
      </w:pPr>
      <w:bookmarkStart w:id="4" w:name="_Ref504749809"/>
      <w:r w:rsidRPr="00161881">
        <w:rPr>
          <w:b/>
          <w:sz w:val="20"/>
        </w:rPr>
        <w:t xml:space="preserve">Table </w:t>
      </w:r>
      <w:r w:rsidRPr="00161881">
        <w:rPr>
          <w:b/>
          <w:sz w:val="20"/>
        </w:rPr>
        <w:fldChar w:fldCharType="begin"/>
      </w:r>
      <w:r w:rsidRPr="00161881">
        <w:rPr>
          <w:b/>
          <w:sz w:val="20"/>
        </w:rPr>
        <w:instrText xml:space="preserve"> SEQ Table \* ARABIC </w:instrText>
      </w:r>
      <w:r w:rsidRPr="00161881">
        <w:rPr>
          <w:b/>
          <w:sz w:val="20"/>
        </w:rPr>
        <w:fldChar w:fldCharType="separate"/>
      </w:r>
      <w:r w:rsidR="00133134">
        <w:rPr>
          <w:b/>
          <w:noProof/>
          <w:sz w:val="20"/>
        </w:rPr>
        <w:t>1</w:t>
      </w:r>
      <w:r w:rsidRPr="00161881">
        <w:rPr>
          <w:b/>
          <w:sz w:val="20"/>
        </w:rPr>
        <w:fldChar w:fldCharType="end"/>
      </w:r>
      <w:bookmarkEnd w:id="4"/>
      <w:r w:rsidRPr="00161881">
        <w:rPr>
          <w:b/>
          <w:sz w:val="20"/>
        </w:rPr>
        <w:t>: Example RLR measurements</w:t>
      </w:r>
    </w:p>
    <w:tbl>
      <w:tblPr>
        <w:tblStyle w:val="Tabellenraster"/>
        <w:tblW w:w="9493" w:type="dxa"/>
        <w:tblLayout w:type="fixed"/>
        <w:tblLook w:val="04A0" w:firstRow="1" w:lastRow="0" w:firstColumn="1" w:lastColumn="0" w:noHBand="0" w:noVBand="1"/>
      </w:tblPr>
      <w:tblGrid>
        <w:gridCol w:w="988"/>
        <w:gridCol w:w="1275"/>
        <w:gridCol w:w="1072"/>
        <w:gridCol w:w="913"/>
        <w:gridCol w:w="850"/>
        <w:gridCol w:w="1560"/>
        <w:gridCol w:w="1275"/>
        <w:gridCol w:w="1560"/>
      </w:tblGrid>
      <w:tr w:rsidR="00FC0CFA" w:rsidRPr="009F1F26" w:rsidTr="00161881">
        <w:trPr>
          <w:trHeight w:val="300"/>
        </w:trPr>
        <w:tc>
          <w:tcPr>
            <w:tcW w:w="988" w:type="dxa"/>
            <w:noWrap/>
            <w:hideMark/>
          </w:tcPr>
          <w:p w:rsidR="00FC0CFA" w:rsidRPr="009F1F26" w:rsidRDefault="00FC0CFA" w:rsidP="00FF512D">
            <w:pPr>
              <w:jc w:val="both"/>
              <w:rPr>
                <w:rFonts w:cs="Arial"/>
                <w:i/>
                <w:sz w:val="20"/>
                <w:lang w:val="en-US"/>
              </w:rPr>
            </w:pPr>
          </w:p>
        </w:tc>
        <w:tc>
          <w:tcPr>
            <w:tcW w:w="1275" w:type="dxa"/>
            <w:noWrap/>
            <w:hideMark/>
          </w:tcPr>
          <w:p w:rsidR="00FC0CFA" w:rsidRPr="009F1F26" w:rsidRDefault="00FC0CFA" w:rsidP="00FF512D">
            <w:pPr>
              <w:jc w:val="both"/>
              <w:rPr>
                <w:rFonts w:cs="Arial"/>
                <w:i/>
                <w:sz w:val="20"/>
              </w:rPr>
            </w:pPr>
          </w:p>
        </w:tc>
        <w:tc>
          <w:tcPr>
            <w:tcW w:w="1072" w:type="dxa"/>
            <w:noWrap/>
            <w:hideMark/>
          </w:tcPr>
          <w:p w:rsidR="00FC0CFA" w:rsidRPr="009F1F26" w:rsidRDefault="00FC0CFA" w:rsidP="00FF512D">
            <w:pPr>
              <w:jc w:val="both"/>
              <w:rPr>
                <w:rFonts w:cs="Arial"/>
                <w:i/>
                <w:sz w:val="20"/>
              </w:rPr>
            </w:pPr>
          </w:p>
        </w:tc>
        <w:tc>
          <w:tcPr>
            <w:tcW w:w="3323" w:type="dxa"/>
            <w:gridSpan w:val="3"/>
            <w:noWrap/>
            <w:hideMark/>
          </w:tcPr>
          <w:p w:rsidR="00FC0CFA" w:rsidRPr="009F1F26" w:rsidRDefault="00FC0CFA" w:rsidP="00FF512D">
            <w:pPr>
              <w:jc w:val="both"/>
              <w:rPr>
                <w:rFonts w:cs="Arial"/>
                <w:i/>
                <w:sz w:val="20"/>
              </w:rPr>
            </w:pPr>
            <w:r w:rsidRPr="009F1F26">
              <w:rPr>
                <w:rFonts w:cs="Arial"/>
                <w:i/>
                <w:sz w:val="20"/>
              </w:rPr>
              <w:t>RLR [dB] calculated on…</w:t>
            </w:r>
          </w:p>
        </w:tc>
        <w:tc>
          <w:tcPr>
            <w:tcW w:w="2835" w:type="dxa"/>
            <w:gridSpan w:val="2"/>
            <w:noWrap/>
            <w:hideMark/>
          </w:tcPr>
          <w:p w:rsidR="00FC0CFA" w:rsidRPr="009F1F26" w:rsidRDefault="00FC0CFA" w:rsidP="00FF512D">
            <w:pPr>
              <w:jc w:val="both"/>
              <w:rPr>
                <w:rFonts w:cs="Arial"/>
                <w:i/>
                <w:sz w:val="20"/>
              </w:rPr>
            </w:pPr>
            <w:r w:rsidRPr="009F1F26">
              <w:rPr>
                <w:rFonts w:cs="Arial"/>
                <w:i/>
                <w:sz w:val="20"/>
              </w:rPr>
              <w:t>Absolute Errors [dB]</w:t>
            </w:r>
          </w:p>
        </w:tc>
      </w:tr>
      <w:tr w:rsidR="00FC0CFA" w:rsidRPr="009F1F26" w:rsidTr="00161881">
        <w:trPr>
          <w:trHeight w:val="300"/>
        </w:trPr>
        <w:tc>
          <w:tcPr>
            <w:tcW w:w="988" w:type="dxa"/>
            <w:noWrap/>
            <w:hideMark/>
          </w:tcPr>
          <w:p w:rsidR="00FC0CFA" w:rsidRPr="009F1F26" w:rsidRDefault="00FC0CFA" w:rsidP="00FF512D">
            <w:pPr>
              <w:jc w:val="both"/>
              <w:rPr>
                <w:rFonts w:cs="Arial"/>
                <w:i/>
                <w:sz w:val="20"/>
              </w:rPr>
            </w:pPr>
            <w:r w:rsidRPr="009F1F26">
              <w:rPr>
                <w:rFonts w:cs="Arial"/>
                <w:i/>
                <w:sz w:val="20"/>
              </w:rPr>
              <w:t>DUT</w:t>
            </w:r>
          </w:p>
        </w:tc>
        <w:tc>
          <w:tcPr>
            <w:tcW w:w="1275" w:type="dxa"/>
            <w:noWrap/>
            <w:hideMark/>
          </w:tcPr>
          <w:p w:rsidR="00FC0CFA" w:rsidRPr="009F1F26" w:rsidRDefault="00FC0CFA" w:rsidP="00FF512D">
            <w:pPr>
              <w:jc w:val="both"/>
              <w:rPr>
                <w:rFonts w:cs="Arial"/>
                <w:i/>
                <w:sz w:val="20"/>
              </w:rPr>
            </w:pPr>
            <w:r w:rsidRPr="009F1F26">
              <w:rPr>
                <w:rFonts w:cs="Arial"/>
                <w:i/>
                <w:sz w:val="20"/>
              </w:rPr>
              <w:t>Application Force</w:t>
            </w:r>
          </w:p>
        </w:tc>
        <w:tc>
          <w:tcPr>
            <w:tcW w:w="1072" w:type="dxa"/>
            <w:noWrap/>
            <w:hideMark/>
          </w:tcPr>
          <w:p w:rsidR="00FC0CFA" w:rsidRPr="009F1F26" w:rsidRDefault="00FC0CFA" w:rsidP="00FF512D">
            <w:pPr>
              <w:jc w:val="both"/>
              <w:rPr>
                <w:rFonts w:cs="Arial"/>
                <w:i/>
                <w:sz w:val="20"/>
              </w:rPr>
            </w:pPr>
            <w:r w:rsidRPr="009F1F26">
              <w:rPr>
                <w:rFonts w:cs="Arial"/>
                <w:i/>
                <w:sz w:val="20"/>
              </w:rPr>
              <w:t>Volume</w:t>
            </w:r>
          </w:p>
        </w:tc>
        <w:tc>
          <w:tcPr>
            <w:tcW w:w="913" w:type="dxa"/>
            <w:noWrap/>
            <w:hideMark/>
          </w:tcPr>
          <w:p w:rsidR="00FC0CFA" w:rsidRPr="009F1F26" w:rsidRDefault="00FC0CFA" w:rsidP="00FF512D">
            <w:pPr>
              <w:jc w:val="both"/>
              <w:rPr>
                <w:rFonts w:cs="Arial"/>
                <w:i/>
                <w:sz w:val="20"/>
              </w:rPr>
            </w:pPr>
            <w:r w:rsidRPr="009F1F26">
              <w:rPr>
                <w:rFonts w:cs="Arial"/>
                <w:i/>
                <w:sz w:val="20"/>
              </w:rPr>
              <w:t>Silence</w:t>
            </w:r>
          </w:p>
        </w:tc>
        <w:tc>
          <w:tcPr>
            <w:tcW w:w="850" w:type="dxa"/>
            <w:noWrap/>
            <w:hideMark/>
          </w:tcPr>
          <w:p w:rsidR="00FC0CFA" w:rsidRPr="009F1F26" w:rsidRDefault="00FC0CFA" w:rsidP="00FF512D">
            <w:pPr>
              <w:jc w:val="both"/>
              <w:rPr>
                <w:rFonts w:cs="Arial"/>
                <w:i/>
                <w:sz w:val="20"/>
              </w:rPr>
            </w:pPr>
            <w:r w:rsidRPr="009F1F26">
              <w:rPr>
                <w:rFonts w:cs="Arial"/>
                <w:i/>
                <w:sz w:val="20"/>
              </w:rPr>
              <w:t>Noisy</w:t>
            </w:r>
          </w:p>
        </w:tc>
        <w:tc>
          <w:tcPr>
            <w:tcW w:w="1560" w:type="dxa"/>
            <w:noWrap/>
            <w:hideMark/>
          </w:tcPr>
          <w:p w:rsidR="00FC0CFA" w:rsidRPr="009F1F26" w:rsidRDefault="00FC0CFA" w:rsidP="00FF512D">
            <w:pPr>
              <w:jc w:val="both"/>
              <w:rPr>
                <w:rFonts w:cs="Arial"/>
                <w:i/>
                <w:sz w:val="20"/>
              </w:rPr>
            </w:pPr>
            <w:r w:rsidRPr="009F1F26">
              <w:rPr>
                <w:rFonts w:cs="Arial"/>
                <w:i/>
                <w:sz w:val="20"/>
              </w:rPr>
              <w:t>Compensated</w:t>
            </w:r>
          </w:p>
        </w:tc>
        <w:tc>
          <w:tcPr>
            <w:tcW w:w="1275" w:type="dxa"/>
            <w:noWrap/>
            <w:hideMark/>
          </w:tcPr>
          <w:p w:rsidR="00FC0CFA" w:rsidRPr="009F1F26" w:rsidRDefault="00FC0CFA" w:rsidP="00FF512D">
            <w:pPr>
              <w:jc w:val="both"/>
              <w:rPr>
                <w:rFonts w:cs="Arial"/>
                <w:i/>
                <w:sz w:val="20"/>
              </w:rPr>
            </w:pPr>
            <w:r w:rsidRPr="009F1F26">
              <w:rPr>
                <w:rFonts w:cs="Arial"/>
                <w:i/>
                <w:sz w:val="20"/>
              </w:rPr>
              <w:t>Error Noisy</w:t>
            </w:r>
          </w:p>
        </w:tc>
        <w:tc>
          <w:tcPr>
            <w:tcW w:w="1560" w:type="dxa"/>
            <w:noWrap/>
            <w:hideMark/>
          </w:tcPr>
          <w:p w:rsidR="00FC0CFA" w:rsidRPr="009F1F26" w:rsidRDefault="00FC0CFA" w:rsidP="00FF512D">
            <w:pPr>
              <w:jc w:val="both"/>
              <w:rPr>
                <w:rFonts w:cs="Arial"/>
                <w:i/>
                <w:sz w:val="20"/>
              </w:rPr>
            </w:pPr>
            <w:r w:rsidRPr="009F1F26">
              <w:rPr>
                <w:rFonts w:cs="Arial"/>
                <w:i/>
                <w:sz w:val="20"/>
              </w:rPr>
              <w:t>Error Compensated</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r w:rsidRPr="00FC0CFA">
              <w:rPr>
                <w:rFonts w:cs="Arial"/>
                <w:sz w:val="20"/>
              </w:rPr>
              <w:t>DUT1</w:t>
            </w:r>
          </w:p>
        </w:tc>
        <w:tc>
          <w:tcPr>
            <w:tcW w:w="1275" w:type="dxa"/>
            <w:noWrap/>
            <w:hideMark/>
          </w:tcPr>
          <w:p w:rsidR="00FC0CFA" w:rsidRPr="00FC0CFA" w:rsidRDefault="00FC0CFA" w:rsidP="00FF512D">
            <w:pPr>
              <w:jc w:val="both"/>
              <w:rPr>
                <w:rFonts w:cs="Arial"/>
                <w:sz w:val="20"/>
              </w:rPr>
            </w:pPr>
            <w:r w:rsidRPr="00FC0CFA">
              <w:rPr>
                <w:rFonts w:cs="Arial"/>
                <w:sz w:val="20"/>
              </w:rPr>
              <w:t>2N</w:t>
            </w:r>
          </w:p>
        </w:tc>
        <w:tc>
          <w:tcPr>
            <w:tcW w:w="1072" w:type="dxa"/>
            <w:noWrap/>
            <w:hideMark/>
          </w:tcPr>
          <w:p w:rsidR="00FC0CFA" w:rsidRPr="00FC0CFA" w:rsidRDefault="00FC0CFA" w:rsidP="00FF512D">
            <w:pPr>
              <w:jc w:val="both"/>
              <w:rPr>
                <w:rFonts w:cs="Arial"/>
                <w:sz w:val="20"/>
              </w:rPr>
            </w:pPr>
            <w:r w:rsidRPr="00FC0CFA">
              <w:rPr>
                <w:rFonts w:cs="Arial"/>
                <w:sz w:val="20"/>
              </w:rPr>
              <w:t>MAX</w:t>
            </w:r>
          </w:p>
        </w:tc>
        <w:tc>
          <w:tcPr>
            <w:tcW w:w="913" w:type="dxa"/>
            <w:noWrap/>
            <w:hideMark/>
          </w:tcPr>
          <w:p w:rsidR="00FC0CFA" w:rsidRPr="00FC0CFA" w:rsidRDefault="00FC0CFA" w:rsidP="00FF512D">
            <w:pPr>
              <w:jc w:val="both"/>
              <w:rPr>
                <w:rFonts w:cs="Arial"/>
                <w:sz w:val="20"/>
              </w:rPr>
            </w:pPr>
            <w:r w:rsidRPr="00FC0CFA">
              <w:rPr>
                <w:rFonts w:cs="Arial"/>
                <w:sz w:val="20"/>
              </w:rPr>
              <w:t>-1.90</w:t>
            </w:r>
          </w:p>
        </w:tc>
        <w:tc>
          <w:tcPr>
            <w:tcW w:w="850" w:type="dxa"/>
            <w:noWrap/>
            <w:hideMark/>
          </w:tcPr>
          <w:p w:rsidR="00FC0CFA" w:rsidRPr="00FC0CFA" w:rsidRDefault="00FC0CFA" w:rsidP="00FF512D">
            <w:pPr>
              <w:jc w:val="both"/>
              <w:rPr>
                <w:rFonts w:cs="Arial"/>
                <w:sz w:val="20"/>
              </w:rPr>
            </w:pPr>
            <w:r w:rsidRPr="00FC0CFA">
              <w:rPr>
                <w:rFonts w:cs="Arial"/>
                <w:sz w:val="20"/>
              </w:rPr>
              <w:t>-3.59</w:t>
            </w:r>
          </w:p>
        </w:tc>
        <w:tc>
          <w:tcPr>
            <w:tcW w:w="1560" w:type="dxa"/>
            <w:noWrap/>
            <w:hideMark/>
          </w:tcPr>
          <w:p w:rsidR="00FC0CFA" w:rsidRPr="00FC0CFA" w:rsidRDefault="00FC0CFA" w:rsidP="00FF512D">
            <w:pPr>
              <w:jc w:val="both"/>
              <w:rPr>
                <w:rFonts w:cs="Arial"/>
                <w:sz w:val="20"/>
              </w:rPr>
            </w:pPr>
            <w:r w:rsidRPr="00FC0CFA">
              <w:rPr>
                <w:rFonts w:cs="Arial"/>
                <w:sz w:val="20"/>
              </w:rPr>
              <w:t>-1.91</w:t>
            </w:r>
          </w:p>
        </w:tc>
        <w:tc>
          <w:tcPr>
            <w:tcW w:w="1275" w:type="dxa"/>
            <w:noWrap/>
            <w:hideMark/>
          </w:tcPr>
          <w:p w:rsidR="00FC0CFA" w:rsidRPr="00FC0CFA" w:rsidRDefault="00FC0CFA" w:rsidP="00FF512D">
            <w:pPr>
              <w:jc w:val="both"/>
              <w:rPr>
                <w:rFonts w:cs="Arial"/>
                <w:sz w:val="20"/>
              </w:rPr>
            </w:pPr>
            <w:r w:rsidRPr="00FC0CFA">
              <w:rPr>
                <w:rFonts w:cs="Arial"/>
                <w:sz w:val="20"/>
              </w:rPr>
              <w:t>1.69</w:t>
            </w:r>
          </w:p>
        </w:tc>
        <w:tc>
          <w:tcPr>
            <w:tcW w:w="1560" w:type="dxa"/>
            <w:noWrap/>
            <w:hideMark/>
          </w:tcPr>
          <w:p w:rsidR="00FC0CFA" w:rsidRPr="00FC0CFA" w:rsidRDefault="00FC0CFA" w:rsidP="00FF512D">
            <w:pPr>
              <w:jc w:val="both"/>
              <w:rPr>
                <w:rFonts w:cs="Arial"/>
                <w:sz w:val="20"/>
              </w:rPr>
            </w:pPr>
            <w:r w:rsidRPr="00FC0CFA">
              <w:rPr>
                <w:rFonts w:cs="Arial"/>
                <w:sz w:val="20"/>
              </w:rPr>
              <w:t>0.01</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p>
        </w:tc>
        <w:tc>
          <w:tcPr>
            <w:tcW w:w="1275" w:type="dxa"/>
            <w:noWrap/>
            <w:hideMark/>
          </w:tcPr>
          <w:p w:rsidR="00FC0CFA" w:rsidRPr="00FC0CFA" w:rsidRDefault="00FC0CFA" w:rsidP="00FF512D">
            <w:pPr>
              <w:jc w:val="both"/>
              <w:rPr>
                <w:rFonts w:cs="Arial"/>
                <w:b/>
                <w:sz w:val="20"/>
              </w:rPr>
            </w:pPr>
            <w:r w:rsidRPr="00FC0CFA">
              <w:rPr>
                <w:rFonts w:cs="Arial"/>
                <w:b/>
                <w:sz w:val="20"/>
              </w:rPr>
              <w:t>8N</w:t>
            </w:r>
          </w:p>
        </w:tc>
        <w:tc>
          <w:tcPr>
            <w:tcW w:w="1072" w:type="dxa"/>
            <w:noWrap/>
            <w:hideMark/>
          </w:tcPr>
          <w:p w:rsidR="00FC0CFA" w:rsidRPr="00FC0CFA" w:rsidRDefault="00FC0CFA" w:rsidP="00FF512D">
            <w:pPr>
              <w:jc w:val="both"/>
              <w:rPr>
                <w:rFonts w:cs="Arial"/>
                <w:b/>
                <w:sz w:val="20"/>
              </w:rPr>
            </w:pPr>
            <w:r w:rsidRPr="00FC0CFA">
              <w:rPr>
                <w:rFonts w:cs="Arial"/>
                <w:b/>
                <w:sz w:val="20"/>
              </w:rPr>
              <w:t>MAX</w:t>
            </w:r>
          </w:p>
        </w:tc>
        <w:tc>
          <w:tcPr>
            <w:tcW w:w="913" w:type="dxa"/>
            <w:noWrap/>
            <w:hideMark/>
          </w:tcPr>
          <w:p w:rsidR="00FC0CFA" w:rsidRPr="00FC0CFA" w:rsidRDefault="00FC0CFA" w:rsidP="00FF512D">
            <w:pPr>
              <w:jc w:val="both"/>
              <w:rPr>
                <w:rFonts w:cs="Arial"/>
                <w:b/>
                <w:sz w:val="20"/>
              </w:rPr>
            </w:pPr>
            <w:r w:rsidRPr="00FC0CFA">
              <w:rPr>
                <w:rFonts w:cs="Arial"/>
                <w:b/>
                <w:sz w:val="20"/>
              </w:rPr>
              <w:t>-7.73</w:t>
            </w:r>
          </w:p>
        </w:tc>
        <w:tc>
          <w:tcPr>
            <w:tcW w:w="850" w:type="dxa"/>
            <w:noWrap/>
            <w:hideMark/>
          </w:tcPr>
          <w:p w:rsidR="00FC0CFA" w:rsidRPr="00FC0CFA" w:rsidRDefault="00FC0CFA" w:rsidP="00FF512D">
            <w:pPr>
              <w:jc w:val="both"/>
              <w:rPr>
                <w:rFonts w:cs="Arial"/>
                <w:b/>
                <w:sz w:val="20"/>
              </w:rPr>
            </w:pPr>
            <w:r w:rsidRPr="00FC0CFA">
              <w:rPr>
                <w:rFonts w:cs="Arial"/>
                <w:b/>
                <w:sz w:val="20"/>
              </w:rPr>
              <w:t>-8.33</w:t>
            </w:r>
          </w:p>
        </w:tc>
        <w:tc>
          <w:tcPr>
            <w:tcW w:w="1560" w:type="dxa"/>
            <w:noWrap/>
            <w:hideMark/>
          </w:tcPr>
          <w:p w:rsidR="00FC0CFA" w:rsidRPr="00FC0CFA" w:rsidRDefault="00FC0CFA" w:rsidP="00FF512D">
            <w:pPr>
              <w:jc w:val="both"/>
              <w:rPr>
                <w:rFonts w:cs="Arial"/>
                <w:b/>
                <w:sz w:val="20"/>
              </w:rPr>
            </w:pPr>
            <w:r w:rsidRPr="00FC0CFA">
              <w:rPr>
                <w:rFonts w:cs="Arial"/>
                <w:b/>
                <w:sz w:val="20"/>
              </w:rPr>
              <w:t>-7.69</w:t>
            </w:r>
          </w:p>
        </w:tc>
        <w:tc>
          <w:tcPr>
            <w:tcW w:w="1275" w:type="dxa"/>
            <w:noWrap/>
            <w:hideMark/>
          </w:tcPr>
          <w:p w:rsidR="00FC0CFA" w:rsidRPr="00FC0CFA" w:rsidRDefault="00FC0CFA" w:rsidP="00FF512D">
            <w:pPr>
              <w:jc w:val="both"/>
              <w:rPr>
                <w:rFonts w:cs="Arial"/>
                <w:b/>
                <w:sz w:val="20"/>
              </w:rPr>
            </w:pPr>
            <w:r w:rsidRPr="00FC0CFA">
              <w:rPr>
                <w:rFonts w:cs="Arial"/>
                <w:b/>
                <w:sz w:val="20"/>
              </w:rPr>
              <w:t>0.60</w:t>
            </w:r>
          </w:p>
        </w:tc>
        <w:tc>
          <w:tcPr>
            <w:tcW w:w="1560" w:type="dxa"/>
            <w:noWrap/>
            <w:hideMark/>
          </w:tcPr>
          <w:p w:rsidR="00FC0CFA" w:rsidRPr="00FC0CFA" w:rsidRDefault="00FC0CFA" w:rsidP="00FF512D">
            <w:pPr>
              <w:jc w:val="both"/>
              <w:rPr>
                <w:rFonts w:cs="Arial"/>
                <w:b/>
                <w:sz w:val="20"/>
              </w:rPr>
            </w:pPr>
            <w:r w:rsidRPr="00FC0CFA">
              <w:rPr>
                <w:rFonts w:cs="Arial"/>
                <w:b/>
                <w:sz w:val="20"/>
              </w:rPr>
              <w:t>0.04</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p>
        </w:tc>
        <w:tc>
          <w:tcPr>
            <w:tcW w:w="1275" w:type="dxa"/>
            <w:noWrap/>
            <w:hideMark/>
          </w:tcPr>
          <w:p w:rsidR="00FC0CFA" w:rsidRPr="00FC0CFA" w:rsidRDefault="00FC0CFA" w:rsidP="00FF512D">
            <w:pPr>
              <w:jc w:val="both"/>
              <w:rPr>
                <w:rFonts w:cs="Arial"/>
                <w:sz w:val="20"/>
              </w:rPr>
            </w:pPr>
            <w:r w:rsidRPr="00FC0CFA">
              <w:rPr>
                <w:rFonts w:cs="Arial"/>
                <w:sz w:val="20"/>
              </w:rPr>
              <w:t>13N</w:t>
            </w:r>
          </w:p>
        </w:tc>
        <w:tc>
          <w:tcPr>
            <w:tcW w:w="1072" w:type="dxa"/>
            <w:noWrap/>
            <w:hideMark/>
          </w:tcPr>
          <w:p w:rsidR="00FC0CFA" w:rsidRPr="00FC0CFA" w:rsidRDefault="00FC0CFA" w:rsidP="00FF512D">
            <w:pPr>
              <w:jc w:val="both"/>
              <w:rPr>
                <w:rFonts w:cs="Arial"/>
                <w:sz w:val="20"/>
              </w:rPr>
            </w:pPr>
            <w:r w:rsidRPr="00FC0CFA">
              <w:rPr>
                <w:rFonts w:cs="Arial"/>
                <w:sz w:val="20"/>
              </w:rPr>
              <w:t>MAX</w:t>
            </w:r>
          </w:p>
        </w:tc>
        <w:tc>
          <w:tcPr>
            <w:tcW w:w="913" w:type="dxa"/>
            <w:noWrap/>
            <w:hideMark/>
          </w:tcPr>
          <w:p w:rsidR="00FC0CFA" w:rsidRPr="00FC0CFA" w:rsidRDefault="00FC0CFA" w:rsidP="00FF512D">
            <w:pPr>
              <w:jc w:val="both"/>
              <w:rPr>
                <w:rFonts w:cs="Arial"/>
                <w:sz w:val="20"/>
              </w:rPr>
            </w:pPr>
            <w:r w:rsidRPr="00FC0CFA">
              <w:rPr>
                <w:rFonts w:cs="Arial"/>
                <w:sz w:val="20"/>
              </w:rPr>
              <w:t>-8.23</w:t>
            </w:r>
          </w:p>
        </w:tc>
        <w:tc>
          <w:tcPr>
            <w:tcW w:w="850" w:type="dxa"/>
            <w:noWrap/>
            <w:hideMark/>
          </w:tcPr>
          <w:p w:rsidR="00FC0CFA" w:rsidRPr="00FC0CFA" w:rsidRDefault="00FC0CFA" w:rsidP="00FF512D">
            <w:pPr>
              <w:jc w:val="both"/>
              <w:rPr>
                <w:rFonts w:cs="Arial"/>
                <w:sz w:val="20"/>
              </w:rPr>
            </w:pPr>
            <w:r w:rsidRPr="00FC0CFA">
              <w:rPr>
                <w:rFonts w:cs="Arial"/>
                <w:sz w:val="20"/>
              </w:rPr>
              <w:t>-8.80</w:t>
            </w:r>
          </w:p>
        </w:tc>
        <w:tc>
          <w:tcPr>
            <w:tcW w:w="1560" w:type="dxa"/>
            <w:noWrap/>
            <w:hideMark/>
          </w:tcPr>
          <w:p w:rsidR="00FC0CFA" w:rsidRPr="00FC0CFA" w:rsidRDefault="00FC0CFA" w:rsidP="00FF512D">
            <w:pPr>
              <w:jc w:val="both"/>
              <w:rPr>
                <w:rFonts w:cs="Arial"/>
                <w:sz w:val="20"/>
              </w:rPr>
            </w:pPr>
            <w:r w:rsidRPr="00FC0CFA">
              <w:rPr>
                <w:rFonts w:cs="Arial"/>
                <w:sz w:val="20"/>
              </w:rPr>
              <w:t>-8.21</w:t>
            </w:r>
          </w:p>
        </w:tc>
        <w:tc>
          <w:tcPr>
            <w:tcW w:w="1275" w:type="dxa"/>
            <w:noWrap/>
            <w:hideMark/>
          </w:tcPr>
          <w:p w:rsidR="00FC0CFA" w:rsidRPr="00FC0CFA" w:rsidRDefault="00FC0CFA" w:rsidP="00FF512D">
            <w:pPr>
              <w:jc w:val="both"/>
              <w:rPr>
                <w:rFonts w:cs="Arial"/>
                <w:sz w:val="20"/>
              </w:rPr>
            </w:pPr>
            <w:r w:rsidRPr="00FC0CFA">
              <w:rPr>
                <w:rFonts w:cs="Arial"/>
                <w:sz w:val="20"/>
              </w:rPr>
              <w:t>0.57</w:t>
            </w:r>
          </w:p>
        </w:tc>
        <w:tc>
          <w:tcPr>
            <w:tcW w:w="1560" w:type="dxa"/>
            <w:noWrap/>
            <w:hideMark/>
          </w:tcPr>
          <w:p w:rsidR="00FC0CFA" w:rsidRPr="00FC0CFA" w:rsidRDefault="00FC0CFA" w:rsidP="00FF512D">
            <w:pPr>
              <w:jc w:val="both"/>
              <w:rPr>
                <w:rFonts w:cs="Arial"/>
                <w:sz w:val="20"/>
              </w:rPr>
            </w:pPr>
            <w:r w:rsidRPr="00FC0CFA">
              <w:rPr>
                <w:rFonts w:cs="Arial"/>
                <w:sz w:val="20"/>
              </w:rPr>
              <w:t>0.02</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p>
        </w:tc>
        <w:tc>
          <w:tcPr>
            <w:tcW w:w="1275" w:type="dxa"/>
            <w:noWrap/>
            <w:hideMark/>
          </w:tcPr>
          <w:p w:rsidR="00FC0CFA" w:rsidRPr="00FC0CFA" w:rsidRDefault="00FC0CFA" w:rsidP="00FF512D">
            <w:pPr>
              <w:jc w:val="both"/>
              <w:rPr>
                <w:rFonts w:cs="Arial"/>
                <w:sz w:val="20"/>
              </w:rPr>
            </w:pPr>
            <w:r w:rsidRPr="00FC0CFA">
              <w:rPr>
                <w:rFonts w:cs="Arial"/>
                <w:sz w:val="20"/>
              </w:rPr>
              <w:t>8N</w:t>
            </w:r>
          </w:p>
        </w:tc>
        <w:tc>
          <w:tcPr>
            <w:tcW w:w="1072" w:type="dxa"/>
            <w:noWrap/>
            <w:hideMark/>
          </w:tcPr>
          <w:p w:rsidR="00FC0CFA" w:rsidRPr="00FC0CFA" w:rsidRDefault="00FC0CFA" w:rsidP="00FF512D">
            <w:pPr>
              <w:jc w:val="both"/>
              <w:rPr>
                <w:rFonts w:cs="Arial"/>
                <w:sz w:val="20"/>
              </w:rPr>
            </w:pPr>
            <w:r w:rsidRPr="00FC0CFA">
              <w:rPr>
                <w:rFonts w:cs="Arial"/>
                <w:sz w:val="20"/>
              </w:rPr>
              <w:t>NOM</w:t>
            </w:r>
          </w:p>
        </w:tc>
        <w:tc>
          <w:tcPr>
            <w:tcW w:w="913" w:type="dxa"/>
            <w:noWrap/>
            <w:hideMark/>
          </w:tcPr>
          <w:p w:rsidR="00FC0CFA" w:rsidRPr="00FC0CFA" w:rsidRDefault="00FC0CFA" w:rsidP="00FF512D">
            <w:pPr>
              <w:jc w:val="both"/>
              <w:rPr>
                <w:rFonts w:cs="Arial"/>
                <w:sz w:val="20"/>
              </w:rPr>
            </w:pPr>
            <w:r w:rsidRPr="00FC0CFA">
              <w:rPr>
                <w:rFonts w:cs="Arial"/>
                <w:sz w:val="20"/>
              </w:rPr>
              <w:t>2.71</w:t>
            </w:r>
          </w:p>
        </w:tc>
        <w:tc>
          <w:tcPr>
            <w:tcW w:w="850" w:type="dxa"/>
            <w:noWrap/>
            <w:hideMark/>
          </w:tcPr>
          <w:p w:rsidR="00FC0CFA" w:rsidRPr="00FC0CFA" w:rsidRDefault="00FC0CFA" w:rsidP="00FF512D">
            <w:pPr>
              <w:jc w:val="both"/>
              <w:rPr>
                <w:rFonts w:cs="Arial"/>
                <w:sz w:val="20"/>
              </w:rPr>
            </w:pPr>
            <w:r w:rsidRPr="00FC0CFA">
              <w:rPr>
                <w:rFonts w:cs="Arial"/>
                <w:sz w:val="20"/>
              </w:rPr>
              <w:t>-0.87</w:t>
            </w:r>
          </w:p>
        </w:tc>
        <w:tc>
          <w:tcPr>
            <w:tcW w:w="1560" w:type="dxa"/>
            <w:noWrap/>
            <w:hideMark/>
          </w:tcPr>
          <w:p w:rsidR="00FC0CFA" w:rsidRPr="00FC0CFA" w:rsidRDefault="00FC0CFA" w:rsidP="00FF512D">
            <w:pPr>
              <w:jc w:val="both"/>
              <w:rPr>
                <w:rFonts w:cs="Arial"/>
                <w:sz w:val="20"/>
              </w:rPr>
            </w:pPr>
            <w:r w:rsidRPr="00FC0CFA">
              <w:rPr>
                <w:rFonts w:cs="Arial"/>
                <w:sz w:val="20"/>
              </w:rPr>
              <w:t>2.69</w:t>
            </w:r>
          </w:p>
        </w:tc>
        <w:tc>
          <w:tcPr>
            <w:tcW w:w="1275" w:type="dxa"/>
            <w:noWrap/>
            <w:hideMark/>
          </w:tcPr>
          <w:p w:rsidR="00FC0CFA" w:rsidRPr="00FC0CFA" w:rsidRDefault="00FC0CFA" w:rsidP="00FF512D">
            <w:pPr>
              <w:jc w:val="both"/>
              <w:rPr>
                <w:rFonts w:cs="Arial"/>
                <w:sz w:val="20"/>
              </w:rPr>
            </w:pPr>
            <w:r w:rsidRPr="00FC0CFA">
              <w:rPr>
                <w:rFonts w:cs="Arial"/>
                <w:sz w:val="20"/>
              </w:rPr>
              <w:t>3.58</w:t>
            </w:r>
          </w:p>
        </w:tc>
        <w:tc>
          <w:tcPr>
            <w:tcW w:w="1560" w:type="dxa"/>
            <w:noWrap/>
            <w:hideMark/>
          </w:tcPr>
          <w:p w:rsidR="00FC0CFA" w:rsidRPr="00FC0CFA" w:rsidRDefault="00FC0CFA" w:rsidP="00FF512D">
            <w:pPr>
              <w:jc w:val="both"/>
              <w:rPr>
                <w:rFonts w:cs="Arial"/>
                <w:sz w:val="20"/>
              </w:rPr>
            </w:pPr>
            <w:r w:rsidRPr="00FC0CFA">
              <w:rPr>
                <w:rFonts w:cs="Arial"/>
                <w:sz w:val="20"/>
              </w:rPr>
              <w:t>0.02</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r w:rsidRPr="00FC0CFA">
              <w:rPr>
                <w:rFonts w:cs="Arial"/>
                <w:sz w:val="20"/>
              </w:rPr>
              <w:t>DUT2</w:t>
            </w:r>
          </w:p>
        </w:tc>
        <w:tc>
          <w:tcPr>
            <w:tcW w:w="1275" w:type="dxa"/>
            <w:noWrap/>
            <w:hideMark/>
          </w:tcPr>
          <w:p w:rsidR="00FC0CFA" w:rsidRPr="00FC0CFA" w:rsidRDefault="00FC0CFA" w:rsidP="00FF512D">
            <w:pPr>
              <w:jc w:val="both"/>
              <w:rPr>
                <w:rFonts w:cs="Arial"/>
                <w:sz w:val="20"/>
              </w:rPr>
            </w:pPr>
            <w:r w:rsidRPr="00FC0CFA">
              <w:rPr>
                <w:rFonts w:cs="Arial"/>
                <w:sz w:val="20"/>
              </w:rPr>
              <w:t>2N</w:t>
            </w:r>
          </w:p>
        </w:tc>
        <w:tc>
          <w:tcPr>
            <w:tcW w:w="1072" w:type="dxa"/>
            <w:noWrap/>
            <w:hideMark/>
          </w:tcPr>
          <w:p w:rsidR="00FC0CFA" w:rsidRPr="00FC0CFA" w:rsidRDefault="00FC0CFA" w:rsidP="00FF512D">
            <w:pPr>
              <w:jc w:val="both"/>
              <w:rPr>
                <w:rFonts w:cs="Arial"/>
                <w:sz w:val="20"/>
              </w:rPr>
            </w:pPr>
            <w:r w:rsidRPr="00FC0CFA">
              <w:rPr>
                <w:rFonts w:cs="Arial"/>
                <w:sz w:val="20"/>
              </w:rPr>
              <w:t>MAX</w:t>
            </w:r>
          </w:p>
        </w:tc>
        <w:tc>
          <w:tcPr>
            <w:tcW w:w="913" w:type="dxa"/>
            <w:noWrap/>
            <w:hideMark/>
          </w:tcPr>
          <w:p w:rsidR="00FC0CFA" w:rsidRPr="00FC0CFA" w:rsidRDefault="00FC0CFA" w:rsidP="00FF512D">
            <w:pPr>
              <w:jc w:val="both"/>
              <w:rPr>
                <w:rFonts w:cs="Arial"/>
                <w:sz w:val="20"/>
              </w:rPr>
            </w:pPr>
            <w:r w:rsidRPr="00FC0CFA">
              <w:rPr>
                <w:rFonts w:cs="Arial"/>
                <w:sz w:val="20"/>
              </w:rPr>
              <w:t>-6.64</w:t>
            </w:r>
          </w:p>
        </w:tc>
        <w:tc>
          <w:tcPr>
            <w:tcW w:w="850" w:type="dxa"/>
            <w:noWrap/>
            <w:hideMark/>
          </w:tcPr>
          <w:p w:rsidR="00FC0CFA" w:rsidRPr="00FC0CFA" w:rsidRDefault="00FC0CFA" w:rsidP="00FF512D">
            <w:pPr>
              <w:jc w:val="both"/>
              <w:rPr>
                <w:rFonts w:cs="Arial"/>
                <w:sz w:val="20"/>
              </w:rPr>
            </w:pPr>
            <w:r w:rsidRPr="00FC0CFA">
              <w:rPr>
                <w:rFonts w:cs="Arial"/>
                <w:sz w:val="20"/>
              </w:rPr>
              <w:t>-7.49</w:t>
            </w:r>
          </w:p>
        </w:tc>
        <w:tc>
          <w:tcPr>
            <w:tcW w:w="1560" w:type="dxa"/>
            <w:noWrap/>
            <w:hideMark/>
          </w:tcPr>
          <w:p w:rsidR="00FC0CFA" w:rsidRPr="00FC0CFA" w:rsidRDefault="00FC0CFA" w:rsidP="00FF512D">
            <w:pPr>
              <w:jc w:val="both"/>
              <w:rPr>
                <w:rFonts w:cs="Arial"/>
                <w:sz w:val="20"/>
              </w:rPr>
            </w:pPr>
            <w:r w:rsidRPr="00FC0CFA">
              <w:rPr>
                <w:rFonts w:cs="Arial"/>
                <w:sz w:val="20"/>
              </w:rPr>
              <w:t>-6.65</w:t>
            </w:r>
          </w:p>
        </w:tc>
        <w:tc>
          <w:tcPr>
            <w:tcW w:w="1275" w:type="dxa"/>
            <w:noWrap/>
            <w:hideMark/>
          </w:tcPr>
          <w:p w:rsidR="00FC0CFA" w:rsidRPr="00FC0CFA" w:rsidRDefault="00FC0CFA" w:rsidP="00FF512D">
            <w:pPr>
              <w:jc w:val="both"/>
              <w:rPr>
                <w:rFonts w:cs="Arial"/>
                <w:sz w:val="20"/>
              </w:rPr>
            </w:pPr>
            <w:r w:rsidRPr="00FC0CFA">
              <w:rPr>
                <w:rFonts w:cs="Arial"/>
                <w:sz w:val="20"/>
              </w:rPr>
              <w:t>0.85</w:t>
            </w:r>
          </w:p>
        </w:tc>
        <w:tc>
          <w:tcPr>
            <w:tcW w:w="1560" w:type="dxa"/>
            <w:noWrap/>
            <w:hideMark/>
          </w:tcPr>
          <w:p w:rsidR="00FC0CFA" w:rsidRPr="00FC0CFA" w:rsidRDefault="00FC0CFA" w:rsidP="00FF512D">
            <w:pPr>
              <w:jc w:val="both"/>
              <w:rPr>
                <w:rFonts w:cs="Arial"/>
                <w:sz w:val="20"/>
              </w:rPr>
            </w:pPr>
            <w:r w:rsidRPr="00FC0CFA">
              <w:rPr>
                <w:rFonts w:cs="Arial"/>
                <w:sz w:val="20"/>
              </w:rPr>
              <w:t>0.01</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p>
        </w:tc>
        <w:tc>
          <w:tcPr>
            <w:tcW w:w="1275" w:type="dxa"/>
            <w:noWrap/>
            <w:hideMark/>
          </w:tcPr>
          <w:p w:rsidR="00FC0CFA" w:rsidRPr="00FC0CFA" w:rsidRDefault="00FC0CFA" w:rsidP="00FF512D">
            <w:pPr>
              <w:jc w:val="both"/>
              <w:rPr>
                <w:rFonts w:cs="Arial"/>
                <w:b/>
                <w:sz w:val="20"/>
              </w:rPr>
            </w:pPr>
            <w:r w:rsidRPr="00FC0CFA">
              <w:rPr>
                <w:rFonts w:cs="Arial"/>
                <w:b/>
                <w:sz w:val="20"/>
              </w:rPr>
              <w:t>8N</w:t>
            </w:r>
          </w:p>
        </w:tc>
        <w:tc>
          <w:tcPr>
            <w:tcW w:w="1072" w:type="dxa"/>
            <w:noWrap/>
            <w:hideMark/>
          </w:tcPr>
          <w:p w:rsidR="00FC0CFA" w:rsidRPr="00FC0CFA" w:rsidRDefault="00FC0CFA" w:rsidP="00FF512D">
            <w:pPr>
              <w:jc w:val="both"/>
              <w:rPr>
                <w:rFonts w:cs="Arial"/>
                <w:b/>
                <w:sz w:val="20"/>
              </w:rPr>
            </w:pPr>
            <w:r w:rsidRPr="00FC0CFA">
              <w:rPr>
                <w:rFonts w:cs="Arial"/>
                <w:b/>
                <w:sz w:val="20"/>
              </w:rPr>
              <w:t>MAX</w:t>
            </w:r>
          </w:p>
        </w:tc>
        <w:tc>
          <w:tcPr>
            <w:tcW w:w="913" w:type="dxa"/>
            <w:noWrap/>
            <w:hideMark/>
          </w:tcPr>
          <w:p w:rsidR="00FC0CFA" w:rsidRPr="00FC0CFA" w:rsidRDefault="00FC0CFA" w:rsidP="00FF512D">
            <w:pPr>
              <w:jc w:val="both"/>
              <w:rPr>
                <w:rFonts w:cs="Arial"/>
                <w:b/>
                <w:sz w:val="20"/>
              </w:rPr>
            </w:pPr>
            <w:r w:rsidRPr="00FC0CFA">
              <w:rPr>
                <w:rFonts w:cs="Arial"/>
                <w:b/>
                <w:sz w:val="20"/>
              </w:rPr>
              <w:t>-11.56</w:t>
            </w:r>
          </w:p>
        </w:tc>
        <w:tc>
          <w:tcPr>
            <w:tcW w:w="850" w:type="dxa"/>
            <w:noWrap/>
            <w:hideMark/>
          </w:tcPr>
          <w:p w:rsidR="00FC0CFA" w:rsidRPr="00FC0CFA" w:rsidRDefault="00FC0CFA" w:rsidP="00FF512D">
            <w:pPr>
              <w:jc w:val="both"/>
              <w:rPr>
                <w:rFonts w:cs="Arial"/>
                <w:b/>
                <w:sz w:val="20"/>
              </w:rPr>
            </w:pPr>
            <w:r w:rsidRPr="00FC0CFA">
              <w:rPr>
                <w:rFonts w:cs="Arial"/>
                <w:b/>
                <w:sz w:val="20"/>
              </w:rPr>
              <w:t>-11.89</w:t>
            </w:r>
          </w:p>
        </w:tc>
        <w:tc>
          <w:tcPr>
            <w:tcW w:w="1560" w:type="dxa"/>
            <w:noWrap/>
            <w:hideMark/>
          </w:tcPr>
          <w:p w:rsidR="00FC0CFA" w:rsidRPr="00FC0CFA" w:rsidRDefault="00FC0CFA" w:rsidP="00FF512D">
            <w:pPr>
              <w:jc w:val="both"/>
              <w:rPr>
                <w:rFonts w:cs="Arial"/>
                <w:b/>
                <w:sz w:val="20"/>
              </w:rPr>
            </w:pPr>
            <w:r w:rsidRPr="00FC0CFA">
              <w:rPr>
                <w:rFonts w:cs="Arial"/>
                <w:b/>
                <w:sz w:val="20"/>
              </w:rPr>
              <w:t>-11.51</w:t>
            </w:r>
          </w:p>
        </w:tc>
        <w:tc>
          <w:tcPr>
            <w:tcW w:w="1275" w:type="dxa"/>
            <w:noWrap/>
            <w:hideMark/>
          </w:tcPr>
          <w:p w:rsidR="00FC0CFA" w:rsidRPr="00FC0CFA" w:rsidRDefault="00FC0CFA" w:rsidP="00FF512D">
            <w:pPr>
              <w:jc w:val="both"/>
              <w:rPr>
                <w:rFonts w:cs="Arial"/>
                <w:b/>
                <w:sz w:val="20"/>
              </w:rPr>
            </w:pPr>
            <w:r w:rsidRPr="00FC0CFA">
              <w:rPr>
                <w:rFonts w:cs="Arial"/>
                <w:b/>
                <w:sz w:val="20"/>
              </w:rPr>
              <w:t>0.33</w:t>
            </w:r>
          </w:p>
        </w:tc>
        <w:tc>
          <w:tcPr>
            <w:tcW w:w="1560" w:type="dxa"/>
            <w:noWrap/>
            <w:hideMark/>
          </w:tcPr>
          <w:p w:rsidR="00FC0CFA" w:rsidRPr="00FC0CFA" w:rsidRDefault="00FC0CFA" w:rsidP="00FF512D">
            <w:pPr>
              <w:jc w:val="both"/>
              <w:rPr>
                <w:rFonts w:cs="Arial"/>
                <w:b/>
                <w:sz w:val="20"/>
              </w:rPr>
            </w:pPr>
            <w:r w:rsidRPr="00FC0CFA">
              <w:rPr>
                <w:rFonts w:cs="Arial"/>
                <w:b/>
                <w:sz w:val="20"/>
              </w:rPr>
              <w:t>0.05</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p>
        </w:tc>
        <w:tc>
          <w:tcPr>
            <w:tcW w:w="1275" w:type="dxa"/>
            <w:noWrap/>
            <w:hideMark/>
          </w:tcPr>
          <w:p w:rsidR="00FC0CFA" w:rsidRPr="00FC0CFA" w:rsidRDefault="00FC0CFA" w:rsidP="00FF512D">
            <w:pPr>
              <w:jc w:val="both"/>
              <w:rPr>
                <w:rFonts w:cs="Arial"/>
                <w:sz w:val="20"/>
              </w:rPr>
            </w:pPr>
            <w:r w:rsidRPr="00FC0CFA">
              <w:rPr>
                <w:rFonts w:cs="Arial"/>
                <w:sz w:val="20"/>
              </w:rPr>
              <w:t>13N</w:t>
            </w:r>
          </w:p>
        </w:tc>
        <w:tc>
          <w:tcPr>
            <w:tcW w:w="1072" w:type="dxa"/>
            <w:noWrap/>
            <w:hideMark/>
          </w:tcPr>
          <w:p w:rsidR="00FC0CFA" w:rsidRPr="00FC0CFA" w:rsidRDefault="00FC0CFA" w:rsidP="00FF512D">
            <w:pPr>
              <w:jc w:val="both"/>
              <w:rPr>
                <w:rFonts w:cs="Arial"/>
                <w:sz w:val="20"/>
              </w:rPr>
            </w:pPr>
            <w:r w:rsidRPr="00FC0CFA">
              <w:rPr>
                <w:rFonts w:cs="Arial"/>
                <w:sz w:val="20"/>
              </w:rPr>
              <w:t>MAX</w:t>
            </w:r>
          </w:p>
        </w:tc>
        <w:tc>
          <w:tcPr>
            <w:tcW w:w="913" w:type="dxa"/>
            <w:noWrap/>
            <w:hideMark/>
          </w:tcPr>
          <w:p w:rsidR="00FC0CFA" w:rsidRPr="00FC0CFA" w:rsidRDefault="00FC0CFA" w:rsidP="00FF512D">
            <w:pPr>
              <w:jc w:val="both"/>
              <w:rPr>
                <w:rFonts w:cs="Arial"/>
                <w:sz w:val="20"/>
              </w:rPr>
            </w:pPr>
            <w:r w:rsidRPr="00FC0CFA">
              <w:rPr>
                <w:rFonts w:cs="Arial"/>
                <w:sz w:val="20"/>
              </w:rPr>
              <w:t>-13.40</w:t>
            </w:r>
          </w:p>
        </w:tc>
        <w:tc>
          <w:tcPr>
            <w:tcW w:w="850" w:type="dxa"/>
            <w:noWrap/>
            <w:hideMark/>
          </w:tcPr>
          <w:p w:rsidR="00FC0CFA" w:rsidRPr="00FC0CFA" w:rsidRDefault="00FC0CFA" w:rsidP="00FF512D">
            <w:pPr>
              <w:jc w:val="both"/>
              <w:rPr>
                <w:rFonts w:cs="Arial"/>
                <w:sz w:val="20"/>
              </w:rPr>
            </w:pPr>
            <w:r w:rsidRPr="00FC0CFA">
              <w:rPr>
                <w:rFonts w:cs="Arial"/>
                <w:sz w:val="20"/>
              </w:rPr>
              <w:t>-13.65</w:t>
            </w:r>
          </w:p>
        </w:tc>
        <w:tc>
          <w:tcPr>
            <w:tcW w:w="1560" w:type="dxa"/>
            <w:noWrap/>
            <w:hideMark/>
          </w:tcPr>
          <w:p w:rsidR="00FC0CFA" w:rsidRPr="00FC0CFA" w:rsidRDefault="00FC0CFA" w:rsidP="00FF512D">
            <w:pPr>
              <w:jc w:val="both"/>
              <w:rPr>
                <w:rFonts w:cs="Arial"/>
                <w:sz w:val="20"/>
              </w:rPr>
            </w:pPr>
            <w:r w:rsidRPr="00FC0CFA">
              <w:rPr>
                <w:rFonts w:cs="Arial"/>
                <w:sz w:val="20"/>
              </w:rPr>
              <w:t>-13.38</w:t>
            </w:r>
          </w:p>
        </w:tc>
        <w:tc>
          <w:tcPr>
            <w:tcW w:w="1275" w:type="dxa"/>
            <w:noWrap/>
            <w:hideMark/>
          </w:tcPr>
          <w:p w:rsidR="00FC0CFA" w:rsidRPr="00FC0CFA" w:rsidRDefault="00FC0CFA" w:rsidP="00FF512D">
            <w:pPr>
              <w:jc w:val="both"/>
              <w:rPr>
                <w:rFonts w:cs="Arial"/>
                <w:sz w:val="20"/>
              </w:rPr>
            </w:pPr>
            <w:r w:rsidRPr="00FC0CFA">
              <w:rPr>
                <w:rFonts w:cs="Arial"/>
                <w:sz w:val="20"/>
              </w:rPr>
              <w:t>0.25</w:t>
            </w:r>
          </w:p>
        </w:tc>
        <w:tc>
          <w:tcPr>
            <w:tcW w:w="1560" w:type="dxa"/>
            <w:noWrap/>
            <w:hideMark/>
          </w:tcPr>
          <w:p w:rsidR="00FC0CFA" w:rsidRPr="00FC0CFA" w:rsidRDefault="00FC0CFA" w:rsidP="00FF512D">
            <w:pPr>
              <w:jc w:val="both"/>
              <w:rPr>
                <w:rFonts w:cs="Arial"/>
                <w:sz w:val="20"/>
              </w:rPr>
            </w:pPr>
            <w:r w:rsidRPr="00FC0CFA">
              <w:rPr>
                <w:rFonts w:cs="Arial"/>
                <w:sz w:val="20"/>
              </w:rPr>
              <w:t>0.02</w:t>
            </w:r>
          </w:p>
        </w:tc>
      </w:tr>
      <w:tr w:rsidR="00FC0CFA" w:rsidRPr="00FC0CFA" w:rsidTr="00161881">
        <w:trPr>
          <w:trHeight w:val="300"/>
        </w:trPr>
        <w:tc>
          <w:tcPr>
            <w:tcW w:w="988" w:type="dxa"/>
            <w:noWrap/>
            <w:hideMark/>
          </w:tcPr>
          <w:p w:rsidR="00FC0CFA" w:rsidRPr="00FC0CFA" w:rsidRDefault="00FC0CFA" w:rsidP="00FF512D">
            <w:pPr>
              <w:jc w:val="both"/>
              <w:rPr>
                <w:rFonts w:cs="Arial"/>
                <w:sz w:val="20"/>
              </w:rPr>
            </w:pPr>
          </w:p>
        </w:tc>
        <w:tc>
          <w:tcPr>
            <w:tcW w:w="1275" w:type="dxa"/>
            <w:noWrap/>
            <w:hideMark/>
          </w:tcPr>
          <w:p w:rsidR="00FC0CFA" w:rsidRPr="00FC0CFA" w:rsidRDefault="00FC0CFA" w:rsidP="00FF512D">
            <w:pPr>
              <w:jc w:val="both"/>
              <w:rPr>
                <w:rFonts w:cs="Arial"/>
                <w:sz w:val="20"/>
              </w:rPr>
            </w:pPr>
            <w:r w:rsidRPr="00FC0CFA">
              <w:rPr>
                <w:rFonts w:cs="Arial"/>
                <w:sz w:val="20"/>
              </w:rPr>
              <w:t>8N</w:t>
            </w:r>
          </w:p>
        </w:tc>
        <w:tc>
          <w:tcPr>
            <w:tcW w:w="1072" w:type="dxa"/>
            <w:noWrap/>
            <w:hideMark/>
          </w:tcPr>
          <w:p w:rsidR="00FC0CFA" w:rsidRPr="00FC0CFA" w:rsidRDefault="00FC0CFA" w:rsidP="00FF512D">
            <w:pPr>
              <w:jc w:val="both"/>
              <w:rPr>
                <w:rFonts w:cs="Arial"/>
                <w:sz w:val="20"/>
              </w:rPr>
            </w:pPr>
            <w:r w:rsidRPr="00FC0CFA">
              <w:rPr>
                <w:rFonts w:cs="Arial"/>
                <w:sz w:val="20"/>
              </w:rPr>
              <w:t>NOM</w:t>
            </w:r>
          </w:p>
        </w:tc>
        <w:tc>
          <w:tcPr>
            <w:tcW w:w="913" w:type="dxa"/>
            <w:noWrap/>
            <w:hideMark/>
          </w:tcPr>
          <w:p w:rsidR="00FC0CFA" w:rsidRPr="00FC0CFA" w:rsidRDefault="00FC0CFA" w:rsidP="00FF512D">
            <w:pPr>
              <w:jc w:val="both"/>
              <w:rPr>
                <w:rFonts w:cs="Arial"/>
                <w:sz w:val="20"/>
              </w:rPr>
            </w:pPr>
            <w:r w:rsidRPr="00FC0CFA">
              <w:rPr>
                <w:rFonts w:cs="Arial"/>
                <w:sz w:val="20"/>
              </w:rPr>
              <w:t>0.44</w:t>
            </w:r>
          </w:p>
        </w:tc>
        <w:tc>
          <w:tcPr>
            <w:tcW w:w="850" w:type="dxa"/>
            <w:noWrap/>
            <w:hideMark/>
          </w:tcPr>
          <w:p w:rsidR="00FC0CFA" w:rsidRPr="00FC0CFA" w:rsidRDefault="00FC0CFA" w:rsidP="00FF512D">
            <w:pPr>
              <w:jc w:val="both"/>
              <w:rPr>
                <w:rFonts w:cs="Arial"/>
                <w:sz w:val="20"/>
              </w:rPr>
            </w:pPr>
            <w:r w:rsidRPr="00FC0CFA">
              <w:rPr>
                <w:rFonts w:cs="Arial"/>
                <w:sz w:val="20"/>
              </w:rPr>
              <w:t>-2.28</w:t>
            </w:r>
          </w:p>
        </w:tc>
        <w:tc>
          <w:tcPr>
            <w:tcW w:w="1560" w:type="dxa"/>
            <w:noWrap/>
            <w:hideMark/>
          </w:tcPr>
          <w:p w:rsidR="00FC0CFA" w:rsidRPr="00FC0CFA" w:rsidRDefault="00FC0CFA" w:rsidP="00FF512D">
            <w:pPr>
              <w:jc w:val="both"/>
              <w:rPr>
                <w:rFonts w:cs="Arial"/>
                <w:sz w:val="20"/>
              </w:rPr>
            </w:pPr>
            <w:r w:rsidRPr="00FC0CFA">
              <w:rPr>
                <w:rFonts w:cs="Arial"/>
                <w:sz w:val="20"/>
              </w:rPr>
              <w:t>0.48</w:t>
            </w:r>
          </w:p>
        </w:tc>
        <w:tc>
          <w:tcPr>
            <w:tcW w:w="1275" w:type="dxa"/>
            <w:noWrap/>
            <w:hideMark/>
          </w:tcPr>
          <w:p w:rsidR="00FC0CFA" w:rsidRPr="00FC0CFA" w:rsidRDefault="00FC0CFA" w:rsidP="00FF512D">
            <w:pPr>
              <w:jc w:val="both"/>
              <w:rPr>
                <w:rFonts w:cs="Arial"/>
                <w:sz w:val="20"/>
              </w:rPr>
            </w:pPr>
            <w:r w:rsidRPr="00FC0CFA">
              <w:rPr>
                <w:rFonts w:cs="Arial"/>
                <w:sz w:val="20"/>
              </w:rPr>
              <w:t>2.72</w:t>
            </w:r>
          </w:p>
        </w:tc>
        <w:tc>
          <w:tcPr>
            <w:tcW w:w="1560" w:type="dxa"/>
            <w:noWrap/>
            <w:hideMark/>
          </w:tcPr>
          <w:p w:rsidR="00FC0CFA" w:rsidRPr="00FC0CFA" w:rsidRDefault="00FC0CFA" w:rsidP="00FF512D">
            <w:pPr>
              <w:jc w:val="both"/>
              <w:rPr>
                <w:rFonts w:cs="Arial"/>
                <w:sz w:val="20"/>
              </w:rPr>
            </w:pPr>
            <w:r w:rsidRPr="00FC0CFA">
              <w:rPr>
                <w:rFonts w:cs="Arial"/>
                <w:sz w:val="20"/>
              </w:rPr>
              <w:t>0.04</w:t>
            </w:r>
          </w:p>
        </w:tc>
      </w:tr>
    </w:tbl>
    <w:p w:rsidR="006436FD" w:rsidRDefault="006436FD" w:rsidP="00FF512D">
      <w:pPr>
        <w:jc w:val="both"/>
        <w:rPr>
          <w:lang w:val="en-US"/>
        </w:rPr>
      </w:pPr>
    </w:p>
    <w:p w:rsidR="007D384E" w:rsidRDefault="007D384E" w:rsidP="00FF512D">
      <w:pPr>
        <w:jc w:val="both"/>
        <w:rPr>
          <w:lang w:val="en-US"/>
        </w:rPr>
      </w:pPr>
      <w:r>
        <w:rPr>
          <w:lang w:val="en-US"/>
        </w:rPr>
        <w:t xml:space="preserve">In general it can be observed that calculating the RLR on the noisy signal provides values close to </w:t>
      </w:r>
      <w:r w:rsidR="00D7488C">
        <w:rPr>
          <w:lang w:val="en-US"/>
        </w:rPr>
        <w:t xml:space="preserve">the </w:t>
      </w:r>
      <w:r>
        <w:rPr>
          <w:lang w:val="en-US"/>
        </w:rPr>
        <w:t xml:space="preserve">one measured in silence condition (since the devices behave identical in noise and in silence). The error </w:t>
      </w:r>
      <w:r w:rsidR="00133134">
        <w:rPr>
          <w:lang w:val="en-US"/>
        </w:rPr>
        <w:t xml:space="preserve">observed for these terminals </w:t>
      </w:r>
      <w:r>
        <w:rPr>
          <w:lang w:val="en-US"/>
        </w:rPr>
        <w:t>(8N, max. volume setting) is in the range of &lt; 0.6 dB, while the error for the proposed noise compensation method remains below 0.05 dB.</w:t>
      </w:r>
    </w:p>
    <w:p w:rsidR="007D384E" w:rsidRDefault="007D384E" w:rsidP="00FF512D">
      <w:pPr>
        <w:jc w:val="both"/>
        <w:rPr>
          <w:lang w:val="en-US"/>
        </w:rPr>
      </w:pPr>
    </w:p>
    <w:p w:rsidR="004C6AD8" w:rsidRPr="00C50FEB" w:rsidRDefault="004C6AD8" w:rsidP="00FF512D">
      <w:pPr>
        <w:pStyle w:val="berschrift1"/>
        <w:numPr>
          <w:ilvl w:val="0"/>
          <w:numId w:val="7"/>
        </w:numPr>
        <w:jc w:val="both"/>
        <w:rPr>
          <w:rFonts w:eastAsia="Times New Roman"/>
          <w:b/>
        </w:rPr>
      </w:pPr>
      <w:r>
        <w:rPr>
          <w:rFonts w:eastAsia="Times New Roman"/>
          <w:b/>
        </w:rPr>
        <w:t>Conclusion</w:t>
      </w:r>
    </w:p>
    <w:p w:rsidR="009F1F26" w:rsidRDefault="009F1F26" w:rsidP="00FF512D">
      <w:pPr>
        <w:jc w:val="both"/>
        <w:rPr>
          <w:lang w:val="en-US"/>
        </w:rPr>
      </w:pPr>
      <w:r>
        <w:rPr>
          <w:lang w:val="en-US"/>
        </w:rPr>
        <w:t>The calculation of RLR based on the noisy recording in general provides a good estimate for the behavior under noisy conditions. However, errors up to 0.6 dB may provide a higher risk for test failure, especially for louder phones.</w:t>
      </w:r>
    </w:p>
    <w:p w:rsidR="007D384E" w:rsidRDefault="007D384E" w:rsidP="00FF512D">
      <w:pPr>
        <w:jc w:val="both"/>
        <w:rPr>
          <w:lang w:val="en-US"/>
        </w:rPr>
      </w:pPr>
      <w:r>
        <w:rPr>
          <w:lang w:val="en-US"/>
        </w:rPr>
        <w:t>The proposed method of time-synchronous noise compensating obtains also stable results for other scenarios (different application forces and volume settings) and seems to be more robust in general.</w:t>
      </w:r>
      <w:r w:rsidR="009F1F26">
        <w:rPr>
          <w:lang w:val="en-US"/>
        </w:rPr>
        <w:t xml:space="preserve"> </w:t>
      </w:r>
      <w:r w:rsidR="00133134">
        <w:rPr>
          <w:lang w:val="en-US"/>
        </w:rPr>
        <w:t xml:space="preserve">The method has the inherent advantage that any RLR calculation is purely based on the receive signal itself regardless which enhancement technology is used and almost regardless of the signal to noise ratio at the receive side. The test in any event will properly activate any potential near end listing enhancement technology since the background noise is present during the actual test. </w:t>
      </w:r>
      <w:r w:rsidR="009F1F26">
        <w:rPr>
          <w:lang w:val="en-US"/>
        </w:rPr>
        <w:t xml:space="preserve">The method should be considered for a possible update of </w:t>
      </w:r>
      <w:sdt>
        <w:sdtPr>
          <w:rPr>
            <w:lang w:val="en-US"/>
          </w:rPr>
          <w:id w:val="1170593822"/>
          <w:citation/>
        </w:sdtPr>
        <w:sdtEndPr/>
        <w:sdtContent>
          <w:r w:rsidR="009F1F26">
            <w:rPr>
              <w:lang w:val="en-US"/>
            </w:rPr>
            <w:fldChar w:fldCharType="begin"/>
          </w:r>
          <w:r w:rsidR="009F1F26" w:rsidRPr="000D164E">
            <w:rPr>
              <w:lang w:val="en-US"/>
            </w:rPr>
            <w:instrText xml:space="preserve"> CITATION 3GPR \l 1031 </w:instrText>
          </w:r>
          <w:r w:rsidR="009F1F26">
            <w:rPr>
              <w:lang w:val="en-US"/>
            </w:rPr>
            <w:fldChar w:fldCharType="separate"/>
          </w:r>
          <w:r w:rsidR="009F1F26" w:rsidRPr="000D164E">
            <w:rPr>
              <w:noProof/>
              <w:lang w:val="en-US"/>
            </w:rPr>
            <w:t>[2]</w:t>
          </w:r>
          <w:r w:rsidR="009F1F26">
            <w:rPr>
              <w:lang w:val="en-US"/>
            </w:rPr>
            <w:fldChar w:fldCharType="end"/>
          </w:r>
        </w:sdtContent>
      </w:sdt>
      <w:r w:rsidR="009F1F26">
        <w:rPr>
          <w:lang w:val="en-US"/>
        </w:rPr>
        <w:t>.</w:t>
      </w:r>
    </w:p>
    <w:p w:rsidR="009F1F26" w:rsidRDefault="009F1F26" w:rsidP="00FF512D">
      <w:pPr>
        <w:jc w:val="both"/>
        <w:rPr>
          <w:lang w:val="en-US"/>
        </w:rPr>
      </w:pPr>
    </w:p>
    <w:p w:rsidR="004C6AD8" w:rsidRDefault="004C6AD8" w:rsidP="00FF512D">
      <w:pPr>
        <w:pStyle w:val="berschrift1"/>
        <w:numPr>
          <w:ilvl w:val="0"/>
          <w:numId w:val="7"/>
        </w:numPr>
        <w:jc w:val="both"/>
        <w:rPr>
          <w:rFonts w:eastAsia="Times New Roman"/>
          <w:b/>
        </w:rPr>
      </w:pPr>
      <w:r>
        <w:rPr>
          <w:rFonts w:eastAsia="Times New Roman"/>
          <w:b/>
        </w:rPr>
        <w:t>References</w:t>
      </w:r>
    </w:p>
    <w:p w:rsidR="003C2878" w:rsidRDefault="00D331BF" w:rsidP="00FF512D">
      <w:pPr>
        <w:jc w:val="both"/>
        <w:rPr>
          <w:rFonts w:ascii="Times New Roman" w:hAnsi="Times New Roman"/>
          <w:noProof/>
          <w:sz w:val="20"/>
          <w:lang w:val="de-DE" w:eastAsia="de-DE"/>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3C2878">
        <w:trPr>
          <w:divId w:val="955795758"/>
          <w:tblCellSpacing w:w="15" w:type="dxa"/>
        </w:trPr>
        <w:tc>
          <w:tcPr>
            <w:tcW w:w="50" w:type="pct"/>
            <w:hideMark/>
          </w:tcPr>
          <w:p w:rsidR="003C2878" w:rsidRDefault="003C2878" w:rsidP="00FF512D">
            <w:pPr>
              <w:pStyle w:val="Literaturverzeichnis"/>
              <w:jc w:val="both"/>
              <w:rPr>
                <w:noProof/>
                <w:sz w:val="24"/>
                <w:szCs w:val="24"/>
                <w:lang w:val="de-DE"/>
              </w:rPr>
            </w:pPr>
            <w:r>
              <w:rPr>
                <w:noProof/>
                <w:lang w:val="de-DE"/>
              </w:rPr>
              <w:t xml:space="preserve">[1] </w:t>
            </w:r>
          </w:p>
        </w:tc>
        <w:tc>
          <w:tcPr>
            <w:tcW w:w="0" w:type="auto"/>
            <w:hideMark/>
          </w:tcPr>
          <w:p w:rsidR="003C2878" w:rsidRPr="00133134" w:rsidRDefault="003C2878" w:rsidP="00FF512D">
            <w:pPr>
              <w:pStyle w:val="Literaturverzeichnis"/>
              <w:jc w:val="both"/>
              <w:rPr>
                <w:noProof/>
                <w:lang w:val="en-US"/>
              </w:rPr>
            </w:pPr>
            <w:r w:rsidRPr="00133134">
              <w:rPr>
                <w:noProof/>
                <w:lang w:val="en-US"/>
              </w:rPr>
              <w:t>3GPP S4-171356, „New WID on Receive acoustic output test in the presence of background noise (RAOT),“ Sony Mobile Communications, ORANGE, Qualcomm Incorporated, Apple (UK) Limited, Albuquerque, NM, USA, 2017.</w:t>
            </w:r>
          </w:p>
        </w:tc>
      </w:tr>
      <w:tr w:rsidR="003C2878">
        <w:trPr>
          <w:divId w:val="955795758"/>
          <w:tblCellSpacing w:w="15" w:type="dxa"/>
        </w:trPr>
        <w:tc>
          <w:tcPr>
            <w:tcW w:w="50" w:type="pct"/>
            <w:hideMark/>
          </w:tcPr>
          <w:p w:rsidR="003C2878" w:rsidRDefault="003C2878" w:rsidP="00FF512D">
            <w:pPr>
              <w:pStyle w:val="Literaturverzeichnis"/>
              <w:jc w:val="both"/>
              <w:rPr>
                <w:noProof/>
                <w:lang w:val="de-DE"/>
              </w:rPr>
            </w:pPr>
            <w:r>
              <w:rPr>
                <w:noProof/>
                <w:lang w:val="de-DE"/>
              </w:rPr>
              <w:t xml:space="preserve">[2] </w:t>
            </w:r>
          </w:p>
        </w:tc>
        <w:tc>
          <w:tcPr>
            <w:tcW w:w="0" w:type="auto"/>
            <w:hideMark/>
          </w:tcPr>
          <w:p w:rsidR="003C2878" w:rsidRPr="00133134" w:rsidRDefault="003C2878" w:rsidP="00FF512D">
            <w:pPr>
              <w:pStyle w:val="Literaturverzeichnis"/>
              <w:jc w:val="both"/>
              <w:rPr>
                <w:noProof/>
                <w:lang w:val="en-US"/>
              </w:rPr>
            </w:pPr>
            <w:r w:rsidRPr="00133134">
              <w:rPr>
                <w:noProof/>
                <w:lang w:val="en-US"/>
              </w:rPr>
              <w:t xml:space="preserve">3GPP TS 26.132, „Speech and video telephony terminal acoustic test specification,“ Release 14.1.0. </w:t>
            </w:r>
          </w:p>
        </w:tc>
      </w:tr>
      <w:tr w:rsidR="003C2878">
        <w:trPr>
          <w:divId w:val="955795758"/>
          <w:tblCellSpacing w:w="15" w:type="dxa"/>
        </w:trPr>
        <w:tc>
          <w:tcPr>
            <w:tcW w:w="50" w:type="pct"/>
            <w:hideMark/>
          </w:tcPr>
          <w:p w:rsidR="003C2878" w:rsidRDefault="003C2878" w:rsidP="00FF512D">
            <w:pPr>
              <w:pStyle w:val="Literaturverzeichnis"/>
              <w:jc w:val="both"/>
              <w:rPr>
                <w:noProof/>
                <w:lang w:val="de-DE"/>
              </w:rPr>
            </w:pPr>
            <w:r>
              <w:rPr>
                <w:noProof/>
                <w:lang w:val="de-DE"/>
              </w:rPr>
              <w:t xml:space="preserve">[3] </w:t>
            </w:r>
          </w:p>
        </w:tc>
        <w:tc>
          <w:tcPr>
            <w:tcW w:w="0" w:type="auto"/>
            <w:hideMark/>
          </w:tcPr>
          <w:p w:rsidR="003C2878" w:rsidRPr="00133134" w:rsidRDefault="003C2878" w:rsidP="00FF512D">
            <w:pPr>
              <w:pStyle w:val="Literaturverzeichnis"/>
              <w:jc w:val="both"/>
              <w:rPr>
                <w:noProof/>
                <w:lang w:val="en-US"/>
              </w:rPr>
            </w:pPr>
            <w:r w:rsidRPr="00133134">
              <w:rPr>
                <w:noProof/>
                <w:lang w:val="en-US"/>
              </w:rPr>
              <w:t xml:space="preserve">ETSI TS 103 224 v1.2.1, „Speech and multimedia Transmission Quality (STQ);. A sound field reproduction method for terminal testing including a background noise database,“ 08/2015. </w:t>
            </w:r>
          </w:p>
        </w:tc>
      </w:tr>
      <w:tr w:rsidR="003C2878">
        <w:trPr>
          <w:divId w:val="955795758"/>
          <w:tblCellSpacing w:w="15" w:type="dxa"/>
        </w:trPr>
        <w:tc>
          <w:tcPr>
            <w:tcW w:w="50" w:type="pct"/>
            <w:hideMark/>
          </w:tcPr>
          <w:p w:rsidR="003C2878" w:rsidRDefault="003C2878" w:rsidP="00FF512D">
            <w:pPr>
              <w:pStyle w:val="Literaturverzeichnis"/>
              <w:jc w:val="both"/>
              <w:rPr>
                <w:noProof/>
                <w:lang w:val="de-DE"/>
              </w:rPr>
            </w:pPr>
            <w:r>
              <w:rPr>
                <w:noProof/>
                <w:lang w:val="de-DE"/>
              </w:rPr>
              <w:lastRenderedPageBreak/>
              <w:t xml:space="preserve">[4] </w:t>
            </w:r>
          </w:p>
        </w:tc>
        <w:tc>
          <w:tcPr>
            <w:tcW w:w="0" w:type="auto"/>
            <w:hideMark/>
          </w:tcPr>
          <w:p w:rsidR="003C2878" w:rsidRPr="00133134" w:rsidRDefault="003C2878" w:rsidP="00FF512D">
            <w:pPr>
              <w:pStyle w:val="Literaturverzeichnis"/>
              <w:jc w:val="both"/>
              <w:rPr>
                <w:noProof/>
                <w:lang w:val="en-US"/>
              </w:rPr>
            </w:pPr>
            <w:r w:rsidRPr="00133134">
              <w:rPr>
                <w:noProof/>
                <w:lang w:val="en-US"/>
              </w:rPr>
              <w:t xml:space="preserve">3GPP TS 26.131, „Terminal acoustic characteristics for telephony; Requirements,“ Release 14.1.0. </w:t>
            </w:r>
          </w:p>
        </w:tc>
      </w:tr>
      <w:tr w:rsidR="003C2878">
        <w:trPr>
          <w:divId w:val="955795758"/>
          <w:tblCellSpacing w:w="15" w:type="dxa"/>
        </w:trPr>
        <w:tc>
          <w:tcPr>
            <w:tcW w:w="50" w:type="pct"/>
            <w:hideMark/>
          </w:tcPr>
          <w:p w:rsidR="003C2878" w:rsidRDefault="003C2878" w:rsidP="00FF512D">
            <w:pPr>
              <w:pStyle w:val="Literaturverzeichnis"/>
              <w:jc w:val="both"/>
              <w:rPr>
                <w:noProof/>
                <w:lang w:val="de-DE"/>
              </w:rPr>
            </w:pPr>
            <w:r>
              <w:rPr>
                <w:noProof/>
                <w:lang w:val="de-DE"/>
              </w:rPr>
              <w:t xml:space="preserve">[5] </w:t>
            </w:r>
          </w:p>
        </w:tc>
        <w:tc>
          <w:tcPr>
            <w:tcW w:w="0" w:type="auto"/>
            <w:hideMark/>
          </w:tcPr>
          <w:p w:rsidR="003C2878" w:rsidRPr="00133134" w:rsidRDefault="003C2878" w:rsidP="00FF512D">
            <w:pPr>
              <w:pStyle w:val="Literaturverzeichnis"/>
              <w:jc w:val="both"/>
              <w:rPr>
                <w:noProof/>
                <w:lang w:val="en-US"/>
              </w:rPr>
            </w:pPr>
            <w:r w:rsidRPr="00133134">
              <w:rPr>
                <w:noProof/>
                <w:lang w:val="en-US"/>
              </w:rPr>
              <w:t>ETSI ES 202 396-1 v1.6.1, „Speech Processing, Transmission and Quality Aspects (STQ); Speech quality performance,“ 06/2015.</w:t>
            </w:r>
          </w:p>
        </w:tc>
      </w:tr>
    </w:tbl>
    <w:p w:rsidR="004C6AD8" w:rsidRPr="004E2448" w:rsidRDefault="00D331BF" w:rsidP="00FF512D">
      <w:pPr>
        <w:jc w:val="both"/>
        <w:rPr>
          <w:lang w:val="en-US"/>
        </w:rPr>
      </w:pPr>
      <w:r>
        <w:fldChar w:fldCharType="end"/>
      </w:r>
    </w:p>
    <w:sectPr w:rsidR="004C6AD8" w:rsidRPr="004E2448"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804" w:rsidRDefault="00624804">
      <w:r>
        <w:separator/>
      </w:r>
    </w:p>
  </w:endnote>
  <w:endnote w:type="continuationSeparator" w:id="0">
    <w:p w:rsidR="00624804" w:rsidRDefault="0062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1D4C9D">
      <w:rPr>
        <w:rStyle w:val="Seitenzahl"/>
        <w:b/>
        <w:noProof/>
        <w:sz w:val="18"/>
      </w:rPr>
      <w:t>2</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1D4C9D">
      <w:rPr>
        <w:rStyle w:val="Seitenzahl"/>
        <w:b/>
        <w:noProof/>
        <w:sz w:val="18"/>
      </w:rPr>
      <w:t>4</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1D4C9D">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1D4C9D">
      <w:rPr>
        <w:rStyle w:val="Seitenzahl"/>
        <w:b/>
        <w:noProof/>
        <w:sz w:val="18"/>
      </w:rPr>
      <w:t>4</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804" w:rsidRDefault="00624804">
      <w:r>
        <w:separator/>
      </w:r>
    </w:p>
  </w:footnote>
  <w:footnote w:type="continuationSeparator" w:id="0">
    <w:p w:rsidR="00624804" w:rsidRDefault="0062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106" w:rsidRPr="00376AD1" w:rsidRDefault="00CA2106" w:rsidP="00CA2106">
    <w:pPr>
      <w:tabs>
        <w:tab w:val="right" w:pos="9356"/>
      </w:tabs>
      <w:spacing w:after="0"/>
      <w:rPr>
        <w:rFonts w:cs="Arial"/>
        <w:b/>
        <w:i/>
        <w:color w:val="FF0000"/>
      </w:rPr>
    </w:pPr>
    <w:r>
      <w:rPr>
        <w:rFonts w:cs="Arial"/>
        <w:lang w:val="en-US"/>
      </w:rPr>
      <w:t>TSG SA4#97</w:t>
    </w:r>
    <w:r w:rsidRPr="0099160C">
      <w:rPr>
        <w:rFonts w:cs="Arial"/>
        <w:lang w:val="en-US"/>
      </w:rPr>
      <w:t xml:space="preserve"> meeting</w:t>
    </w:r>
    <w:r w:rsidRPr="0099160C">
      <w:rPr>
        <w:rFonts w:cs="Arial"/>
        <w:b/>
        <w:i/>
      </w:rPr>
      <w:tab/>
    </w:r>
    <w:proofErr w:type="spellStart"/>
    <w:r>
      <w:rPr>
        <w:rFonts w:cs="Arial"/>
        <w:b/>
        <w:i/>
        <w:sz w:val="28"/>
        <w:szCs w:val="28"/>
      </w:rPr>
      <w:t>Tdoc</w:t>
    </w:r>
    <w:proofErr w:type="spellEnd"/>
    <w:r>
      <w:rPr>
        <w:rFonts w:cs="Arial"/>
        <w:b/>
        <w:i/>
        <w:sz w:val="28"/>
        <w:szCs w:val="28"/>
      </w:rPr>
      <w:t xml:space="preserve"> </w:t>
    </w:r>
    <w:r w:rsidRPr="00F164C2">
      <w:rPr>
        <w:rFonts w:cs="Arial"/>
        <w:b/>
        <w:i/>
        <w:sz w:val="28"/>
        <w:szCs w:val="28"/>
      </w:rPr>
      <w:t>S4-</w:t>
    </w:r>
    <w:r w:rsidR="00D7488C">
      <w:rPr>
        <w:rFonts w:cs="Arial"/>
        <w:b/>
        <w:i/>
        <w:sz w:val="28"/>
        <w:szCs w:val="28"/>
      </w:rPr>
      <w:t>180063</w:t>
    </w:r>
  </w:p>
  <w:p w:rsidR="004435C0" w:rsidRPr="00CA2106" w:rsidRDefault="00CA2106" w:rsidP="00CA2106">
    <w:pPr>
      <w:tabs>
        <w:tab w:val="right" w:pos="9360"/>
      </w:tabs>
      <w:spacing w:after="0"/>
      <w:rPr>
        <w:sz w:val="20"/>
      </w:rPr>
    </w:pPr>
    <w:r>
      <w:rPr>
        <w:rFonts w:cs="Arial"/>
        <w:lang w:eastAsia="zh-CN"/>
      </w:rPr>
      <w:t xml:space="preserve">02-05 February 2018, </w:t>
    </w:r>
    <w:r w:rsidRPr="00931770">
      <w:rPr>
        <w:rFonts w:cs="Arial"/>
        <w:lang w:eastAsia="zh-CN"/>
      </w:rPr>
      <w:t>Fukuoka</w:t>
    </w:r>
    <w:r>
      <w:rPr>
        <w:rFonts w:cs="Arial"/>
        <w:lang w:eastAsia="zh-CN"/>
      </w:rPr>
      <w:t>, Japan</w:t>
    </w:r>
    <w:r>
      <w:rPr>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37917"/>
    <w:multiLevelType w:val="hybridMultilevel"/>
    <w:tmpl w:val="56D81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2762A5"/>
    <w:multiLevelType w:val="hybridMultilevel"/>
    <w:tmpl w:val="F4A60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2"/>
  </w:num>
  <w:num w:numId="4">
    <w:abstractNumId w:val="3"/>
  </w:num>
  <w:num w:numId="5">
    <w:abstractNumId w:val="7"/>
  </w:num>
  <w:num w:numId="6">
    <w:abstractNumId w:val="9"/>
  </w:num>
  <w:num w:numId="7">
    <w:abstractNumId w:val="8"/>
  </w:num>
  <w:num w:numId="8">
    <w:abstractNumId w:val="5"/>
  </w:num>
  <w:num w:numId="9">
    <w:abstractNumId w:val="6"/>
  </w:num>
  <w:num w:numId="10">
    <w:abstractNumId w:val="4"/>
  </w:num>
  <w:num w:numId="1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4D6D"/>
    <w:rsid w:val="00025795"/>
    <w:rsid w:val="00025966"/>
    <w:rsid w:val="00025AD2"/>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3ADA"/>
    <w:rsid w:val="000348D8"/>
    <w:rsid w:val="00035905"/>
    <w:rsid w:val="00035F5A"/>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2DC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164E"/>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134"/>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1881"/>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5DA8"/>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4C9D"/>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AA0"/>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07A24"/>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6DFE"/>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769"/>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3B41"/>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3CCD"/>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016B"/>
    <w:rsid w:val="003C10BA"/>
    <w:rsid w:val="003C1749"/>
    <w:rsid w:val="003C1A0B"/>
    <w:rsid w:val="003C1CDB"/>
    <w:rsid w:val="003C24B1"/>
    <w:rsid w:val="003C2878"/>
    <w:rsid w:val="003C2B30"/>
    <w:rsid w:val="003C3420"/>
    <w:rsid w:val="003C3CCE"/>
    <w:rsid w:val="003C546D"/>
    <w:rsid w:val="003C71F0"/>
    <w:rsid w:val="003D058A"/>
    <w:rsid w:val="003D13DB"/>
    <w:rsid w:val="003D1787"/>
    <w:rsid w:val="003D197F"/>
    <w:rsid w:val="003D1E7A"/>
    <w:rsid w:val="003D1ECB"/>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6DCA"/>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5279"/>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6AD8"/>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9E1"/>
    <w:rsid w:val="005A1A39"/>
    <w:rsid w:val="005A1D89"/>
    <w:rsid w:val="005A204F"/>
    <w:rsid w:val="005A2348"/>
    <w:rsid w:val="005A258D"/>
    <w:rsid w:val="005A2684"/>
    <w:rsid w:val="005A26F2"/>
    <w:rsid w:val="005A2B1D"/>
    <w:rsid w:val="005A2B67"/>
    <w:rsid w:val="005A2C1C"/>
    <w:rsid w:val="005A2ED9"/>
    <w:rsid w:val="005A39AF"/>
    <w:rsid w:val="005A3B80"/>
    <w:rsid w:val="005A40C0"/>
    <w:rsid w:val="005A4178"/>
    <w:rsid w:val="005A46E9"/>
    <w:rsid w:val="005A4DBF"/>
    <w:rsid w:val="005A592B"/>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A41"/>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804"/>
    <w:rsid w:val="00624F27"/>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6FD"/>
    <w:rsid w:val="00643DD0"/>
    <w:rsid w:val="0064531C"/>
    <w:rsid w:val="00645768"/>
    <w:rsid w:val="00645794"/>
    <w:rsid w:val="00645D1E"/>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50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2D12"/>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84E"/>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1F3"/>
    <w:rsid w:val="008658E7"/>
    <w:rsid w:val="0086608D"/>
    <w:rsid w:val="008671EF"/>
    <w:rsid w:val="0086727F"/>
    <w:rsid w:val="00867852"/>
    <w:rsid w:val="00867CC8"/>
    <w:rsid w:val="00870143"/>
    <w:rsid w:val="0087017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8A7"/>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28B1"/>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4D1D"/>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1F26"/>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4ECF"/>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4DF"/>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375"/>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693"/>
    <w:rsid w:val="00B64982"/>
    <w:rsid w:val="00B64C91"/>
    <w:rsid w:val="00B65455"/>
    <w:rsid w:val="00B65EA0"/>
    <w:rsid w:val="00B6634F"/>
    <w:rsid w:val="00B668D7"/>
    <w:rsid w:val="00B66F8B"/>
    <w:rsid w:val="00B674BB"/>
    <w:rsid w:val="00B67B6E"/>
    <w:rsid w:val="00B71BCB"/>
    <w:rsid w:val="00B71BEC"/>
    <w:rsid w:val="00B71C9B"/>
    <w:rsid w:val="00B726A4"/>
    <w:rsid w:val="00B730EC"/>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2CD"/>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2841"/>
    <w:rsid w:val="00C33E56"/>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318"/>
    <w:rsid w:val="00C70D92"/>
    <w:rsid w:val="00C71910"/>
    <w:rsid w:val="00C71F29"/>
    <w:rsid w:val="00C733D7"/>
    <w:rsid w:val="00C73EE6"/>
    <w:rsid w:val="00C75882"/>
    <w:rsid w:val="00C77262"/>
    <w:rsid w:val="00C77D2F"/>
    <w:rsid w:val="00C8001F"/>
    <w:rsid w:val="00C807B4"/>
    <w:rsid w:val="00C81E31"/>
    <w:rsid w:val="00C82156"/>
    <w:rsid w:val="00C84855"/>
    <w:rsid w:val="00C8691D"/>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106"/>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1CB6"/>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31BF"/>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626"/>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48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494"/>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22F"/>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2B84"/>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12F"/>
    <w:rsid w:val="00FB732C"/>
    <w:rsid w:val="00FB7D89"/>
    <w:rsid w:val="00FB7F60"/>
    <w:rsid w:val="00FC0375"/>
    <w:rsid w:val="00FC0CFA"/>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512D"/>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uiPriority w:val="9"/>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3438303">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6829907">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40592141">
      <w:bodyDiv w:val="1"/>
      <w:marLeft w:val="0"/>
      <w:marRight w:val="0"/>
      <w:marTop w:val="0"/>
      <w:marBottom w:val="0"/>
      <w:divBdr>
        <w:top w:val="none" w:sz="0" w:space="0" w:color="auto"/>
        <w:left w:val="none" w:sz="0" w:space="0" w:color="auto"/>
        <w:bottom w:val="none" w:sz="0" w:space="0" w:color="auto"/>
        <w:right w:val="none" w:sz="0" w:space="0" w:color="auto"/>
      </w:divBdr>
    </w:div>
    <w:div w:id="55710938">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8816793">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72121017">
      <w:bodyDiv w:val="1"/>
      <w:marLeft w:val="0"/>
      <w:marRight w:val="0"/>
      <w:marTop w:val="0"/>
      <w:marBottom w:val="0"/>
      <w:divBdr>
        <w:top w:val="none" w:sz="0" w:space="0" w:color="auto"/>
        <w:left w:val="none" w:sz="0" w:space="0" w:color="auto"/>
        <w:bottom w:val="none" w:sz="0" w:space="0" w:color="auto"/>
        <w:right w:val="none" w:sz="0" w:space="0" w:color="auto"/>
      </w:divBdr>
    </w:div>
    <w:div w:id="83691170">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0732683">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6631909">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29523814">
      <w:bodyDiv w:val="1"/>
      <w:marLeft w:val="0"/>
      <w:marRight w:val="0"/>
      <w:marTop w:val="0"/>
      <w:marBottom w:val="0"/>
      <w:divBdr>
        <w:top w:val="none" w:sz="0" w:space="0" w:color="auto"/>
        <w:left w:val="none" w:sz="0" w:space="0" w:color="auto"/>
        <w:bottom w:val="none" w:sz="0" w:space="0" w:color="auto"/>
        <w:right w:val="none" w:sz="0" w:space="0" w:color="auto"/>
      </w:divBdr>
    </w:div>
    <w:div w:id="132869544">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38620182">
      <w:bodyDiv w:val="1"/>
      <w:marLeft w:val="0"/>
      <w:marRight w:val="0"/>
      <w:marTop w:val="0"/>
      <w:marBottom w:val="0"/>
      <w:divBdr>
        <w:top w:val="none" w:sz="0" w:space="0" w:color="auto"/>
        <w:left w:val="none" w:sz="0" w:space="0" w:color="auto"/>
        <w:bottom w:val="none" w:sz="0" w:space="0" w:color="auto"/>
        <w:right w:val="none" w:sz="0" w:space="0" w:color="auto"/>
      </w:divBdr>
    </w:div>
    <w:div w:id="139273050">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4270048">
      <w:bodyDiv w:val="1"/>
      <w:marLeft w:val="0"/>
      <w:marRight w:val="0"/>
      <w:marTop w:val="0"/>
      <w:marBottom w:val="0"/>
      <w:divBdr>
        <w:top w:val="none" w:sz="0" w:space="0" w:color="auto"/>
        <w:left w:val="none" w:sz="0" w:space="0" w:color="auto"/>
        <w:bottom w:val="none" w:sz="0" w:space="0" w:color="auto"/>
        <w:right w:val="none" w:sz="0" w:space="0" w:color="auto"/>
      </w:divBdr>
    </w:div>
    <w:div w:id="174921413">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1717727">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3977107">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8273613">
      <w:bodyDiv w:val="1"/>
      <w:marLeft w:val="0"/>
      <w:marRight w:val="0"/>
      <w:marTop w:val="0"/>
      <w:marBottom w:val="0"/>
      <w:divBdr>
        <w:top w:val="none" w:sz="0" w:space="0" w:color="auto"/>
        <w:left w:val="none" w:sz="0" w:space="0" w:color="auto"/>
        <w:bottom w:val="none" w:sz="0" w:space="0" w:color="auto"/>
        <w:right w:val="none" w:sz="0" w:space="0" w:color="auto"/>
      </w:divBdr>
    </w:div>
    <w:div w:id="253435886">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59022815">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9195053">
      <w:bodyDiv w:val="1"/>
      <w:marLeft w:val="0"/>
      <w:marRight w:val="0"/>
      <w:marTop w:val="0"/>
      <w:marBottom w:val="0"/>
      <w:divBdr>
        <w:top w:val="none" w:sz="0" w:space="0" w:color="auto"/>
        <w:left w:val="none" w:sz="0" w:space="0" w:color="auto"/>
        <w:bottom w:val="none" w:sz="0" w:space="0" w:color="auto"/>
        <w:right w:val="none" w:sz="0" w:space="0" w:color="auto"/>
      </w:divBdr>
    </w:div>
    <w:div w:id="3006904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43630627">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78822672">
      <w:bodyDiv w:val="1"/>
      <w:marLeft w:val="0"/>
      <w:marRight w:val="0"/>
      <w:marTop w:val="0"/>
      <w:marBottom w:val="0"/>
      <w:divBdr>
        <w:top w:val="none" w:sz="0" w:space="0" w:color="auto"/>
        <w:left w:val="none" w:sz="0" w:space="0" w:color="auto"/>
        <w:bottom w:val="none" w:sz="0" w:space="0" w:color="auto"/>
        <w:right w:val="none" w:sz="0" w:space="0" w:color="auto"/>
      </w:divBdr>
    </w:div>
    <w:div w:id="38607669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4229241">
      <w:bodyDiv w:val="1"/>
      <w:marLeft w:val="0"/>
      <w:marRight w:val="0"/>
      <w:marTop w:val="0"/>
      <w:marBottom w:val="0"/>
      <w:divBdr>
        <w:top w:val="none" w:sz="0" w:space="0" w:color="auto"/>
        <w:left w:val="none" w:sz="0" w:space="0" w:color="auto"/>
        <w:bottom w:val="none" w:sz="0" w:space="0" w:color="auto"/>
        <w:right w:val="none" w:sz="0" w:space="0" w:color="auto"/>
      </w:divBdr>
    </w:div>
    <w:div w:id="42430116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58033773">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489833360">
      <w:bodyDiv w:val="1"/>
      <w:marLeft w:val="0"/>
      <w:marRight w:val="0"/>
      <w:marTop w:val="0"/>
      <w:marBottom w:val="0"/>
      <w:divBdr>
        <w:top w:val="none" w:sz="0" w:space="0" w:color="auto"/>
        <w:left w:val="none" w:sz="0" w:space="0" w:color="auto"/>
        <w:bottom w:val="none" w:sz="0" w:space="0" w:color="auto"/>
        <w:right w:val="none" w:sz="0" w:space="0" w:color="auto"/>
      </w:divBdr>
    </w:div>
    <w:div w:id="494417172">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07328509">
      <w:bodyDiv w:val="1"/>
      <w:marLeft w:val="0"/>
      <w:marRight w:val="0"/>
      <w:marTop w:val="0"/>
      <w:marBottom w:val="0"/>
      <w:divBdr>
        <w:top w:val="none" w:sz="0" w:space="0" w:color="auto"/>
        <w:left w:val="none" w:sz="0" w:space="0" w:color="auto"/>
        <w:bottom w:val="none" w:sz="0" w:space="0" w:color="auto"/>
        <w:right w:val="none" w:sz="0" w:space="0" w:color="auto"/>
      </w:divBdr>
    </w:div>
    <w:div w:id="516622947">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29613539">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4849373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173721">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414278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76017241">
      <w:bodyDiv w:val="1"/>
      <w:marLeft w:val="0"/>
      <w:marRight w:val="0"/>
      <w:marTop w:val="0"/>
      <w:marBottom w:val="0"/>
      <w:divBdr>
        <w:top w:val="none" w:sz="0" w:space="0" w:color="auto"/>
        <w:left w:val="none" w:sz="0" w:space="0" w:color="auto"/>
        <w:bottom w:val="none" w:sz="0" w:space="0" w:color="auto"/>
        <w:right w:val="none" w:sz="0" w:space="0" w:color="auto"/>
      </w:divBdr>
    </w:div>
    <w:div w:id="578833031">
      <w:bodyDiv w:val="1"/>
      <w:marLeft w:val="0"/>
      <w:marRight w:val="0"/>
      <w:marTop w:val="0"/>
      <w:marBottom w:val="0"/>
      <w:divBdr>
        <w:top w:val="none" w:sz="0" w:space="0" w:color="auto"/>
        <w:left w:val="none" w:sz="0" w:space="0" w:color="auto"/>
        <w:bottom w:val="none" w:sz="0" w:space="0" w:color="auto"/>
        <w:right w:val="none" w:sz="0" w:space="0" w:color="auto"/>
      </w:divBdr>
    </w:div>
    <w:div w:id="58021438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32368637">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75885324">
      <w:bodyDiv w:val="1"/>
      <w:marLeft w:val="0"/>
      <w:marRight w:val="0"/>
      <w:marTop w:val="0"/>
      <w:marBottom w:val="0"/>
      <w:divBdr>
        <w:top w:val="none" w:sz="0" w:space="0" w:color="auto"/>
        <w:left w:val="none" w:sz="0" w:space="0" w:color="auto"/>
        <w:bottom w:val="none" w:sz="0" w:space="0" w:color="auto"/>
        <w:right w:val="none" w:sz="0" w:space="0" w:color="auto"/>
      </w:divBdr>
    </w:div>
    <w:div w:id="678705009">
      <w:bodyDiv w:val="1"/>
      <w:marLeft w:val="0"/>
      <w:marRight w:val="0"/>
      <w:marTop w:val="0"/>
      <w:marBottom w:val="0"/>
      <w:divBdr>
        <w:top w:val="none" w:sz="0" w:space="0" w:color="auto"/>
        <w:left w:val="none" w:sz="0" w:space="0" w:color="auto"/>
        <w:bottom w:val="none" w:sz="0" w:space="0" w:color="auto"/>
        <w:right w:val="none" w:sz="0" w:space="0" w:color="auto"/>
      </w:divBdr>
    </w:div>
    <w:div w:id="688069879">
      <w:bodyDiv w:val="1"/>
      <w:marLeft w:val="0"/>
      <w:marRight w:val="0"/>
      <w:marTop w:val="0"/>
      <w:marBottom w:val="0"/>
      <w:divBdr>
        <w:top w:val="none" w:sz="0" w:space="0" w:color="auto"/>
        <w:left w:val="none" w:sz="0" w:space="0" w:color="auto"/>
        <w:bottom w:val="none" w:sz="0" w:space="0" w:color="auto"/>
        <w:right w:val="none" w:sz="0" w:space="0" w:color="auto"/>
      </w:divBdr>
    </w:div>
    <w:div w:id="689381466">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5803866">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04276175">
      <w:bodyDiv w:val="1"/>
      <w:marLeft w:val="0"/>
      <w:marRight w:val="0"/>
      <w:marTop w:val="0"/>
      <w:marBottom w:val="0"/>
      <w:divBdr>
        <w:top w:val="none" w:sz="0" w:space="0" w:color="auto"/>
        <w:left w:val="none" w:sz="0" w:space="0" w:color="auto"/>
        <w:bottom w:val="none" w:sz="0" w:space="0" w:color="auto"/>
        <w:right w:val="none" w:sz="0" w:space="0" w:color="auto"/>
      </w:divBdr>
    </w:div>
    <w:div w:id="806581107">
      <w:bodyDiv w:val="1"/>
      <w:marLeft w:val="0"/>
      <w:marRight w:val="0"/>
      <w:marTop w:val="0"/>
      <w:marBottom w:val="0"/>
      <w:divBdr>
        <w:top w:val="none" w:sz="0" w:space="0" w:color="auto"/>
        <w:left w:val="none" w:sz="0" w:space="0" w:color="auto"/>
        <w:bottom w:val="none" w:sz="0" w:space="0" w:color="auto"/>
        <w:right w:val="none" w:sz="0" w:space="0" w:color="auto"/>
      </w:divBdr>
    </w:div>
    <w:div w:id="808087231">
      <w:bodyDiv w:val="1"/>
      <w:marLeft w:val="0"/>
      <w:marRight w:val="0"/>
      <w:marTop w:val="0"/>
      <w:marBottom w:val="0"/>
      <w:divBdr>
        <w:top w:val="none" w:sz="0" w:space="0" w:color="auto"/>
        <w:left w:val="none" w:sz="0" w:space="0" w:color="auto"/>
        <w:bottom w:val="none" w:sz="0" w:space="0" w:color="auto"/>
        <w:right w:val="none" w:sz="0" w:space="0" w:color="auto"/>
      </w:divBdr>
    </w:div>
    <w:div w:id="814839849">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9169621">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891113843">
      <w:bodyDiv w:val="1"/>
      <w:marLeft w:val="0"/>
      <w:marRight w:val="0"/>
      <w:marTop w:val="0"/>
      <w:marBottom w:val="0"/>
      <w:divBdr>
        <w:top w:val="none" w:sz="0" w:space="0" w:color="auto"/>
        <w:left w:val="none" w:sz="0" w:space="0" w:color="auto"/>
        <w:bottom w:val="none" w:sz="0" w:space="0" w:color="auto"/>
        <w:right w:val="none" w:sz="0" w:space="0" w:color="auto"/>
      </w:divBdr>
    </w:div>
    <w:div w:id="928930671">
      <w:bodyDiv w:val="1"/>
      <w:marLeft w:val="0"/>
      <w:marRight w:val="0"/>
      <w:marTop w:val="0"/>
      <w:marBottom w:val="0"/>
      <w:divBdr>
        <w:top w:val="none" w:sz="0" w:space="0" w:color="auto"/>
        <w:left w:val="none" w:sz="0" w:space="0" w:color="auto"/>
        <w:bottom w:val="none" w:sz="0" w:space="0" w:color="auto"/>
        <w:right w:val="none" w:sz="0" w:space="0" w:color="auto"/>
      </w:divBdr>
    </w:div>
    <w:div w:id="934941405">
      <w:bodyDiv w:val="1"/>
      <w:marLeft w:val="0"/>
      <w:marRight w:val="0"/>
      <w:marTop w:val="0"/>
      <w:marBottom w:val="0"/>
      <w:divBdr>
        <w:top w:val="none" w:sz="0" w:space="0" w:color="auto"/>
        <w:left w:val="none" w:sz="0" w:space="0" w:color="auto"/>
        <w:bottom w:val="none" w:sz="0" w:space="0" w:color="auto"/>
        <w:right w:val="none" w:sz="0" w:space="0" w:color="auto"/>
      </w:divBdr>
    </w:div>
    <w:div w:id="936711458">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47352789">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5579575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78997254">
      <w:bodyDiv w:val="1"/>
      <w:marLeft w:val="0"/>
      <w:marRight w:val="0"/>
      <w:marTop w:val="0"/>
      <w:marBottom w:val="0"/>
      <w:divBdr>
        <w:top w:val="none" w:sz="0" w:space="0" w:color="auto"/>
        <w:left w:val="none" w:sz="0" w:space="0" w:color="auto"/>
        <w:bottom w:val="none" w:sz="0" w:space="0" w:color="auto"/>
        <w:right w:val="none" w:sz="0" w:space="0" w:color="auto"/>
      </w:divBdr>
    </w:div>
    <w:div w:id="982126548">
      <w:bodyDiv w:val="1"/>
      <w:marLeft w:val="0"/>
      <w:marRight w:val="0"/>
      <w:marTop w:val="0"/>
      <w:marBottom w:val="0"/>
      <w:divBdr>
        <w:top w:val="none" w:sz="0" w:space="0" w:color="auto"/>
        <w:left w:val="none" w:sz="0" w:space="0" w:color="auto"/>
        <w:bottom w:val="none" w:sz="0" w:space="0" w:color="auto"/>
        <w:right w:val="none" w:sz="0" w:space="0" w:color="auto"/>
      </w:divBdr>
    </w:div>
    <w:div w:id="987515008">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0401716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1660458">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54693851">
      <w:bodyDiv w:val="1"/>
      <w:marLeft w:val="0"/>
      <w:marRight w:val="0"/>
      <w:marTop w:val="0"/>
      <w:marBottom w:val="0"/>
      <w:divBdr>
        <w:top w:val="none" w:sz="0" w:space="0" w:color="auto"/>
        <w:left w:val="none" w:sz="0" w:space="0" w:color="auto"/>
        <w:bottom w:val="none" w:sz="0" w:space="0" w:color="auto"/>
        <w:right w:val="none" w:sz="0" w:space="0" w:color="auto"/>
      </w:divBdr>
    </w:div>
    <w:div w:id="1057628960">
      <w:bodyDiv w:val="1"/>
      <w:marLeft w:val="0"/>
      <w:marRight w:val="0"/>
      <w:marTop w:val="0"/>
      <w:marBottom w:val="0"/>
      <w:divBdr>
        <w:top w:val="none" w:sz="0" w:space="0" w:color="auto"/>
        <w:left w:val="none" w:sz="0" w:space="0" w:color="auto"/>
        <w:bottom w:val="none" w:sz="0" w:space="0" w:color="auto"/>
        <w:right w:val="none" w:sz="0" w:space="0" w:color="auto"/>
      </w:divBdr>
    </w:div>
    <w:div w:id="105869896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83376462">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097677606">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21463697">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17287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47937156">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688475">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4661415">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1332212">
      <w:bodyDiv w:val="1"/>
      <w:marLeft w:val="0"/>
      <w:marRight w:val="0"/>
      <w:marTop w:val="0"/>
      <w:marBottom w:val="0"/>
      <w:divBdr>
        <w:top w:val="none" w:sz="0" w:space="0" w:color="auto"/>
        <w:left w:val="none" w:sz="0" w:space="0" w:color="auto"/>
        <w:bottom w:val="none" w:sz="0" w:space="0" w:color="auto"/>
        <w:right w:val="none" w:sz="0" w:space="0" w:color="auto"/>
      </w:divBdr>
    </w:div>
    <w:div w:id="1225523912">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2514014">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10865891">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28821010">
      <w:bodyDiv w:val="1"/>
      <w:marLeft w:val="0"/>
      <w:marRight w:val="0"/>
      <w:marTop w:val="0"/>
      <w:marBottom w:val="0"/>
      <w:divBdr>
        <w:top w:val="none" w:sz="0" w:space="0" w:color="auto"/>
        <w:left w:val="none" w:sz="0" w:space="0" w:color="auto"/>
        <w:bottom w:val="none" w:sz="0" w:space="0" w:color="auto"/>
        <w:right w:val="none" w:sz="0" w:space="0" w:color="auto"/>
      </w:divBdr>
    </w:div>
    <w:div w:id="1346207515">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7816695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37598438">
      <w:bodyDiv w:val="1"/>
      <w:marLeft w:val="0"/>
      <w:marRight w:val="0"/>
      <w:marTop w:val="0"/>
      <w:marBottom w:val="0"/>
      <w:divBdr>
        <w:top w:val="none" w:sz="0" w:space="0" w:color="auto"/>
        <w:left w:val="none" w:sz="0" w:space="0" w:color="auto"/>
        <w:bottom w:val="none" w:sz="0" w:space="0" w:color="auto"/>
        <w:right w:val="none" w:sz="0" w:space="0" w:color="auto"/>
      </w:divBdr>
    </w:div>
    <w:div w:id="1439596097">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5414262">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30140886">
      <w:bodyDiv w:val="1"/>
      <w:marLeft w:val="0"/>
      <w:marRight w:val="0"/>
      <w:marTop w:val="0"/>
      <w:marBottom w:val="0"/>
      <w:divBdr>
        <w:top w:val="none" w:sz="0" w:space="0" w:color="auto"/>
        <w:left w:val="none" w:sz="0" w:space="0" w:color="auto"/>
        <w:bottom w:val="none" w:sz="0" w:space="0" w:color="auto"/>
        <w:right w:val="none" w:sz="0" w:space="0" w:color="auto"/>
      </w:divBdr>
    </w:div>
    <w:div w:id="1530681042">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59242260">
      <w:bodyDiv w:val="1"/>
      <w:marLeft w:val="0"/>
      <w:marRight w:val="0"/>
      <w:marTop w:val="0"/>
      <w:marBottom w:val="0"/>
      <w:divBdr>
        <w:top w:val="none" w:sz="0" w:space="0" w:color="auto"/>
        <w:left w:val="none" w:sz="0" w:space="0" w:color="auto"/>
        <w:bottom w:val="none" w:sz="0" w:space="0" w:color="auto"/>
        <w:right w:val="none" w:sz="0" w:space="0" w:color="auto"/>
      </w:divBdr>
    </w:div>
    <w:div w:id="1567373696">
      <w:bodyDiv w:val="1"/>
      <w:marLeft w:val="0"/>
      <w:marRight w:val="0"/>
      <w:marTop w:val="0"/>
      <w:marBottom w:val="0"/>
      <w:divBdr>
        <w:top w:val="none" w:sz="0" w:space="0" w:color="auto"/>
        <w:left w:val="none" w:sz="0" w:space="0" w:color="auto"/>
        <w:bottom w:val="none" w:sz="0" w:space="0" w:color="auto"/>
        <w:right w:val="none" w:sz="0" w:space="0" w:color="auto"/>
      </w:divBdr>
    </w:div>
    <w:div w:id="1570916420">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66854631">
      <w:bodyDiv w:val="1"/>
      <w:marLeft w:val="0"/>
      <w:marRight w:val="0"/>
      <w:marTop w:val="0"/>
      <w:marBottom w:val="0"/>
      <w:divBdr>
        <w:top w:val="none" w:sz="0" w:space="0" w:color="auto"/>
        <w:left w:val="none" w:sz="0" w:space="0" w:color="auto"/>
        <w:bottom w:val="none" w:sz="0" w:space="0" w:color="auto"/>
        <w:right w:val="none" w:sz="0" w:space="0" w:color="auto"/>
      </w:divBdr>
    </w:div>
    <w:div w:id="1669400975">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6571188">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1639516">
      <w:bodyDiv w:val="1"/>
      <w:marLeft w:val="0"/>
      <w:marRight w:val="0"/>
      <w:marTop w:val="0"/>
      <w:marBottom w:val="0"/>
      <w:divBdr>
        <w:top w:val="none" w:sz="0" w:space="0" w:color="auto"/>
        <w:left w:val="none" w:sz="0" w:space="0" w:color="auto"/>
        <w:bottom w:val="none" w:sz="0" w:space="0" w:color="auto"/>
        <w:right w:val="none" w:sz="0" w:space="0" w:color="auto"/>
      </w:divBdr>
    </w:div>
    <w:div w:id="1693994399">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82139930">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04082342">
      <w:bodyDiv w:val="1"/>
      <w:marLeft w:val="0"/>
      <w:marRight w:val="0"/>
      <w:marTop w:val="0"/>
      <w:marBottom w:val="0"/>
      <w:divBdr>
        <w:top w:val="none" w:sz="0" w:space="0" w:color="auto"/>
        <w:left w:val="none" w:sz="0" w:space="0" w:color="auto"/>
        <w:bottom w:val="none" w:sz="0" w:space="0" w:color="auto"/>
        <w:right w:val="none" w:sz="0" w:space="0" w:color="auto"/>
      </w:divBdr>
    </w:div>
    <w:div w:id="1808476236">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46941962">
      <w:bodyDiv w:val="1"/>
      <w:marLeft w:val="0"/>
      <w:marRight w:val="0"/>
      <w:marTop w:val="0"/>
      <w:marBottom w:val="0"/>
      <w:divBdr>
        <w:top w:val="none" w:sz="0" w:space="0" w:color="auto"/>
        <w:left w:val="none" w:sz="0" w:space="0" w:color="auto"/>
        <w:bottom w:val="none" w:sz="0" w:space="0" w:color="auto"/>
        <w:right w:val="none" w:sz="0" w:space="0" w:color="auto"/>
      </w:divBdr>
    </w:div>
    <w:div w:id="185002734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18784905">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36741008">
      <w:bodyDiv w:val="1"/>
      <w:marLeft w:val="0"/>
      <w:marRight w:val="0"/>
      <w:marTop w:val="0"/>
      <w:marBottom w:val="0"/>
      <w:divBdr>
        <w:top w:val="none" w:sz="0" w:space="0" w:color="auto"/>
        <w:left w:val="none" w:sz="0" w:space="0" w:color="auto"/>
        <w:bottom w:val="none" w:sz="0" w:space="0" w:color="auto"/>
        <w:right w:val="none" w:sz="0" w:space="0" w:color="auto"/>
      </w:divBdr>
    </w:div>
    <w:div w:id="1942687243">
      <w:bodyDiv w:val="1"/>
      <w:marLeft w:val="0"/>
      <w:marRight w:val="0"/>
      <w:marTop w:val="0"/>
      <w:marBottom w:val="0"/>
      <w:divBdr>
        <w:top w:val="none" w:sz="0" w:space="0" w:color="auto"/>
        <w:left w:val="none" w:sz="0" w:space="0" w:color="auto"/>
        <w:bottom w:val="none" w:sz="0" w:space="0" w:color="auto"/>
        <w:right w:val="none" w:sz="0" w:space="0" w:color="auto"/>
      </w:divBdr>
    </w:div>
    <w:div w:id="1946570626">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49267830">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64844688">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4843">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34836851">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5987527">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0417297">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92314053">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9017564">
      <w:bodyDiv w:val="1"/>
      <w:marLeft w:val="0"/>
      <w:marRight w:val="0"/>
      <w:marTop w:val="0"/>
      <w:marBottom w:val="0"/>
      <w:divBdr>
        <w:top w:val="none" w:sz="0" w:space="0" w:color="auto"/>
        <w:left w:val="none" w:sz="0" w:space="0" w:color="auto"/>
        <w:bottom w:val="none" w:sz="0" w:space="0" w:color="auto"/>
        <w:right w:val="none" w:sz="0" w:space="0" w:color="auto"/>
      </w:divBdr>
    </w:div>
    <w:div w:id="2101557017">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3GP10</b:Tag>
    <b:SourceType>ConferenceProceedings</b:SourceType>
    <b:Guid>{9946393B-807E-4ADC-B87E-E6E1CCB045D5}</b:Guid>
    <b:Title>Terminal acoustic characteristics for telephony; Requirements</b:Title>
    <b:Year>Release 14.1.0</b:Year>
    <b:Author>
      <b:Author>
        <b:Corporate>3GPP TS 26.131</b:Corporate>
      </b:Author>
    </b:Author>
    <b:RefOrder>4</b:RefOrder>
  </b:Source>
  <b:Source>
    <b:Tag>3GPR</b:Tag>
    <b:SourceType>ConferenceProceedings</b:SourceType>
    <b:Guid>{1204C63C-19F3-4BC1-B7C0-07A2F07CE164}</b:Guid>
    <b:Author>
      <b:Author>
        <b:Corporate>3GPP TS 26.132</b:Corporate>
      </b:Author>
    </b:Author>
    <b:Title>Speech and video telephony terminal acoustic test specification</b:Title>
    <b:Year>Release 14.1.0</b:Year>
    <b:RefOrder>2</b:RefOrder>
  </b:Source>
  <b:Source>
    <b:Tag>es2023961</b:Tag>
    <b:SourceType>Report</b:SourceType>
    <b:Guid>{ECF365AD-E194-48E8-8422-6A0D70D5B771}</b:Guid>
    <b:Author>
      <b:Author>
        <b:Corporate>ETSI ES 202 396-1 v1.6.1</b:Corporate>
      </b:Author>
    </b:Author>
    <b:Title>Speech Processing, Transmission and Quality Aspects (STQ); Speech quality performance</b:Title>
    <b:Year>06/2015</b:Year>
    <b:RefOrder>5</b:RefOrder>
  </b:Source>
  <b:Source>
    <b:Tag>3PASSv2</b:Tag>
    <b:SourceType>ConferenceProceedings</b:SourceType>
    <b:Guid>{97AEC62C-ADFE-415D-A984-33E49EE3C422}</b:Guid>
    <b:Author>
      <b:Author>
        <b:Corporate>ETSI TS 103 224 v1.2.1</b:Corporate>
      </b:Author>
    </b:Author>
    <b:Title>Speech and multimedia Transmission Quality (STQ);. A sound field reproduction method for terminal testing including a background noise database</b:Title>
    <b:Year>08/2015</b:Year>
    <b:RefOrder>3</b:RefOrder>
  </b:Source>
  <b:Source>
    <b:Tag>3GP172</b:Tag>
    <b:SourceType>ElectronicSource</b:SourceType>
    <b:Guid>{E87341D1-9DC5-479B-9065-A92D114F3102}</b:Guid>
    <b:Author>
      <b:Author>
        <b:Corporate>3GPP S4-171356</b:Corporate>
      </b:Author>
    </b:Author>
    <b:Title>New WID on Receive acoustic output test in the presence of background noise (RAOT)</b:Title>
    <b:City>Albuquerque, NM, USA</b:City>
    <b:Year>2017</b:Year>
    <b:Publisher>Sony Mobile Communications, ORANGE, Qualcomm Incorporated, Apple (UK) Limited</b:Publisher>
    <b:RefOrder>1</b:RefOrder>
  </b:Source>
</b:Sources>
</file>

<file path=customXml/itemProps1.xml><?xml version="1.0" encoding="utf-8"?>
<ds:datastoreItem xmlns:ds="http://schemas.openxmlformats.org/officeDocument/2006/customXml" ds:itemID="{E71EA7E8-050C-4271-A1B7-6E25189C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1035</Words>
  <Characters>5902</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
  <cp:lastModifiedBy>Reimes, Jan</cp:lastModifiedBy>
  <cp:revision>7</cp:revision>
  <cp:lastPrinted>2016-05-03T09:51:00Z</cp:lastPrinted>
  <dcterms:created xsi:type="dcterms:W3CDTF">2018-01-27T15:39:00Z</dcterms:created>
  <dcterms:modified xsi:type="dcterms:W3CDTF">2018-01-29T08:24:00Z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