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F18" w:rsidRPr="00B636A6" w:rsidRDefault="00834F18" w:rsidP="000A170D">
      <w:pPr>
        <w:pStyle w:val="Title"/>
        <w:jc w:val="left"/>
        <w:rPr>
          <w:rFonts w:ascii="Century Gothic" w:hAnsi="Century Gothic"/>
          <w:sz w:val="24"/>
          <w:szCs w:val="24"/>
          <w:lang w:val="en-US"/>
        </w:rPr>
      </w:pPr>
      <w:r w:rsidRPr="00416940">
        <w:rPr>
          <w:rFonts w:ascii="Century Gothic" w:hAnsi="Century Gothic"/>
          <w:sz w:val="24"/>
          <w:szCs w:val="24"/>
          <w:lang w:val="en-US"/>
        </w:rPr>
        <w:t>CTIA Certification Program Working Group</w:t>
      </w:r>
      <w:r w:rsidR="00B636A6">
        <w:rPr>
          <w:rFonts w:ascii="Century Gothic" w:hAnsi="Century Gothic"/>
          <w:sz w:val="24"/>
          <w:szCs w:val="24"/>
          <w:lang w:val="en-US"/>
        </w:rPr>
        <w:t xml:space="preserve"> </w:t>
      </w:r>
      <w:r w:rsidR="009E22B7" w:rsidRPr="00416940">
        <w:rPr>
          <w:rFonts w:ascii="Century Gothic" w:hAnsi="Century Gothic"/>
          <w:sz w:val="24"/>
          <w:szCs w:val="24"/>
        </w:rPr>
        <w:t>Liaison Statement</w:t>
      </w:r>
    </w:p>
    <w:p w:rsidR="00834F18" w:rsidRPr="005D77D9" w:rsidRDefault="00834F18">
      <w:pPr>
        <w:jc w:val="center"/>
        <w:rPr>
          <w:rFonts w:ascii="Century Gothic" w:hAnsi="Century Gothic"/>
          <w:sz w:val="22"/>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8"/>
        <w:gridCol w:w="7560"/>
      </w:tblGrid>
      <w:tr w:rsidR="00834F18" w:rsidRPr="002311C3" w:rsidTr="00337EA9">
        <w:tc>
          <w:tcPr>
            <w:tcW w:w="1278" w:type="dxa"/>
          </w:tcPr>
          <w:p w:rsidR="00834F18" w:rsidRPr="005D77D9" w:rsidRDefault="009E604B" w:rsidP="005D77D9">
            <w:pPr>
              <w:jc w:val="both"/>
              <w:rPr>
                <w:rFonts w:ascii="Century Gothic" w:hAnsi="Century Gothic"/>
                <w:sz w:val="22"/>
                <w:szCs w:val="22"/>
              </w:rPr>
            </w:pPr>
            <w:r w:rsidRPr="005D77D9">
              <w:rPr>
                <w:rFonts w:ascii="Century Gothic" w:hAnsi="Century Gothic"/>
                <w:sz w:val="22"/>
                <w:szCs w:val="22"/>
              </w:rPr>
              <w:t>To</w:t>
            </w:r>
          </w:p>
        </w:tc>
        <w:tc>
          <w:tcPr>
            <w:tcW w:w="7560" w:type="dxa"/>
          </w:tcPr>
          <w:p w:rsidR="00C3577E" w:rsidRPr="004A4883" w:rsidRDefault="00611BBC" w:rsidP="00C3577E">
            <w:pPr>
              <w:rPr>
                <w:rFonts w:ascii="Century Gothic" w:hAnsi="Century Gothic"/>
                <w:sz w:val="22"/>
                <w:szCs w:val="22"/>
                <w:lang w:val="sv-SE"/>
              </w:rPr>
            </w:pPr>
            <w:r w:rsidRPr="004A4883">
              <w:rPr>
                <w:rFonts w:ascii="Century Gothic" w:hAnsi="Century Gothic"/>
                <w:sz w:val="22"/>
                <w:szCs w:val="22"/>
                <w:lang w:val="sv-SE"/>
              </w:rPr>
              <w:t>3GPP SA4 SQ</w:t>
            </w:r>
            <w:r w:rsidR="004A4883" w:rsidRPr="004A4883">
              <w:rPr>
                <w:rFonts w:ascii="Century Gothic" w:hAnsi="Century Gothic"/>
                <w:sz w:val="22"/>
                <w:szCs w:val="22"/>
                <w:lang w:val="sv-SE"/>
              </w:rPr>
              <w:t xml:space="preserve"> and ETSI TC STQ</w:t>
            </w:r>
          </w:p>
        </w:tc>
      </w:tr>
      <w:tr w:rsidR="00834F18" w:rsidRPr="005D77D9" w:rsidTr="00337EA9">
        <w:tc>
          <w:tcPr>
            <w:tcW w:w="1278" w:type="dxa"/>
          </w:tcPr>
          <w:p w:rsidR="00834F18" w:rsidRPr="005D77D9" w:rsidRDefault="009E604B" w:rsidP="005D77D9">
            <w:pPr>
              <w:jc w:val="both"/>
              <w:rPr>
                <w:rFonts w:ascii="Century Gothic" w:hAnsi="Century Gothic"/>
                <w:sz w:val="22"/>
                <w:szCs w:val="22"/>
              </w:rPr>
            </w:pPr>
            <w:r w:rsidRPr="005D77D9">
              <w:rPr>
                <w:rFonts w:ascii="Century Gothic" w:hAnsi="Century Gothic"/>
                <w:sz w:val="22"/>
                <w:szCs w:val="22"/>
              </w:rPr>
              <w:t>Subject</w:t>
            </w:r>
          </w:p>
        </w:tc>
        <w:tc>
          <w:tcPr>
            <w:tcW w:w="7560" w:type="dxa"/>
          </w:tcPr>
          <w:p w:rsidR="00834F18" w:rsidRPr="005D77D9" w:rsidRDefault="00DF59B4" w:rsidP="0044562C">
            <w:pPr>
              <w:rPr>
                <w:rFonts w:ascii="Century Gothic" w:hAnsi="Century Gothic"/>
                <w:sz w:val="22"/>
                <w:szCs w:val="22"/>
              </w:rPr>
            </w:pPr>
            <w:r>
              <w:rPr>
                <w:rFonts w:ascii="Century Gothic" w:hAnsi="Century Gothic"/>
                <w:sz w:val="22"/>
                <w:szCs w:val="22"/>
              </w:rPr>
              <w:t xml:space="preserve">LS on </w:t>
            </w:r>
            <w:r w:rsidR="00611BBC">
              <w:rPr>
                <w:rFonts w:ascii="Century Gothic" w:hAnsi="Century Gothic"/>
                <w:sz w:val="22"/>
                <w:szCs w:val="22"/>
              </w:rPr>
              <w:t>Acoustic Safety Limits</w:t>
            </w:r>
          </w:p>
        </w:tc>
      </w:tr>
      <w:tr w:rsidR="00834F18" w:rsidRPr="005D77D9" w:rsidTr="00337EA9">
        <w:tc>
          <w:tcPr>
            <w:tcW w:w="1278" w:type="dxa"/>
          </w:tcPr>
          <w:p w:rsidR="00834F18" w:rsidRPr="005D77D9" w:rsidRDefault="00834F18" w:rsidP="005D77D9">
            <w:pPr>
              <w:jc w:val="both"/>
              <w:rPr>
                <w:rFonts w:ascii="Century Gothic" w:hAnsi="Century Gothic"/>
                <w:sz w:val="22"/>
                <w:szCs w:val="22"/>
              </w:rPr>
            </w:pPr>
            <w:r w:rsidRPr="005D77D9">
              <w:rPr>
                <w:rFonts w:ascii="Century Gothic" w:hAnsi="Century Gothic"/>
                <w:sz w:val="22"/>
                <w:szCs w:val="22"/>
              </w:rPr>
              <w:t>Date</w:t>
            </w:r>
          </w:p>
        </w:tc>
        <w:tc>
          <w:tcPr>
            <w:tcW w:w="7560" w:type="dxa"/>
          </w:tcPr>
          <w:p w:rsidR="00834F18" w:rsidRPr="005D77D9" w:rsidRDefault="00611BBC" w:rsidP="00401A06">
            <w:pPr>
              <w:rPr>
                <w:rFonts w:ascii="Century Gothic" w:hAnsi="Century Gothic"/>
                <w:sz w:val="22"/>
                <w:szCs w:val="22"/>
              </w:rPr>
            </w:pPr>
            <w:r>
              <w:rPr>
                <w:rFonts w:ascii="Century Gothic" w:hAnsi="Century Gothic"/>
                <w:sz w:val="22"/>
                <w:szCs w:val="22"/>
              </w:rPr>
              <w:t>1</w:t>
            </w:r>
            <w:r w:rsidR="0021187C">
              <w:rPr>
                <w:rFonts w:ascii="Century Gothic" w:hAnsi="Century Gothic"/>
                <w:sz w:val="22"/>
                <w:szCs w:val="22"/>
              </w:rPr>
              <w:t>6</w:t>
            </w:r>
            <w:r w:rsidR="00DF59B4">
              <w:rPr>
                <w:rFonts w:ascii="Century Gothic" w:hAnsi="Century Gothic"/>
                <w:sz w:val="22"/>
                <w:szCs w:val="22"/>
              </w:rPr>
              <w:t xml:space="preserve"> </w:t>
            </w:r>
            <w:r>
              <w:rPr>
                <w:rFonts w:ascii="Century Gothic" w:hAnsi="Century Gothic"/>
                <w:sz w:val="22"/>
                <w:szCs w:val="22"/>
              </w:rPr>
              <w:t>October</w:t>
            </w:r>
            <w:r w:rsidR="00DF59B4">
              <w:rPr>
                <w:rFonts w:ascii="Century Gothic" w:hAnsi="Century Gothic"/>
                <w:sz w:val="22"/>
                <w:szCs w:val="22"/>
              </w:rPr>
              <w:t xml:space="preserve"> 201</w:t>
            </w:r>
            <w:r>
              <w:rPr>
                <w:rFonts w:ascii="Century Gothic" w:hAnsi="Century Gothic"/>
                <w:sz w:val="22"/>
                <w:szCs w:val="22"/>
              </w:rPr>
              <w:t>7</w:t>
            </w:r>
          </w:p>
        </w:tc>
      </w:tr>
    </w:tbl>
    <w:p w:rsidR="004E39FD" w:rsidRDefault="004E39FD" w:rsidP="004E39FD">
      <w:pPr>
        <w:pStyle w:val="Heading1"/>
        <w:spacing w:before="360" w:after="240"/>
        <w:rPr>
          <w:rFonts w:ascii="Century Gothic" w:hAnsi="Century Gothic" w:cs="Arial"/>
          <w:b w:val="0"/>
          <w:sz w:val="22"/>
          <w:szCs w:val="22"/>
        </w:rPr>
      </w:pPr>
      <w:r w:rsidRPr="005D77D9">
        <w:rPr>
          <w:rFonts w:ascii="Century Gothic" w:hAnsi="Century Gothic" w:cs="Arial"/>
          <w:b w:val="0"/>
          <w:sz w:val="22"/>
          <w:szCs w:val="22"/>
        </w:rPr>
        <w:t>Introduction</w:t>
      </w:r>
      <w:r w:rsidR="002C58AA">
        <w:rPr>
          <w:rFonts w:ascii="Century Gothic" w:hAnsi="Century Gothic" w:cs="Arial"/>
          <w:b w:val="0"/>
          <w:sz w:val="22"/>
          <w:szCs w:val="22"/>
        </w:rPr>
        <w:t>:</w:t>
      </w:r>
    </w:p>
    <w:p w:rsidR="00DF59B4" w:rsidRPr="00DF59B4" w:rsidRDefault="00DF59B4" w:rsidP="00DF59B4">
      <w:pPr>
        <w:rPr>
          <w:lang w:val="en-GB"/>
        </w:rPr>
      </w:pPr>
      <w:r>
        <w:rPr>
          <w:lang w:val="en-GB"/>
        </w:rPr>
        <w:t xml:space="preserve">CTIA CPWG Audio </w:t>
      </w:r>
      <w:r w:rsidR="00B3166C">
        <w:rPr>
          <w:lang w:val="en-GB"/>
        </w:rPr>
        <w:t xml:space="preserve">Working Group </w:t>
      </w:r>
      <w:r>
        <w:rPr>
          <w:lang w:val="en-GB"/>
        </w:rPr>
        <w:t>would like to</w:t>
      </w:r>
      <w:r w:rsidR="00611BBC">
        <w:rPr>
          <w:lang w:val="en-GB"/>
        </w:rPr>
        <w:t xml:space="preserve"> highlight a concern recently discovered by a member of CTIA, and propose a method to avoid this issue in the future</w:t>
      </w:r>
      <w:r>
        <w:rPr>
          <w:lang w:val="en-GB"/>
        </w:rPr>
        <w:t>.</w:t>
      </w:r>
    </w:p>
    <w:p w:rsidR="004E39FD" w:rsidRDefault="004E39FD" w:rsidP="004E39FD">
      <w:pPr>
        <w:pStyle w:val="Heading1"/>
        <w:spacing w:before="360" w:after="240"/>
        <w:rPr>
          <w:rFonts w:ascii="Century Gothic" w:hAnsi="Century Gothic" w:cs="Arial"/>
          <w:b w:val="0"/>
          <w:sz w:val="22"/>
          <w:szCs w:val="22"/>
        </w:rPr>
      </w:pPr>
      <w:r w:rsidRPr="005D77D9">
        <w:rPr>
          <w:rFonts w:ascii="Century Gothic" w:hAnsi="Century Gothic" w:cs="Arial"/>
          <w:b w:val="0"/>
          <w:sz w:val="22"/>
          <w:szCs w:val="22"/>
        </w:rPr>
        <w:t>Discussion</w:t>
      </w:r>
      <w:r w:rsidR="002C58AA">
        <w:rPr>
          <w:rFonts w:ascii="Century Gothic" w:hAnsi="Century Gothic" w:cs="Arial"/>
          <w:b w:val="0"/>
          <w:sz w:val="22"/>
          <w:szCs w:val="22"/>
        </w:rPr>
        <w:t>:</w:t>
      </w:r>
    </w:p>
    <w:p w:rsidR="00DF59B4" w:rsidRPr="00DF59B4" w:rsidRDefault="005F0A73" w:rsidP="00611BBC">
      <w:pPr>
        <w:rPr>
          <w:lang w:val="en-GB"/>
        </w:rPr>
      </w:pPr>
      <w:r>
        <w:rPr>
          <w:lang w:val="en-GB"/>
        </w:rPr>
        <w:t xml:space="preserve">It has come to the attention of the </w:t>
      </w:r>
      <w:r w:rsidR="00B3166C">
        <w:rPr>
          <w:lang w:val="en-GB"/>
        </w:rPr>
        <w:t>CPWG Audio Working Group</w:t>
      </w:r>
      <w:r>
        <w:rPr>
          <w:lang w:val="en-GB"/>
        </w:rPr>
        <w:t xml:space="preserve"> that </w:t>
      </w:r>
      <w:r w:rsidR="00B7164C">
        <w:rPr>
          <w:lang w:val="en-GB"/>
        </w:rPr>
        <w:t>a feature used in Smartphone Devices</w:t>
      </w:r>
      <w:r>
        <w:rPr>
          <w:lang w:val="en-GB"/>
        </w:rPr>
        <w:t xml:space="preserve"> to boost the receive Signal-to-Noise ratio in noisy environments</w:t>
      </w:r>
      <w:r w:rsidR="00B7164C">
        <w:rPr>
          <w:lang w:val="en-GB"/>
        </w:rPr>
        <w:t xml:space="preserve"> may be</w:t>
      </w:r>
      <w:r>
        <w:rPr>
          <w:lang w:val="en-GB"/>
        </w:rPr>
        <w:t xml:space="preserve"> </w:t>
      </w:r>
      <w:r w:rsidR="00B7164C">
        <w:rPr>
          <w:lang w:val="en-GB"/>
        </w:rPr>
        <w:t>breaking the acoustic safety limits for handset mode. The safety limits in Handset mode is typically tested in silent lab conditions, and RLRmin (Receiving Loudness rating at Maximum volume) is tested against 3GPP SA4 TS 26.131</w:t>
      </w:r>
      <w:r w:rsidR="002F59AF">
        <w:rPr>
          <w:lang w:val="en-GB"/>
        </w:rPr>
        <w:t xml:space="preserve"> or ETSI TS 103 737/-739</w:t>
      </w:r>
      <w:r w:rsidR="00B7164C">
        <w:rPr>
          <w:lang w:val="en-GB"/>
        </w:rPr>
        <w:t xml:space="preserve">, to confirm if the Device is safe for use or if it is too loud. A new Audio Feature boosts the downlink signal in noisy environment, possibly without taking into account the downlink loudness of the Device, thus inadvertently pushing the signal level into the ear </w:t>
      </w:r>
      <w:r w:rsidR="00B778C0">
        <w:rPr>
          <w:lang w:val="en-GB"/>
        </w:rPr>
        <w:t>below</w:t>
      </w:r>
      <w:r w:rsidR="00B7164C">
        <w:rPr>
          <w:lang w:val="en-GB"/>
        </w:rPr>
        <w:t xml:space="preserve"> the -13 dBRLRmin value as given by 3GPP TS 26.131</w:t>
      </w:r>
      <w:r w:rsidR="00CB2533">
        <w:rPr>
          <w:lang w:val="en-GB"/>
        </w:rPr>
        <w:t xml:space="preserve"> and ETSI TS 103 737/-739</w:t>
      </w:r>
      <w:r w:rsidR="00B7164C">
        <w:rPr>
          <w:lang w:val="en-GB"/>
        </w:rPr>
        <w:t xml:space="preserve">.  </w:t>
      </w:r>
    </w:p>
    <w:p w:rsidR="004E39FD" w:rsidRDefault="004E39FD" w:rsidP="004E39FD">
      <w:pPr>
        <w:pStyle w:val="Heading1"/>
        <w:spacing w:before="360" w:after="240"/>
        <w:rPr>
          <w:rFonts w:ascii="Century Gothic" w:hAnsi="Century Gothic" w:cs="Arial"/>
          <w:b w:val="0"/>
          <w:sz w:val="22"/>
          <w:szCs w:val="22"/>
        </w:rPr>
      </w:pPr>
      <w:r w:rsidRPr="005D77D9">
        <w:rPr>
          <w:rFonts w:ascii="Century Gothic" w:hAnsi="Century Gothic" w:cs="Arial"/>
          <w:b w:val="0"/>
          <w:sz w:val="22"/>
          <w:szCs w:val="22"/>
        </w:rPr>
        <w:t>Actions</w:t>
      </w:r>
      <w:r w:rsidR="002C58AA">
        <w:rPr>
          <w:rFonts w:ascii="Century Gothic" w:hAnsi="Century Gothic" w:cs="Arial"/>
          <w:b w:val="0"/>
          <w:sz w:val="22"/>
          <w:szCs w:val="22"/>
        </w:rPr>
        <w:t>:</w:t>
      </w:r>
    </w:p>
    <w:p w:rsidR="00DF59B4" w:rsidRPr="00DF59B4" w:rsidRDefault="00DF59B4" w:rsidP="00C1499E">
      <w:pPr>
        <w:rPr>
          <w:lang w:val="en-GB"/>
        </w:rPr>
      </w:pPr>
      <w:r>
        <w:rPr>
          <w:lang w:val="en-GB"/>
        </w:rPr>
        <w:t xml:space="preserve">To </w:t>
      </w:r>
      <w:r w:rsidR="00C1499E">
        <w:rPr>
          <w:lang w:val="en-GB"/>
        </w:rPr>
        <w:t>3GPP SA4 SQ</w:t>
      </w:r>
      <w:r w:rsidR="004A4883">
        <w:rPr>
          <w:lang w:val="en-GB"/>
        </w:rPr>
        <w:t xml:space="preserve"> and ETSI TC STQ</w:t>
      </w:r>
      <w:r>
        <w:rPr>
          <w:lang w:val="en-GB"/>
        </w:rPr>
        <w:t>:</w:t>
      </w:r>
      <w:r w:rsidR="00C1499E">
        <w:rPr>
          <w:lang w:val="en-GB"/>
        </w:rPr>
        <w:t xml:space="preserve"> Review </w:t>
      </w:r>
      <w:r w:rsidR="008B2601">
        <w:rPr>
          <w:lang w:val="en-GB"/>
        </w:rPr>
        <w:t>if it is feasible</w:t>
      </w:r>
      <w:r w:rsidR="00D25480">
        <w:rPr>
          <w:lang w:val="en-GB"/>
        </w:rPr>
        <w:t>/in scope</w:t>
      </w:r>
      <w:r w:rsidR="008B2601">
        <w:rPr>
          <w:lang w:val="en-GB"/>
        </w:rPr>
        <w:t xml:space="preserve"> to</w:t>
      </w:r>
      <w:r w:rsidR="00C1499E">
        <w:rPr>
          <w:lang w:val="en-GB"/>
        </w:rPr>
        <w:t xml:space="preserve"> Implement</w:t>
      </w:r>
      <w:r>
        <w:rPr>
          <w:lang w:val="en-GB"/>
        </w:rPr>
        <w:t xml:space="preserve"> </w:t>
      </w:r>
      <w:r w:rsidR="00C1499E">
        <w:rPr>
          <w:lang w:val="en-GB"/>
        </w:rPr>
        <w:t>a Test</w:t>
      </w:r>
      <w:r>
        <w:rPr>
          <w:lang w:val="en-GB"/>
        </w:rPr>
        <w:t xml:space="preserve"> </w:t>
      </w:r>
      <w:r w:rsidR="00B7164C">
        <w:rPr>
          <w:lang w:val="en-GB"/>
        </w:rPr>
        <w:t xml:space="preserve">for downlink safety </w:t>
      </w:r>
      <w:r w:rsidR="00B778C0">
        <w:rPr>
          <w:lang w:val="en-GB"/>
        </w:rPr>
        <w:t>in</w:t>
      </w:r>
      <w:r w:rsidR="00B7164C">
        <w:rPr>
          <w:lang w:val="en-GB"/>
        </w:rPr>
        <w:t xml:space="preserve"> </w:t>
      </w:r>
      <w:r w:rsidR="00835ABB">
        <w:rPr>
          <w:lang w:val="en-GB"/>
        </w:rPr>
        <w:t>B</w:t>
      </w:r>
      <w:r w:rsidR="00B7164C">
        <w:rPr>
          <w:lang w:val="en-GB"/>
        </w:rPr>
        <w:t xml:space="preserve">ackground </w:t>
      </w:r>
      <w:r w:rsidR="00835ABB">
        <w:rPr>
          <w:lang w:val="en-GB"/>
        </w:rPr>
        <w:t>N</w:t>
      </w:r>
      <w:r w:rsidR="00B7164C">
        <w:rPr>
          <w:lang w:val="en-GB"/>
        </w:rPr>
        <w:t>oise, to protect consumers from exposure to too high audio levels into their ears.</w:t>
      </w:r>
      <w:r w:rsidR="00FA6F1F">
        <w:rPr>
          <w:lang w:val="en-GB"/>
        </w:rPr>
        <w:t xml:space="preserve"> Reply to CTIA </w:t>
      </w:r>
      <w:r w:rsidR="00B778C0">
        <w:rPr>
          <w:lang w:val="en-GB"/>
        </w:rPr>
        <w:t xml:space="preserve">CPWG Audio </w:t>
      </w:r>
      <w:r w:rsidR="00FA6F1F">
        <w:rPr>
          <w:lang w:val="en-GB"/>
        </w:rPr>
        <w:t>with how the committee intend to proceed with the matter.</w:t>
      </w:r>
    </w:p>
    <w:p w:rsidR="004E39FD" w:rsidRDefault="004E39FD" w:rsidP="004E39FD">
      <w:pPr>
        <w:pStyle w:val="Heading1"/>
        <w:spacing w:before="360" w:after="240"/>
        <w:rPr>
          <w:rFonts w:ascii="Century Gothic" w:hAnsi="Century Gothic" w:cs="Arial"/>
          <w:b w:val="0"/>
          <w:sz w:val="22"/>
          <w:szCs w:val="22"/>
        </w:rPr>
      </w:pPr>
      <w:r w:rsidRPr="005D77D9">
        <w:rPr>
          <w:rFonts w:ascii="Century Gothic" w:hAnsi="Century Gothic" w:cs="Arial"/>
          <w:b w:val="0"/>
          <w:sz w:val="22"/>
          <w:szCs w:val="22"/>
        </w:rPr>
        <w:t>Contact Info</w:t>
      </w:r>
      <w:r w:rsidR="002C58AA">
        <w:rPr>
          <w:rFonts w:ascii="Century Gothic" w:hAnsi="Century Gothic" w:cs="Arial"/>
          <w:b w:val="0"/>
          <w:sz w:val="22"/>
          <w:szCs w:val="22"/>
        </w:rPr>
        <w:t>:</w:t>
      </w:r>
    </w:p>
    <w:p w:rsidR="00057765" w:rsidRPr="00B778C0" w:rsidRDefault="00611BBC" w:rsidP="00057765">
      <w:pPr>
        <w:rPr>
          <w:lang w:val="sv-SE"/>
        </w:rPr>
      </w:pPr>
      <w:r w:rsidRPr="00B778C0">
        <w:rPr>
          <w:lang w:val="sv-SE"/>
        </w:rPr>
        <w:t>Fredrik Stenmark</w:t>
      </w:r>
      <w:r w:rsidR="00057765" w:rsidRPr="00B778C0">
        <w:rPr>
          <w:lang w:val="sv-SE"/>
        </w:rPr>
        <w:t xml:space="preserve">, </w:t>
      </w:r>
      <w:hyperlink r:id="rId7" w:history="1">
        <w:r w:rsidRPr="00B778C0">
          <w:rPr>
            <w:rStyle w:val="Hyperlink"/>
            <w:lang w:val="sv-SE"/>
          </w:rPr>
          <w:t>fredriks@qti.qualcomm.com</w:t>
        </w:r>
      </w:hyperlink>
      <w:r w:rsidR="00B778C0">
        <w:rPr>
          <w:rStyle w:val="Hyperlink"/>
          <w:lang w:val="sv-SE"/>
        </w:rPr>
        <w:t>,</w:t>
      </w:r>
      <w:r w:rsidR="00057765" w:rsidRPr="00B778C0">
        <w:rPr>
          <w:lang w:val="sv-SE"/>
        </w:rPr>
        <w:t xml:space="preserve"> +1 (</w:t>
      </w:r>
      <w:r w:rsidRPr="00B778C0">
        <w:rPr>
          <w:lang w:val="sv-SE"/>
        </w:rPr>
        <w:t>858</w:t>
      </w:r>
      <w:r w:rsidR="00057765" w:rsidRPr="00B778C0">
        <w:rPr>
          <w:lang w:val="sv-SE"/>
        </w:rPr>
        <w:t xml:space="preserve">) </w:t>
      </w:r>
      <w:r w:rsidRPr="00B778C0">
        <w:rPr>
          <w:lang w:val="sv-SE"/>
        </w:rPr>
        <w:t>845</w:t>
      </w:r>
      <w:r w:rsidR="00057765" w:rsidRPr="00B778C0">
        <w:rPr>
          <w:lang w:val="sv-SE"/>
        </w:rPr>
        <w:t>-</w:t>
      </w:r>
      <w:r w:rsidRPr="00B778C0">
        <w:rPr>
          <w:lang w:val="sv-SE"/>
        </w:rPr>
        <w:t>4110</w:t>
      </w:r>
    </w:p>
    <w:p w:rsidR="004E39FD" w:rsidRDefault="004E39FD" w:rsidP="004E39FD">
      <w:pPr>
        <w:pStyle w:val="Heading1"/>
        <w:spacing w:before="360" w:after="240"/>
        <w:rPr>
          <w:rFonts w:ascii="Century Gothic" w:hAnsi="Century Gothic" w:cs="Arial"/>
          <w:b w:val="0"/>
          <w:sz w:val="22"/>
          <w:szCs w:val="22"/>
        </w:rPr>
      </w:pPr>
      <w:r w:rsidRPr="005D77D9">
        <w:rPr>
          <w:rFonts w:ascii="Century Gothic" w:hAnsi="Century Gothic" w:cs="Arial"/>
          <w:b w:val="0"/>
          <w:sz w:val="22"/>
          <w:szCs w:val="22"/>
        </w:rPr>
        <w:t>References</w:t>
      </w:r>
      <w:r w:rsidR="002C58AA">
        <w:rPr>
          <w:rFonts w:ascii="Century Gothic" w:hAnsi="Century Gothic" w:cs="Arial"/>
          <w:b w:val="0"/>
          <w:sz w:val="22"/>
          <w:szCs w:val="22"/>
        </w:rPr>
        <w:t>:</w:t>
      </w:r>
    </w:p>
    <w:p w:rsidR="00C1499E" w:rsidRDefault="00C1499E" w:rsidP="00C1499E">
      <w:pPr>
        <w:rPr>
          <w:lang w:val="en-GB"/>
        </w:rPr>
      </w:pPr>
      <w:r>
        <w:rPr>
          <w:lang w:val="en-GB"/>
        </w:rPr>
        <w:t xml:space="preserve"> </w:t>
      </w:r>
      <w:r w:rsidR="00057765">
        <w:rPr>
          <w:lang w:val="en-GB"/>
        </w:rPr>
        <w:t xml:space="preserve">[1] </w:t>
      </w:r>
      <w:r>
        <w:rPr>
          <w:lang w:val="en-GB"/>
        </w:rPr>
        <w:t>3GPP TS 26.131 V14.1.0 “</w:t>
      </w:r>
      <w:r w:rsidRPr="00C1499E">
        <w:rPr>
          <w:lang w:val="en-GB"/>
        </w:rPr>
        <w:t>3rd Generation Partnership Project; Technical Specification Group Services and System Aspects; Terminal acoustic characteristics for telephony;</w:t>
      </w:r>
      <w:r>
        <w:rPr>
          <w:lang w:val="en-GB"/>
        </w:rPr>
        <w:t xml:space="preserve"> </w:t>
      </w:r>
      <w:r w:rsidRPr="00C1499E">
        <w:rPr>
          <w:lang w:val="en-GB"/>
        </w:rPr>
        <w:t>Requirements (Release 14)</w:t>
      </w:r>
      <w:r>
        <w:rPr>
          <w:lang w:val="en-GB"/>
        </w:rPr>
        <w:t>”</w:t>
      </w:r>
    </w:p>
    <w:p w:rsidR="00B778C0" w:rsidRPr="00B778C0" w:rsidRDefault="00B778C0" w:rsidP="00C1499E">
      <w:r w:rsidRPr="00B778C0">
        <w:t>[2] ETSI TC STQ TS 103 737/-739 V1.2.0: “Transmission requirements for narrowband wireless terminals (handset and headset) from a QoS perspective as perceived by the user”</w:t>
      </w:r>
    </w:p>
    <w:p w:rsidR="00057765" w:rsidRPr="00B778C0" w:rsidRDefault="00057765" w:rsidP="00C1499E"/>
    <w:p w:rsidR="00057765" w:rsidRPr="005D77D9" w:rsidRDefault="00342D8B" w:rsidP="002830F8">
      <w:pPr>
        <w:spacing w:before="360" w:after="240"/>
        <w:rPr>
          <w:rFonts w:ascii="Century Gothic" w:hAnsi="Century Gothic" w:cs="Arial"/>
          <w:sz w:val="22"/>
          <w:szCs w:val="22"/>
        </w:rPr>
      </w:pPr>
      <w:r w:rsidRPr="005D77D9">
        <w:rPr>
          <w:rFonts w:ascii="Century Gothic" w:hAnsi="Century Gothic" w:cs="Arial"/>
          <w:sz w:val="22"/>
          <w:szCs w:val="22"/>
        </w:rPr>
        <w:t>Date</w:t>
      </w:r>
      <w:r w:rsidR="002830F8" w:rsidRPr="005D77D9">
        <w:rPr>
          <w:rFonts w:ascii="Century Gothic" w:hAnsi="Century Gothic" w:cs="Arial"/>
          <w:sz w:val="22"/>
          <w:szCs w:val="22"/>
        </w:rPr>
        <w:t xml:space="preserve"> of Next CTIA </w:t>
      </w:r>
      <w:r w:rsidR="00057765">
        <w:rPr>
          <w:rFonts w:ascii="Century Gothic" w:hAnsi="Century Gothic" w:cs="Arial"/>
          <w:sz w:val="22"/>
          <w:szCs w:val="22"/>
        </w:rPr>
        <w:t>CPWG Audio</w:t>
      </w:r>
      <w:r w:rsidR="00416940" w:rsidRPr="005D77D9">
        <w:rPr>
          <w:rFonts w:ascii="Century Gothic" w:hAnsi="Century Gothic" w:cs="Arial"/>
          <w:sz w:val="22"/>
          <w:szCs w:val="22"/>
        </w:rPr>
        <w:t xml:space="preserve"> </w:t>
      </w:r>
      <w:r w:rsidRPr="005D77D9">
        <w:rPr>
          <w:rFonts w:ascii="Century Gothic" w:hAnsi="Century Gothic" w:cs="Arial"/>
          <w:sz w:val="22"/>
          <w:szCs w:val="22"/>
        </w:rPr>
        <w:t>Meeting</w:t>
      </w:r>
      <w:r w:rsidR="002830F8" w:rsidRPr="005D77D9">
        <w:rPr>
          <w:rFonts w:ascii="Century Gothic" w:hAnsi="Century Gothic" w:cs="Arial"/>
          <w:sz w:val="22"/>
          <w:szCs w:val="22"/>
        </w:rPr>
        <w:t>:</w:t>
      </w:r>
      <w:r w:rsidR="00B778C0">
        <w:rPr>
          <w:rFonts w:ascii="Century Gothic" w:hAnsi="Century Gothic" w:cs="Arial"/>
          <w:sz w:val="22"/>
          <w:szCs w:val="22"/>
        </w:rPr>
        <w:t xml:space="preserve">  13</w:t>
      </w:r>
      <w:r w:rsidR="00057765">
        <w:rPr>
          <w:rFonts w:ascii="Century Gothic" w:hAnsi="Century Gothic" w:cs="Arial"/>
          <w:sz w:val="22"/>
          <w:szCs w:val="22"/>
        </w:rPr>
        <w:t xml:space="preserve"> </w:t>
      </w:r>
      <w:r w:rsidR="00B778C0">
        <w:rPr>
          <w:rFonts w:ascii="Century Gothic" w:hAnsi="Century Gothic" w:cs="Arial"/>
          <w:sz w:val="22"/>
          <w:szCs w:val="22"/>
        </w:rPr>
        <w:t>Dece</w:t>
      </w:r>
      <w:r w:rsidR="00611BBC">
        <w:rPr>
          <w:rFonts w:ascii="Century Gothic" w:hAnsi="Century Gothic" w:cs="Arial"/>
          <w:sz w:val="22"/>
          <w:szCs w:val="22"/>
        </w:rPr>
        <w:t>mber</w:t>
      </w:r>
      <w:r w:rsidR="00057765">
        <w:rPr>
          <w:rFonts w:ascii="Century Gothic" w:hAnsi="Century Gothic" w:cs="Arial"/>
          <w:sz w:val="22"/>
          <w:szCs w:val="22"/>
        </w:rPr>
        <w:t xml:space="preserve"> 201</w:t>
      </w:r>
      <w:r w:rsidR="00611BBC">
        <w:rPr>
          <w:rFonts w:ascii="Century Gothic" w:hAnsi="Century Gothic" w:cs="Arial"/>
          <w:sz w:val="22"/>
          <w:szCs w:val="22"/>
        </w:rPr>
        <w:t>7</w:t>
      </w:r>
    </w:p>
    <w:sectPr w:rsidR="00057765" w:rsidRPr="005D77D9" w:rsidSect="002311C3">
      <w:footerReference w:type="default" r:id="rId8"/>
      <w:headerReference w:type="first" r:id="rId9"/>
      <w:pgSz w:w="12240" w:h="15840" w:code="1"/>
      <w:pgMar w:top="1440" w:right="1797" w:bottom="1440" w:left="1797"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A3B" w:rsidRDefault="00570A3B">
      <w:r>
        <w:separator/>
      </w:r>
    </w:p>
  </w:endnote>
  <w:endnote w:type="continuationSeparator" w:id="0">
    <w:p w:rsidR="00570A3B" w:rsidRDefault="00570A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7D9" w:rsidRDefault="005D77D9">
    <w:pPr>
      <w:pStyle w:val="Footer"/>
      <w:jc w:val="right"/>
    </w:pPr>
    <w:r>
      <w:rPr>
        <w:rStyle w:val="PageNumber"/>
      </w:rPr>
      <w:t xml:space="preserve">Page </w:t>
    </w:r>
    <w:r w:rsidR="005343F7">
      <w:rPr>
        <w:rStyle w:val="PageNumber"/>
      </w:rPr>
      <w:fldChar w:fldCharType="begin"/>
    </w:r>
    <w:r>
      <w:rPr>
        <w:rStyle w:val="PageNumber"/>
      </w:rPr>
      <w:instrText xml:space="preserve"> PAGE </w:instrText>
    </w:r>
    <w:r w:rsidR="005343F7">
      <w:rPr>
        <w:rStyle w:val="PageNumber"/>
      </w:rPr>
      <w:fldChar w:fldCharType="separate"/>
    </w:r>
    <w:r w:rsidR="002311C3">
      <w:rPr>
        <w:rStyle w:val="PageNumber"/>
        <w:noProof/>
      </w:rPr>
      <w:t>2</w:t>
    </w:r>
    <w:r w:rsidR="005343F7">
      <w:rPr>
        <w:rStyle w:val="PageNumber"/>
      </w:rPr>
      <w:fldChar w:fldCharType="end"/>
    </w:r>
    <w:r>
      <w:rPr>
        <w:rStyle w:val="PageNumber"/>
      </w:rPr>
      <w:t xml:space="preserve"> of </w:t>
    </w:r>
    <w:r w:rsidR="005343F7">
      <w:rPr>
        <w:rStyle w:val="PageNumber"/>
      </w:rPr>
      <w:fldChar w:fldCharType="begin"/>
    </w:r>
    <w:r>
      <w:rPr>
        <w:rStyle w:val="PageNumber"/>
      </w:rPr>
      <w:instrText xml:space="preserve"> NUMPAGES </w:instrText>
    </w:r>
    <w:r w:rsidR="005343F7">
      <w:rPr>
        <w:rStyle w:val="PageNumber"/>
      </w:rPr>
      <w:fldChar w:fldCharType="separate"/>
    </w:r>
    <w:r w:rsidR="002311C3">
      <w:rPr>
        <w:rStyle w:val="PageNumber"/>
        <w:noProof/>
      </w:rPr>
      <w:t>2</w:t>
    </w:r>
    <w:r w:rsidR="005343F7">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A3B" w:rsidRDefault="00570A3B">
      <w:r>
        <w:separator/>
      </w:r>
    </w:p>
  </w:footnote>
  <w:footnote w:type="continuationSeparator" w:id="0">
    <w:p w:rsidR="00570A3B" w:rsidRDefault="00570A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1C3" w:rsidRPr="0084724A" w:rsidRDefault="002311C3" w:rsidP="002311C3">
    <w:pPr>
      <w:tabs>
        <w:tab w:val="right" w:pos="9356"/>
      </w:tabs>
      <w:rPr>
        <w:rFonts w:cs="Arial"/>
        <w:b/>
        <w:i/>
      </w:rPr>
    </w:pPr>
    <w:r w:rsidRPr="0084724A">
      <w:rPr>
        <w:rFonts w:cs="Arial"/>
      </w:rPr>
      <w:t>TSG SA4#9</w:t>
    </w:r>
    <w:r>
      <w:rPr>
        <w:rFonts w:cs="Arial"/>
      </w:rPr>
      <w:t>6</w:t>
    </w:r>
    <w:r w:rsidRPr="0084724A">
      <w:rPr>
        <w:rFonts w:cs="Arial"/>
      </w:rPr>
      <w:t xml:space="preserve"> meeting</w:t>
    </w:r>
    <w:r w:rsidRPr="0084724A">
      <w:rPr>
        <w:rFonts w:cs="Arial"/>
        <w:b/>
        <w:i/>
      </w:rPr>
      <w:tab/>
    </w:r>
    <w:r w:rsidRPr="0084724A">
      <w:rPr>
        <w:rFonts w:cs="Arial"/>
        <w:b/>
        <w:i/>
        <w:sz w:val="28"/>
        <w:szCs w:val="28"/>
      </w:rPr>
      <w:t>Tdoc S4-</w:t>
    </w:r>
    <w:r>
      <w:rPr>
        <w:rFonts w:cs="Arial"/>
        <w:b/>
        <w:i/>
        <w:sz w:val="28"/>
        <w:szCs w:val="28"/>
      </w:rPr>
      <w:t>171243</w:t>
    </w:r>
  </w:p>
  <w:p w:rsidR="002311C3" w:rsidRPr="0084724A" w:rsidRDefault="002311C3" w:rsidP="002311C3">
    <w:pPr>
      <w:tabs>
        <w:tab w:val="right" w:pos="9360"/>
      </w:tabs>
      <w:rPr>
        <w:rFonts w:cs="Arial"/>
        <w:b/>
        <w:lang w:eastAsia="zh-CN"/>
      </w:rPr>
    </w:pPr>
    <w:r>
      <w:rPr>
        <w:rFonts w:cs="Arial"/>
        <w:lang w:eastAsia="zh-CN"/>
      </w:rPr>
      <w:t>13-17</w:t>
    </w:r>
    <w:r w:rsidRPr="0084724A">
      <w:rPr>
        <w:rFonts w:cs="Arial"/>
        <w:lang w:eastAsia="zh-CN"/>
      </w:rPr>
      <w:t xml:space="preserve"> </w:t>
    </w:r>
    <w:r>
      <w:rPr>
        <w:rFonts w:cs="Arial"/>
        <w:lang w:eastAsia="zh-CN"/>
      </w:rPr>
      <w:t>November 2017</w:t>
    </w:r>
    <w:r w:rsidRPr="0084724A">
      <w:rPr>
        <w:rFonts w:cs="Arial"/>
        <w:lang w:eastAsia="zh-CN"/>
      </w:rPr>
      <w:t xml:space="preserve">, </w:t>
    </w:r>
    <w:r w:rsidRPr="009B7B62">
      <w:rPr>
        <w:rFonts w:cs="Arial"/>
        <w:lang w:eastAsia="zh-CN"/>
      </w:rPr>
      <w:t>Albuquerque, New Mexico</w:t>
    </w:r>
    <w:r>
      <w:rPr>
        <w:rFonts w:cs="Arial"/>
        <w:lang w:eastAsia="zh-CN"/>
      </w:rPr>
      <w:t>, USA</w:t>
    </w:r>
    <w:r>
      <w:rPr>
        <w:rFonts w:cs="Arial"/>
        <w:lang w:eastAsia="zh-CN"/>
      </w:rPr>
      <w:tab/>
      <w:t>Agenda Item: 6.3</w:t>
    </w:r>
  </w:p>
  <w:p w:rsidR="002311C3" w:rsidRDefault="002311C3" w:rsidP="002311C3">
    <w:pPr>
      <w:pStyle w:val="Header"/>
      <w:rPr>
        <w:noProof/>
      </w:rPr>
    </w:pPr>
  </w:p>
  <w:p w:rsidR="002311C3" w:rsidRDefault="002311C3" w:rsidP="002311C3">
    <w:pPr>
      <w:pStyle w:val="Header"/>
    </w:pPr>
    <w:r w:rsidRPr="002B5954">
      <w:rPr>
        <w:noProof/>
      </w:rPr>
      <w:drawing>
        <wp:inline distT="0" distB="0" distL="0" distR="0">
          <wp:extent cx="1809750" cy="438150"/>
          <wp:effectExtent l="19050" t="0" r="0" b="0"/>
          <wp:docPr id="1" name="Picture 1" descr="http://hdportal.ctia.org:9996/AvatarHandler.ashx?fid=15353&amp;key=3000548665"/>
          <wp:cNvGraphicFramePr/>
          <a:graphic xmlns:a="http://schemas.openxmlformats.org/drawingml/2006/main">
            <a:graphicData uri="http://schemas.openxmlformats.org/drawingml/2006/picture">
              <pic:pic xmlns:pic="http://schemas.openxmlformats.org/drawingml/2006/picture">
                <pic:nvPicPr>
                  <pic:cNvPr id="0" name="Picture 1" descr="http://hdportal.ctia.org:9996/AvatarHandler.ashx?fid=15353&amp;key=3000548665"/>
                  <pic:cNvPicPr>
                    <a:picLocks noChangeAspect="1" noChangeArrowheads="1"/>
                  </pic:cNvPicPr>
                </pic:nvPicPr>
                <pic:blipFill>
                  <a:blip r:embed="rId1"/>
                  <a:srcRect/>
                  <a:stretch>
                    <a:fillRect/>
                  </a:stretch>
                </pic:blipFill>
                <pic:spPr bwMode="auto">
                  <a:xfrm>
                    <a:off x="0" y="0"/>
                    <a:ext cx="1809750" cy="438150"/>
                  </a:xfrm>
                  <a:prstGeom prst="rect">
                    <a:avLst/>
                  </a:prstGeom>
                  <a:noFill/>
                  <a:ln w="9525">
                    <a:noFill/>
                    <a:miter lim="800000"/>
                    <a:headEnd/>
                    <a:tailEnd/>
                  </a:ln>
                </pic:spPr>
              </pic:pic>
            </a:graphicData>
          </a:graphic>
        </wp:inline>
      </w:drawing>
    </w:r>
  </w:p>
  <w:p w:rsidR="002311C3" w:rsidRDefault="002311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905A9"/>
    <w:multiLevelType w:val="hybridMultilevel"/>
    <w:tmpl w:val="C1825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5F0E84"/>
    <w:multiLevelType w:val="hybridMultilevel"/>
    <w:tmpl w:val="38A20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C319EF"/>
    <w:multiLevelType w:val="hybridMultilevel"/>
    <w:tmpl w:val="6B1C6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794FFC"/>
    <w:multiLevelType w:val="hybridMultilevel"/>
    <w:tmpl w:val="4E5A5246"/>
    <w:lvl w:ilvl="0" w:tplc="7C682AD4">
      <w:start w:val="1"/>
      <w:numFmt w:val="decimal"/>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3D40C3"/>
    <w:multiLevelType w:val="hybridMultilevel"/>
    <w:tmpl w:val="8090A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143888"/>
    <w:multiLevelType w:val="hybridMultilevel"/>
    <w:tmpl w:val="0F048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4B02A3"/>
    <w:multiLevelType w:val="hybridMultilevel"/>
    <w:tmpl w:val="AA9EFD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5"/>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043A11"/>
    <w:rsid w:val="000104B1"/>
    <w:rsid w:val="0002000C"/>
    <w:rsid w:val="00027A8D"/>
    <w:rsid w:val="00043A11"/>
    <w:rsid w:val="00046119"/>
    <w:rsid w:val="00057765"/>
    <w:rsid w:val="00073CBB"/>
    <w:rsid w:val="00084C6C"/>
    <w:rsid w:val="000A170D"/>
    <w:rsid w:val="000C1EE4"/>
    <w:rsid w:val="000C2C00"/>
    <w:rsid w:val="000E682E"/>
    <w:rsid w:val="000F724C"/>
    <w:rsid w:val="0012020C"/>
    <w:rsid w:val="00123287"/>
    <w:rsid w:val="00126074"/>
    <w:rsid w:val="001540CF"/>
    <w:rsid w:val="00170B55"/>
    <w:rsid w:val="0017238B"/>
    <w:rsid w:val="00175439"/>
    <w:rsid w:val="001854B6"/>
    <w:rsid w:val="00196FCB"/>
    <w:rsid w:val="001A1E42"/>
    <w:rsid w:val="001C2E21"/>
    <w:rsid w:val="001E2D47"/>
    <w:rsid w:val="001E6A5B"/>
    <w:rsid w:val="001F0F06"/>
    <w:rsid w:val="001F3353"/>
    <w:rsid w:val="0021187C"/>
    <w:rsid w:val="00226A9E"/>
    <w:rsid w:val="002311C3"/>
    <w:rsid w:val="00276526"/>
    <w:rsid w:val="002830F8"/>
    <w:rsid w:val="002A688B"/>
    <w:rsid w:val="002B5954"/>
    <w:rsid w:val="002C4D9B"/>
    <w:rsid w:val="002C50E5"/>
    <w:rsid w:val="002C58AA"/>
    <w:rsid w:val="002D18B7"/>
    <w:rsid w:val="002E626F"/>
    <w:rsid w:val="002F407A"/>
    <w:rsid w:val="002F59AF"/>
    <w:rsid w:val="002F600D"/>
    <w:rsid w:val="003312A3"/>
    <w:rsid w:val="00337EA9"/>
    <w:rsid w:val="00342D8B"/>
    <w:rsid w:val="0036030C"/>
    <w:rsid w:val="00393D3A"/>
    <w:rsid w:val="003B2379"/>
    <w:rsid w:val="003B4857"/>
    <w:rsid w:val="003C4347"/>
    <w:rsid w:val="003E47F5"/>
    <w:rsid w:val="00401A06"/>
    <w:rsid w:val="00413CBD"/>
    <w:rsid w:val="00416940"/>
    <w:rsid w:val="0044475A"/>
    <w:rsid w:val="004453AA"/>
    <w:rsid w:val="0044562C"/>
    <w:rsid w:val="004813AC"/>
    <w:rsid w:val="004900FD"/>
    <w:rsid w:val="004A4883"/>
    <w:rsid w:val="004A4D19"/>
    <w:rsid w:val="004A7C9B"/>
    <w:rsid w:val="004B49E4"/>
    <w:rsid w:val="004C5EB8"/>
    <w:rsid w:val="004E39FD"/>
    <w:rsid w:val="004F266E"/>
    <w:rsid w:val="005343F7"/>
    <w:rsid w:val="00534D96"/>
    <w:rsid w:val="00544FA6"/>
    <w:rsid w:val="005653CA"/>
    <w:rsid w:val="00566CBE"/>
    <w:rsid w:val="00570A3B"/>
    <w:rsid w:val="00570BCA"/>
    <w:rsid w:val="005806C8"/>
    <w:rsid w:val="00586012"/>
    <w:rsid w:val="005A4DBF"/>
    <w:rsid w:val="005B4721"/>
    <w:rsid w:val="005D0EE0"/>
    <w:rsid w:val="005D32B0"/>
    <w:rsid w:val="005D77D9"/>
    <w:rsid w:val="005F0A73"/>
    <w:rsid w:val="005F2FEC"/>
    <w:rsid w:val="00611BBC"/>
    <w:rsid w:val="006532E5"/>
    <w:rsid w:val="006753E4"/>
    <w:rsid w:val="00683C97"/>
    <w:rsid w:val="006A149D"/>
    <w:rsid w:val="006A7885"/>
    <w:rsid w:val="006C508A"/>
    <w:rsid w:val="006E1583"/>
    <w:rsid w:val="006F3EC9"/>
    <w:rsid w:val="006F4486"/>
    <w:rsid w:val="006F7DB7"/>
    <w:rsid w:val="007059A0"/>
    <w:rsid w:val="00730CC2"/>
    <w:rsid w:val="00734B02"/>
    <w:rsid w:val="0074077F"/>
    <w:rsid w:val="00752E9F"/>
    <w:rsid w:val="00767698"/>
    <w:rsid w:val="0076794D"/>
    <w:rsid w:val="00792FBE"/>
    <w:rsid w:val="007A2D94"/>
    <w:rsid w:val="007B2F71"/>
    <w:rsid w:val="007B440E"/>
    <w:rsid w:val="007B692A"/>
    <w:rsid w:val="007B6EC4"/>
    <w:rsid w:val="007D6A42"/>
    <w:rsid w:val="007E3249"/>
    <w:rsid w:val="007F20B0"/>
    <w:rsid w:val="0080291F"/>
    <w:rsid w:val="00814489"/>
    <w:rsid w:val="00816938"/>
    <w:rsid w:val="00834F18"/>
    <w:rsid w:val="00835ABB"/>
    <w:rsid w:val="0083638E"/>
    <w:rsid w:val="00864191"/>
    <w:rsid w:val="00865057"/>
    <w:rsid w:val="00876435"/>
    <w:rsid w:val="0089308C"/>
    <w:rsid w:val="0089611D"/>
    <w:rsid w:val="008B2601"/>
    <w:rsid w:val="00926158"/>
    <w:rsid w:val="00945BCD"/>
    <w:rsid w:val="00971262"/>
    <w:rsid w:val="0097694B"/>
    <w:rsid w:val="00990D11"/>
    <w:rsid w:val="009B5813"/>
    <w:rsid w:val="009E22B7"/>
    <w:rsid w:val="009E59D0"/>
    <w:rsid w:val="009E604B"/>
    <w:rsid w:val="00A21308"/>
    <w:rsid w:val="00A40D95"/>
    <w:rsid w:val="00A42E22"/>
    <w:rsid w:val="00A47CE2"/>
    <w:rsid w:val="00A50718"/>
    <w:rsid w:val="00A73508"/>
    <w:rsid w:val="00A85D4C"/>
    <w:rsid w:val="00A8639F"/>
    <w:rsid w:val="00AA3919"/>
    <w:rsid w:val="00AD1052"/>
    <w:rsid w:val="00AE1874"/>
    <w:rsid w:val="00AF0FFB"/>
    <w:rsid w:val="00B2390B"/>
    <w:rsid w:val="00B3166C"/>
    <w:rsid w:val="00B5341F"/>
    <w:rsid w:val="00B56F79"/>
    <w:rsid w:val="00B62F32"/>
    <w:rsid w:val="00B636A6"/>
    <w:rsid w:val="00B7164C"/>
    <w:rsid w:val="00B778C0"/>
    <w:rsid w:val="00B8682B"/>
    <w:rsid w:val="00B9612B"/>
    <w:rsid w:val="00BA6996"/>
    <w:rsid w:val="00BB2820"/>
    <w:rsid w:val="00BB3328"/>
    <w:rsid w:val="00BB6F53"/>
    <w:rsid w:val="00BC0F85"/>
    <w:rsid w:val="00BC2D2C"/>
    <w:rsid w:val="00BC6554"/>
    <w:rsid w:val="00BD5455"/>
    <w:rsid w:val="00BD567C"/>
    <w:rsid w:val="00BD79C0"/>
    <w:rsid w:val="00BF1A9F"/>
    <w:rsid w:val="00C03722"/>
    <w:rsid w:val="00C1499E"/>
    <w:rsid w:val="00C2421D"/>
    <w:rsid w:val="00C25DF6"/>
    <w:rsid w:val="00C3577E"/>
    <w:rsid w:val="00C35C48"/>
    <w:rsid w:val="00C37480"/>
    <w:rsid w:val="00C55DC5"/>
    <w:rsid w:val="00C66900"/>
    <w:rsid w:val="00C76211"/>
    <w:rsid w:val="00C810B2"/>
    <w:rsid w:val="00CB1E29"/>
    <w:rsid w:val="00CB2533"/>
    <w:rsid w:val="00CB7E77"/>
    <w:rsid w:val="00CC3961"/>
    <w:rsid w:val="00CD75C3"/>
    <w:rsid w:val="00CD7A23"/>
    <w:rsid w:val="00CE57C3"/>
    <w:rsid w:val="00CE58AA"/>
    <w:rsid w:val="00CE6941"/>
    <w:rsid w:val="00CF339B"/>
    <w:rsid w:val="00CF4C43"/>
    <w:rsid w:val="00D01C9C"/>
    <w:rsid w:val="00D0257C"/>
    <w:rsid w:val="00D25480"/>
    <w:rsid w:val="00D40314"/>
    <w:rsid w:val="00D6373C"/>
    <w:rsid w:val="00D73528"/>
    <w:rsid w:val="00D75F1F"/>
    <w:rsid w:val="00D96365"/>
    <w:rsid w:val="00DA6BE5"/>
    <w:rsid w:val="00DE20F7"/>
    <w:rsid w:val="00DF59B4"/>
    <w:rsid w:val="00E04E96"/>
    <w:rsid w:val="00E118C2"/>
    <w:rsid w:val="00E432FB"/>
    <w:rsid w:val="00E64ED0"/>
    <w:rsid w:val="00E76850"/>
    <w:rsid w:val="00E820A4"/>
    <w:rsid w:val="00E861C8"/>
    <w:rsid w:val="00EA38BF"/>
    <w:rsid w:val="00ED0FFC"/>
    <w:rsid w:val="00F02CE9"/>
    <w:rsid w:val="00F0344A"/>
    <w:rsid w:val="00F25FA7"/>
    <w:rsid w:val="00F260B4"/>
    <w:rsid w:val="00F30D82"/>
    <w:rsid w:val="00F50C96"/>
    <w:rsid w:val="00F5303F"/>
    <w:rsid w:val="00F666A2"/>
    <w:rsid w:val="00F91734"/>
    <w:rsid w:val="00F94764"/>
    <w:rsid w:val="00F95805"/>
    <w:rsid w:val="00FA6F1F"/>
    <w:rsid w:val="00FD34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EC9"/>
    <w:pPr>
      <w:widowControl w:val="0"/>
    </w:pPr>
    <w:rPr>
      <w:rFonts w:ascii="Arial" w:hAnsi="Arial"/>
    </w:rPr>
  </w:style>
  <w:style w:type="paragraph" w:styleId="Heading1">
    <w:name w:val="heading 1"/>
    <w:basedOn w:val="Normal"/>
    <w:next w:val="Normal"/>
    <w:link w:val="Heading1Char"/>
    <w:qFormat/>
    <w:rsid w:val="006F3EC9"/>
    <w:pPr>
      <w:keepNext/>
      <w:widowControl/>
      <w:outlineLvl w:val="0"/>
    </w:pPr>
    <w:rPr>
      <w:b/>
      <w:sz w:val="24"/>
      <w:u w:val="single"/>
      <w:lang w:val="en-GB"/>
    </w:rPr>
  </w:style>
  <w:style w:type="paragraph" w:styleId="Heading2">
    <w:name w:val="heading 2"/>
    <w:basedOn w:val="Normal"/>
    <w:next w:val="Normal"/>
    <w:qFormat/>
    <w:rsid w:val="006F3EC9"/>
    <w:pPr>
      <w:keepNext/>
      <w:widowControl/>
      <w:outlineLvl w:val="1"/>
    </w:pPr>
    <w:rPr>
      <w:b/>
      <w:lang w:val="en-GB"/>
    </w:rPr>
  </w:style>
  <w:style w:type="paragraph" w:styleId="Heading3">
    <w:name w:val="heading 3"/>
    <w:basedOn w:val="Normal"/>
    <w:next w:val="Normal"/>
    <w:qFormat/>
    <w:rsid w:val="006F3EC9"/>
    <w:pPr>
      <w:keepNext/>
      <w:outlineLvl w:val="2"/>
    </w:pPr>
    <w:rPr>
      <w:b/>
      <w:bCs/>
      <w:sz w:val="24"/>
    </w:rPr>
  </w:style>
  <w:style w:type="paragraph" w:styleId="Heading4">
    <w:name w:val="heading 4"/>
    <w:basedOn w:val="Normal"/>
    <w:next w:val="Normal"/>
    <w:qFormat/>
    <w:rsid w:val="006F3EC9"/>
    <w:pPr>
      <w:keepNext/>
      <w:outlineLvl w:val="3"/>
    </w:pPr>
    <w:rPr>
      <w:rFonts w:ascii="Helvetica" w:hAnsi="Helvetic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F3EC9"/>
    <w:pPr>
      <w:widowControl/>
      <w:jc w:val="center"/>
    </w:pPr>
    <w:rPr>
      <w:b/>
      <w:sz w:val="36"/>
      <w:lang w:val="en-GB"/>
    </w:rPr>
  </w:style>
  <w:style w:type="paragraph" w:styleId="Subtitle">
    <w:name w:val="Subtitle"/>
    <w:basedOn w:val="Normal"/>
    <w:qFormat/>
    <w:rsid w:val="006F3EC9"/>
    <w:rPr>
      <w:b/>
      <w:bCs/>
      <w:sz w:val="24"/>
    </w:rPr>
  </w:style>
  <w:style w:type="paragraph" w:styleId="Header">
    <w:name w:val="header"/>
    <w:basedOn w:val="Normal"/>
    <w:rsid w:val="006F3EC9"/>
    <w:pPr>
      <w:tabs>
        <w:tab w:val="center" w:pos="4320"/>
        <w:tab w:val="right" w:pos="8640"/>
      </w:tabs>
    </w:pPr>
  </w:style>
  <w:style w:type="paragraph" w:styleId="Footer">
    <w:name w:val="footer"/>
    <w:basedOn w:val="Normal"/>
    <w:rsid w:val="006F3EC9"/>
    <w:pPr>
      <w:tabs>
        <w:tab w:val="center" w:pos="4320"/>
        <w:tab w:val="right" w:pos="8640"/>
      </w:tabs>
    </w:pPr>
  </w:style>
  <w:style w:type="character" w:styleId="PageNumber">
    <w:name w:val="page number"/>
    <w:basedOn w:val="DefaultParagraphFont"/>
    <w:rsid w:val="006F3EC9"/>
  </w:style>
  <w:style w:type="character" w:styleId="Hyperlink">
    <w:name w:val="Hyperlink"/>
    <w:rsid w:val="00C3577E"/>
    <w:rPr>
      <w:color w:val="0000FF"/>
      <w:u w:val="single"/>
    </w:rPr>
  </w:style>
  <w:style w:type="character" w:customStyle="1" w:styleId="Heading1Char">
    <w:name w:val="Heading 1 Char"/>
    <w:link w:val="Heading1"/>
    <w:rsid w:val="004E39FD"/>
    <w:rPr>
      <w:rFonts w:ascii="Arial" w:hAnsi="Arial"/>
      <w:b/>
      <w:sz w:val="24"/>
      <w:u w:val="single"/>
      <w:lang w:val="en-GB"/>
    </w:rPr>
  </w:style>
  <w:style w:type="paragraph" w:styleId="BodyText">
    <w:name w:val="Body Text"/>
    <w:basedOn w:val="Normal"/>
    <w:link w:val="BodyTextChar"/>
    <w:rsid w:val="004E39FD"/>
    <w:pPr>
      <w:widowControl/>
      <w:spacing w:after="120"/>
    </w:pPr>
    <w:rPr>
      <w:rFonts w:ascii="Times New Roman" w:hAnsi="Times New Roman"/>
      <w:lang w:val="en-GB"/>
    </w:rPr>
  </w:style>
  <w:style w:type="character" w:customStyle="1" w:styleId="BodyTextChar">
    <w:name w:val="Body Text Char"/>
    <w:link w:val="BodyText"/>
    <w:rsid w:val="004E39FD"/>
    <w:rPr>
      <w:lang w:val="en-GB"/>
    </w:rPr>
  </w:style>
  <w:style w:type="paragraph" w:styleId="BalloonText">
    <w:name w:val="Balloon Text"/>
    <w:basedOn w:val="Normal"/>
    <w:link w:val="BalloonTextChar"/>
    <w:rsid w:val="00175439"/>
    <w:rPr>
      <w:rFonts w:ascii="Tahoma" w:hAnsi="Tahoma" w:cs="Tahoma"/>
      <w:sz w:val="16"/>
      <w:szCs w:val="16"/>
    </w:rPr>
  </w:style>
  <w:style w:type="character" w:customStyle="1" w:styleId="BalloonTextChar">
    <w:name w:val="Balloon Text Char"/>
    <w:basedOn w:val="DefaultParagraphFont"/>
    <w:link w:val="BalloonText"/>
    <w:rsid w:val="00175439"/>
    <w:rPr>
      <w:rFonts w:ascii="Tahoma" w:hAnsi="Tahoma" w:cs="Tahoma"/>
      <w:sz w:val="16"/>
      <w:szCs w:val="16"/>
    </w:rPr>
  </w:style>
  <w:style w:type="character" w:styleId="CommentReference">
    <w:name w:val="annotation reference"/>
    <w:basedOn w:val="DefaultParagraphFont"/>
    <w:semiHidden/>
    <w:unhideWhenUsed/>
    <w:rsid w:val="00DA6BE5"/>
    <w:rPr>
      <w:sz w:val="16"/>
      <w:szCs w:val="16"/>
    </w:rPr>
  </w:style>
  <w:style w:type="paragraph" w:styleId="CommentText">
    <w:name w:val="annotation text"/>
    <w:basedOn w:val="Normal"/>
    <w:link w:val="CommentTextChar"/>
    <w:semiHidden/>
    <w:unhideWhenUsed/>
    <w:rsid w:val="00DA6BE5"/>
  </w:style>
  <w:style w:type="character" w:customStyle="1" w:styleId="CommentTextChar">
    <w:name w:val="Comment Text Char"/>
    <w:basedOn w:val="DefaultParagraphFont"/>
    <w:link w:val="CommentText"/>
    <w:semiHidden/>
    <w:rsid w:val="00DA6BE5"/>
    <w:rPr>
      <w:rFonts w:ascii="Arial" w:hAnsi="Arial"/>
    </w:rPr>
  </w:style>
  <w:style w:type="paragraph" w:styleId="CommentSubject">
    <w:name w:val="annotation subject"/>
    <w:basedOn w:val="CommentText"/>
    <w:next w:val="CommentText"/>
    <w:link w:val="CommentSubjectChar"/>
    <w:semiHidden/>
    <w:unhideWhenUsed/>
    <w:rsid w:val="00DA6BE5"/>
    <w:rPr>
      <w:b/>
      <w:bCs/>
    </w:rPr>
  </w:style>
  <w:style w:type="character" w:customStyle="1" w:styleId="CommentSubjectChar">
    <w:name w:val="Comment Subject Char"/>
    <w:basedOn w:val="CommentTextChar"/>
    <w:link w:val="CommentSubject"/>
    <w:semiHidden/>
    <w:rsid w:val="00DA6BE5"/>
    <w:rPr>
      <w:rFonts w:ascii="Arial" w:hAnsi="Arial"/>
      <w:b/>
      <w:bCs/>
    </w:rPr>
  </w:style>
  <w:style w:type="character" w:customStyle="1" w:styleId="UnresolvedMention">
    <w:name w:val="Unresolved Mention"/>
    <w:basedOn w:val="DefaultParagraphFont"/>
    <w:uiPriority w:val="99"/>
    <w:semiHidden/>
    <w:unhideWhenUsed/>
    <w:rsid w:val="00611BBC"/>
    <w:rPr>
      <w:color w:val="808080"/>
      <w:shd w:val="clear" w:color="auto" w:fill="E6E6E6"/>
    </w:rPr>
  </w:style>
  <w:style w:type="paragraph" w:customStyle="1" w:styleId="ZT">
    <w:name w:val="ZT"/>
    <w:rsid w:val="00C1499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C1499E"/>
  </w:style>
</w:styles>
</file>

<file path=word/webSettings.xml><?xml version="1.0" encoding="utf-8"?>
<w:webSettings xmlns:r="http://schemas.openxmlformats.org/officeDocument/2006/relationships" xmlns:w="http://schemas.openxmlformats.org/wordprocessingml/2006/main">
  <w:divs>
    <w:div w:id="224225888">
      <w:bodyDiv w:val="1"/>
      <w:marLeft w:val="0"/>
      <w:marRight w:val="0"/>
      <w:marTop w:val="0"/>
      <w:marBottom w:val="0"/>
      <w:divBdr>
        <w:top w:val="none" w:sz="0" w:space="0" w:color="auto"/>
        <w:left w:val="none" w:sz="0" w:space="0" w:color="auto"/>
        <w:bottom w:val="none" w:sz="0" w:space="0" w:color="auto"/>
        <w:right w:val="none" w:sz="0" w:space="0" w:color="auto"/>
      </w:divBdr>
    </w:div>
    <w:div w:id="1688481174">
      <w:bodyDiv w:val="1"/>
      <w:marLeft w:val="0"/>
      <w:marRight w:val="0"/>
      <w:marTop w:val="0"/>
      <w:marBottom w:val="0"/>
      <w:divBdr>
        <w:top w:val="none" w:sz="0" w:space="0" w:color="auto"/>
        <w:left w:val="none" w:sz="0" w:space="0" w:color="auto"/>
        <w:bottom w:val="none" w:sz="0" w:space="0" w:color="auto"/>
        <w:right w:val="none" w:sz="0" w:space="0" w:color="auto"/>
      </w:divBdr>
    </w:div>
    <w:div w:id="211131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fredriks@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1972</CharactersWithSpaces>
  <SharedDoc>false</SharedDoc>
  <HLinks>
    <vt:vector size="6" baseType="variant">
      <vt:variant>
        <vt:i4>3866747</vt:i4>
      </vt:variant>
      <vt:variant>
        <vt:i4>0</vt:i4>
      </vt:variant>
      <vt:variant>
        <vt:i4>0</vt:i4>
      </vt:variant>
      <vt:variant>
        <vt:i4>5</vt:i4>
      </vt:variant>
      <vt:variant>
        <vt:lpwstr>http://www.ctia.org/docs/default-source/default-document-library/ctia_mimo_ota_test_plan_v1_0.pdf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2017-11-09T09:23:00Z</dcterms:created>
  <dcterms:modified xsi:type="dcterms:W3CDTF">2017-11-09T09:25:00Z</dcterms:modified>
</cp:coreProperties>
</file>