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938B" w14:textId="1FAE4E32" w:rsidR="00047DCC" w:rsidRDefault="00047DCC" w:rsidP="00047DCC">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w:t>
      </w:r>
      <w:r w:rsidR="00955E82">
        <w:rPr>
          <w:b/>
          <w:noProof/>
          <w:sz w:val="24"/>
        </w:rPr>
        <w:t>4</w:t>
      </w:r>
      <w:r w:rsidR="001F2437">
        <w:rPr>
          <w:b/>
          <w:noProof/>
          <w:sz w:val="24"/>
        </w:rPr>
        <w:t>0254</w:t>
      </w:r>
    </w:p>
    <w:p w14:paraId="3FC720E0" w14:textId="77777777" w:rsidR="00047DCC" w:rsidRDefault="00047DCC" w:rsidP="00047DCC">
      <w:pPr>
        <w:pStyle w:val="CRCoverPage"/>
        <w:outlineLvl w:val="0"/>
        <w:rPr>
          <w:b/>
          <w:noProof/>
          <w:sz w:val="24"/>
        </w:rPr>
      </w:pPr>
      <w:r>
        <w:rPr>
          <w:b/>
          <w:noProof/>
          <w:sz w:val="24"/>
        </w:rPr>
        <w:t>Sophia-Antipolis, France, 29 January - 2 February 2024</w:t>
      </w:r>
    </w:p>
    <w:p w14:paraId="7146E855" w14:textId="77777777" w:rsidR="00DD40D2" w:rsidRPr="007B5456" w:rsidRDefault="00DD40D2">
      <w:pPr>
        <w:spacing w:after="120"/>
        <w:ind w:left="1985" w:hanging="1985"/>
        <w:rPr>
          <w:rFonts w:ascii="Arial" w:hAnsi="Arial" w:cs="Arial"/>
          <w:bCs/>
        </w:rPr>
      </w:pPr>
    </w:p>
    <w:p w14:paraId="484BE995" w14:textId="1BB3DE5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946C0">
        <w:rPr>
          <w:rFonts w:ascii="Arial" w:hAnsi="Arial" w:cs="Arial"/>
          <w:b/>
          <w:bCs/>
        </w:rPr>
        <w:t>Fraunhofer IIS</w:t>
      </w:r>
    </w:p>
    <w:p w14:paraId="234CD7C4" w14:textId="1C14E2F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B239E">
        <w:rPr>
          <w:rFonts w:ascii="Arial" w:hAnsi="Arial" w:cs="Arial"/>
          <w:b/>
          <w:bCs/>
        </w:rPr>
        <w:t>Trajectory</w:t>
      </w:r>
      <w:r w:rsidR="003A54B3">
        <w:rPr>
          <w:rFonts w:ascii="Arial" w:hAnsi="Arial" w:cs="Arial"/>
          <w:b/>
          <w:bCs/>
        </w:rPr>
        <w:t xml:space="preserve"> Nullification for Binaural Renderer Evaluation</w:t>
      </w:r>
    </w:p>
    <w:p w14:paraId="55FE3D7D" w14:textId="5B18788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C6A92">
        <w:rPr>
          <w:rFonts w:ascii="Arial" w:hAnsi="Arial" w:cs="Arial"/>
          <w:b/>
          <w:bCs/>
        </w:rPr>
        <w:t>7.5</w:t>
      </w:r>
    </w:p>
    <w:p w14:paraId="1589C299" w14:textId="68D29E7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E530E">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07EE060B" w14:textId="77777777" w:rsidR="009E47F3" w:rsidRDefault="009E47F3">
      <w:pPr>
        <w:rPr>
          <w:rFonts w:ascii="Arial" w:hAnsi="Arial" w:cs="Arial"/>
          <w:b/>
          <w:bCs/>
        </w:rPr>
      </w:pPr>
    </w:p>
    <w:p w14:paraId="4AA4BF59" w14:textId="7343272E" w:rsidR="004609E9" w:rsidRPr="00E62776" w:rsidRDefault="00144629" w:rsidP="00144629">
      <w:pPr>
        <w:pStyle w:val="Heading1"/>
        <w:rPr>
          <w:lang w:val="en-US"/>
        </w:rPr>
      </w:pPr>
      <w:r>
        <w:rPr>
          <w:lang w:val="en-US"/>
        </w:rPr>
        <w:t xml:space="preserve">1. </w:t>
      </w:r>
      <w:r w:rsidR="004609E9" w:rsidRPr="00E62776">
        <w:rPr>
          <w:lang w:val="en-US"/>
        </w:rPr>
        <w:t>Introduction</w:t>
      </w:r>
    </w:p>
    <w:p w14:paraId="2D4D9E69" w14:textId="28A479F4" w:rsidR="004609E9" w:rsidRPr="00E62776" w:rsidRDefault="004609E9" w:rsidP="00144629">
      <w:pPr>
        <w:pStyle w:val="00BodyText"/>
      </w:pPr>
      <w:r w:rsidRPr="00E62776">
        <w:t>This contribution is a follow-up to document S4-231709 [1] from SA4#126, where the concept of trajec</w:t>
      </w:r>
      <w:r w:rsidRPr="00B57243">
        <w:t>t</w:t>
      </w:r>
      <w:r w:rsidRPr="00E62776">
        <w:t>ory nullification was presented.</w:t>
      </w:r>
    </w:p>
    <w:p w14:paraId="15C2FD43" w14:textId="1A3BEC3E" w:rsidR="004609E9" w:rsidRPr="00E62776" w:rsidRDefault="004609E9" w:rsidP="00144629">
      <w:pPr>
        <w:pStyle w:val="Heading1"/>
        <w:rPr>
          <w:lang w:val="en-US"/>
        </w:rPr>
      </w:pPr>
      <w:r w:rsidRPr="00E62776">
        <w:rPr>
          <w:lang w:val="en-US"/>
        </w:rPr>
        <w:t>2</w:t>
      </w:r>
      <w:r w:rsidR="00144629">
        <w:rPr>
          <w:lang w:val="en-US"/>
        </w:rPr>
        <w:t xml:space="preserve">. </w:t>
      </w:r>
      <w:r w:rsidRPr="00E62776">
        <w:rPr>
          <w:lang w:val="en-US"/>
        </w:rPr>
        <w:t>Problem Statement</w:t>
      </w:r>
    </w:p>
    <w:p w14:paraId="747AA204" w14:textId="77777777" w:rsidR="004609E9" w:rsidRPr="00B57243" w:rsidRDefault="004609E9" w:rsidP="00144629">
      <w:pPr>
        <w:pStyle w:val="00BodyText"/>
      </w:pPr>
      <w:r w:rsidRPr="00B57243">
        <w:t>As discussed in [1], the background for the proposal was the previous experience of the source with evaluation of head-tracked binaural audio in "VRStream" and "MPEG-I Audio" exercises. There real-time rendering systems were utilized to switch between different parallel running renderers for binaural testing with head-tracking. However, setting up such a system is complex and error-prone. While this was managed in those two mentioned exercises, and there are clear benefits of experiencing head-tracked audio live, such as better involvement, feeling of externalization, etc., all leading to immersion into the sound scene, the issues should not be ignored:.</w:t>
      </w:r>
    </w:p>
    <w:p w14:paraId="1FA679E0" w14:textId="77777777" w:rsidR="004609E9" w:rsidRPr="00B57243" w:rsidRDefault="004609E9" w:rsidP="001B660F">
      <w:pPr>
        <w:pStyle w:val="Heading2"/>
      </w:pPr>
      <w:r w:rsidRPr="00B57243">
        <w:t>Quality of the head-tracking</w:t>
      </w:r>
    </w:p>
    <w:p w14:paraId="509E5AF8" w14:textId="77777777" w:rsidR="004609E9" w:rsidRPr="00B57243" w:rsidRDefault="004609E9" w:rsidP="00144629">
      <w:pPr>
        <w:pStyle w:val="00BodyText"/>
      </w:pPr>
      <w:r w:rsidRPr="00B57243">
        <w:t>Selection of head-trackers plays an important role for a convincing immersive sound experience. The main factors for QoE are accuracy of the head-tracking and the latency of the system. Especially the latency, leading to motion-to-sound (M2S) latency, plays a major role. Cost is of course another factor. Well affordable systems that only rely on IMUs (gyroscopes, magnetometers, accelerometers) also sometimes tend to drift, which has a detrimental effect on QoE.</w:t>
      </w:r>
    </w:p>
    <w:p w14:paraId="6614B8B4" w14:textId="77777777" w:rsidR="004609E9" w:rsidRPr="00B57243" w:rsidRDefault="004609E9" w:rsidP="001B660F">
      <w:pPr>
        <w:pStyle w:val="Heading2"/>
      </w:pPr>
      <w:r w:rsidRPr="00B57243">
        <w:t>Reproducibility</w:t>
      </w:r>
    </w:p>
    <w:p w14:paraId="43FEBEB6" w14:textId="77777777" w:rsidR="004609E9" w:rsidRPr="00B57243" w:rsidRDefault="004609E9" w:rsidP="00144629">
      <w:pPr>
        <w:pStyle w:val="00BodyText"/>
      </w:pPr>
      <w:r w:rsidRPr="00B57243">
        <w:t>Head movement is another factor affecting test results, beyond the condition under test and the hearing performance of the test subject. This extra factor allows to focus on entirely different audio experiences, which makes comparison among subjects impossible, as every subject may have had completely different audio presentations that were graded. Also in the case of multiple-stimuli testing, the different conditions such as reference and CuT may have been listened to with different poses, which may emphasize or mask critical parts of the audio signal.</w:t>
      </w:r>
    </w:p>
    <w:p w14:paraId="1EE7267C" w14:textId="77777777" w:rsidR="004609E9" w:rsidRPr="00B57243" w:rsidRDefault="004609E9" w:rsidP="001B660F">
      <w:pPr>
        <w:pStyle w:val="Heading2"/>
      </w:pPr>
      <w:r w:rsidRPr="00B57243">
        <w:t>Application of existing test methods</w:t>
      </w:r>
    </w:p>
    <w:p w14:paraId="24BC18C6" w14:textId="77777777" w:rsidR="004609E9" w:rsidRPr="00B57243" w:rsidRDefault="004609E9" w:rsidP="00144629">
      <w:pPr>
        <w:pStyle w:val="00BodyText"/>
      </w:pPr>
      <w:r w:rsidRPr="00B57243">
        <w:t>There is history in 3GPP to rely on existing test methods as much as possible. This ensures getting high-quality results that can be well interpreted. There are many implementations of those standard test methods (e.g. ITU-T P.800, BS.1534/MUSHRA, etc.) available that have been cross-verified. While there is constant evolution also in test methods, one needs to carefully balance the benefits and drawback of inventing a new method, especially if results should be reliable. In 3GPP a more conservative approach has always been used to ensure high-quality results.</w:t>
      </w:r>
    </w:p>
    <w:p w14:paraId="5F0F2078" w14:textId="11C6A093" w:rsidR="004609E9" w:rsidRPr="00E62776" w:rsidRDefault="004609E9" w:rsidP="00144629">
      <w:pPr>
        <w:pStyle w:val="Heading1"/>
        <w:rPr>
          <w:lang w:val="en-US"/>
        </w:rPr>
      </w:pPr>
      <w:r w:rsidRPr="00E62776">
        <w:rPr>
          <w:lang w:val="en-US"/>
        </w:rPr>
        <w:t>3.</w:t>
      </w:r>
      <w:r w:rsidR="005E36B7">
        <w:rPr>
          <w:lang w:val="en-US"/>
        </w:rPr>
        <w:t xml:space="preserve"> </w:t>
      </w:r>
      <w:r w:rsidRPr="00E62776">
        <w:rPr>
          <w:lang w:val="en-US"/>
        </w:rPr>
        <w:t>Trajectory Nullification</w:t>
      </w:r>
    </w:p>
    <w:p w14:paraId="625D92CE" w14:textId="77777777" w:rsidR="004609E9" w:rsidRPr="00B57243" w:rsidRDefault="004609E9" w:rsidP="00144629">
      <w:pPr>
        <w:pStyle w:val="00BodyText"/>
      </w:pPr>
      <w:r w:rsidRPr="00B57243">
        <w:t xml:space="preserve">Within the IVAS project, previous contributions have discussed the concept of "offline trajectories," where trajectories consisting of head poses at specific time instances (e.g., every 5ms or 20ms) are provided to the decoder/renderer to be able to use the same listening test methods as for binaural rendering without head-tracking. However, this approach can confuse listeners and induce nausea </w:t>
      </w:r>
      <w:r w:rsidRPr="00B57243">
        <w:lastRenderedPageBreak/>
        <w:t>because the sound scene is rotated according to the trajectory, while the listener's head pose remains independent and likely static (except for involuntary attempts to compensate for the trajectory during rendering).</w:t>
      </w:r>
    </w:p>
    <w:p w14:paraId="3AD5C24D" w14:textId="64853A29" w:rsidR="004609E9" w:rsidRPr="00B57243" w:rsidRDefault="004609E9" w:rsidP="00144629">
      <w:pPr>
        <w:pStyle w:val="00BodyText"/>
      </w:pPr>
      <w:r w:rsidRPr="00B57243">
        <w:t>Therefore, "trajectory nullification." has been proposed in [1]. This concept involves applying a</w:t>
      </w:r>
      <w:r w:rsidR="00D65EB3">
        <w:t xml:space="preserve">n inverted version of </w:t>
      </w:r>
      <w:r w:rsidRPr="00B57243">
        <w:t xml:space="preserve">a trajectory to the audio signal before rendering and </w:t>
      </w:r>
      <w:r w:rsidR="00D65EB3">
        <w:t xml:space="preserve">subsequently </w:t>
      </w:r>
      <w:r w:rsidRPr="00B57243">
        <w:t xml:space="preserve">rendering with the </w:t>
      </w:r>
      <w:r w:rsidR="009D2A30">
        <w:t>original</w:t>
      </w:r>
      <w:r w:rsidR="009D2A30" w:rsidRPr="00B57243">
        <w:t xml:space="preserve"> </w:t>
      </w:r>
      <w:r w:rsidRPr="00B57243">
        <w:t>trajectory, effectively nullifying the impact of the trajectory. The following figure illustrates the concept:</w:t>
      </w:r>
    </w:p>
    <w:p w14:paraId="358BD92B" w14:textId="77777777" w:rsidR="004609E9" w:rsidRPr="00B57243" w:rsidRDefault="004609E9" w:rsidP="00144629">
      <w:pPr>
        <w:pStyle w:val="00BodyText"/>
      </w:pPr>
    </w:p>
    <w:p w14:paraId="51170E40" w14:textId="044F5140" w:rsidR="004609E9" w:rsidRPr="00B57243" w:rsidRDefault="00CC0713" w:rsidP="00144629">
      <w:pPr>
        <w:pStyle w:val="00BodyText"/>
      </w:pPr>
      <w:r>
        <w:rPr>
          <w:noProof/>
        </w:rPr>
      </w:r>
      <w:r w:rsidR="00CC0713">
        <w:rPr>
          <w:noProof/>
        </w:rPr>
        <w:pict w14:anchorId="55CF3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in Bild, das Text, Screenshot, Design enthält.&#13;&#10;&#13;&#10;Automatisch generierte Beschreibung" style="width:492.5pt;height:185.75pt;mso-width-percent:0;mso-height-percent:0;mso-width-percent:0;mso-height-percent:0">
            <v:imagedata r:id="rId11" o:title="D8FD74FC"/>
          </v:shape>
        </w:pict>
      </w:r>
    </w:p>
    <w:p w14:paraId="7C8A9FF6" w14:textId="77777777" w:rsidR="004609E9" w:rsidRPr="00B57243" w:rsidRDefault="004609E9" w:rsidP="00144629">
      <w:pPr>
        <w:pStyle w:val="00BodyText"/>
      </w:pPr>
    </w:p>
    <w:p w14:paraId="6D27A417" w14:textId="77777777" w:rsidR="004609E9" w:rsidRPr="00B57243" w:rsidRDefault="004609E9" w:rsidP="00144629">
      <w:pPr>
        <w:pStyle w:val="00BodyText"/>
      </w:pPr>
      <w:r w:rsidRPr="00B57243">
        <w:t>The processing scripts can be used to apply the trajectory to input samples, and the IVAS decoder/renderer would receive the inverted trajectory for rendering. From the listener's perspective, the expected result would be a stable audio scene. Depending on the algorithms for pre-rotation and rotation in the rendering, the scene rotation may not fully preserve the original input signal but still preserve the orientation of the spatial scene. In case of e.g. Ambisonics, pre-rotation with the trajectory and rotation with the inverse trajectory would fully cancel out.</w:t>
      </w:r>
    </w:p>
    <w:p w14:paraId="24CEECA2" w14:textId="77777777" w:rsidR="004609E9" w:rsidRPr="00B57243" w:rsidRDefault="004609E9" w:rsidP="00144629">
      <w:pPr>
        <w:pStyle w:val="00BodyText"/>
      </w:pPr>
      <w:r w:rsidRPr="00B57243">
        <w:t>This type of testing can be fully processed offline without the need for real-time rendering. References and anchors can remain the same conditions as in the already conducted listening tests. It becomes also theoretically possible to test head-tracking in a test with other binaural conditions, such tests may though require further experimentation.</w:t>
      </w:r>
    </w:p>
    <w:p w14:paraId="3158DA72" w14:textId="77777777" w:rsidR="004609E9" w:rsidRPr="00B57243" w:rsidRDefault="004609E9" w:rsidP="00144629">
      <w:pPr>
        <w:pStyle w:val="00BodyText"/>
      </w:pPr>
      <w:r w:rsidRPr="00B57243">
        <w:t>For test conditions where head-tracking does not function as expected, spatial rotations would be audible in the test samples, causing some degradation, which would be downrated. The source's previous work on the "dizzer" anchor (see [1]) can be seen as a similar concept, where intentional rotations are inserted. The artifacts introduced by trajectory nullification would be of a similar nature.</w:t>
      </w:r>
    </w:p>
    <w:p w14:paraId="38C107DA" w14:textId="77777777" w:rsidR="004609E9" w:rsidRPr="00B57243" w:rsidRDefault="004609E9" w:rsidP="00144629">
      <w:pPr>
        <w:pStyle w:val="00BodyText"/>
      </w:pPr>
      <w:r w:rsidRPr="00B57243">
        <w:t>In the following the rotations for the individual formats are outlined:</w:t>
      </w:r>
    </w:p>
    <w:p w14:paraId="60571820" w14:textId="77777777" w:rsidR="004609E9" w:rsidRPr="003D37EA" w:rsidRDefault="004609E9" w:rsidP="00FD200E">
      <w:pPr>
        <w:pStyle w:val="B1"/>
        <w:numPr>
          <w:ilvl w:val="0"/>
          <w:numId w:val="5"/>
        </w:numPr>
        <w:rPr>
          <w:sz w:val="22"/>
          <w:szCs w:val="22"/>
        </w:rPr>
      </w:pPr>
      <w:r w:rsidRPr="003D37EA">
        <w:rPr>
          <w:sz w:val="22"/>
          <w:szCs w:val="22"/>
        </w:rPr>
        <w:t>Ambisonics/SBA: rotate input in SHD using the well-known rotations in SHD</w:t>
      </w:r>
    </w:p>
    <w:p w14:paraId="08456CFA" w14:textId="67AFB9FC" w:rsidR="004609E9" w:rsidRPr="003D37EA" w:rsidRDefault="004609E9" w:rsidP="00FD200E">
      <w:pPr>
        <w:pStyle w:val="B1"/>
        <w:numPr>
          <w:ilvl w:val="0"/>
          <w:numId w:val="5"/>
        </w:numPr>
        <w:rPr>
          <w:sz w:val="22"/>
          <w:szCs w:val="22"/>
        </w:rPr>
      </w:pPr>
      <w:r w:rsidRPr="003D37EA">
        <w:rPr>
          <w:sz w:val="22"/>
          <w:szCs w:val="22"/>
        </w:rPr>
        <w:t xml:space="preserve">MASA: use MASA analyzer (which needs to be slightly extended) </w:t>
      </w:r>
      <w:r w:rsidR="00E066A6" w:rsidRPr="003D37EA">
        <w:rPr>
          <w:sz w:val="22"/>
          <w:szCs w:val="22"/>
        </w:rPr>
        <w:t>on</w:t>
      </w:r>
      <w:r w:rsidR="00D653F7" w:rsidRPr="003D37EA">
        <w:rPr>
          <w:sz w:val="22"/>
          <w:szCs w:val="22"/>
        </w:rPr>
        <w:t xml:space="preserve"> the</w:t>
      </w:r>
      <w:r w:rsidR="00E066A6" w:rsidRPr="003D37EA">
        <w:rPr>
          <w:sz w:val="22"/>
          <w:szCs w:val="22"/>
        </w:rPr>
        <w:t xml:space="preserve"> pre-rotated </w:t>
      </w:r>
      <w:r w:rsidR="007440E1" w:rsidRPr="003D37EA">
        <w:rPr>
          <w:sz w:val="22"/>
          <w:szCs w:val="22"/>
        </w:rPr>
        <w:t>input in SHD</w:t>
      </w:r>
    </w:p>
    <w:p w14:paraId="6A727521" w14:textId="77777777" w:rsidR="004609E9" w:rsidRPr="003D37EA" w:rsidRDefault="004609E9" w:rsidP="00FD200E">
      <w:pPr>
        <w:pStyle w:val="B1"/>
        <w:numPr>
          <w:ilvl w:val="0"/>
          <w:numId w:val="5"/>
        </w:numPr>
        <w:rPr>
          <w:sz w:val="22"/>
          <w:szCs w:val="22"/>
        </w:rPr>
      </w:pPr>
      <w:r w:rsidRPr="003D37EA">
        <w:rPr>
          <w:sz w:val="22"/>
          <w:szCs w:val="22"/>
        </w:rPr>
        <w:t>Multi-Channel: rotate input by amplitude panning, e.g. EFAP</w:t>
      </w:r>
    </w:p>
    <w:p w14:paraId="440469AD" w14:textId="77777777" w:rsidR="004609E9" w:rsidRPr="003D37EA" w:rsidRDefault="004609E9" w:rsidP="00FD200E">
      <w:pPr>
        <w:pStyle w:val="B1"/>
        <w:numPr>
          <w:ilvl w:val="0"/>
          <w:numId w:val="5"/>
        </w:numPr>
        <w:rPr>
          <w:sz w:val="22"/>
          <w:szCs w:val="22"/>
        </w:rPr>
      </w:pPr>
      <w:r w:rsidRPr="003D37EA">
        <w:rPr>
          <w:sz w:val="22"/>
          <w:szCs w:val="22"/>
        </w:rPr>
        <w:t>Objects/ISM: Modify the ISM metadata to apply the rotations. Note that all processing needs to be done on a 20ms basis, as ISM metadata has only 20ms time resolution compared to 5ms granularity for the head-tracking.</w:t>
      </w:r>
    </w:p>
    <w:p w14:paraId="7856E0E5" w14:textId="11D661C9" w:rsidR="004609E9" w:rsidRPr="00E62776" w:rsidRDefault="004609E9" w:rsidP="00FD200E">
      <w:pPr>
        <w:pStyle w:val="Heading1"/>
        <w:rPr>
          <w:lang w:val="en-US"/>
        </w:rPr>
      </w:pPr>
      <w:r w:rsidRPr="00E62776">
        <w:rPr>
          <w:lang w:val="en-US"/>
        </w:rPr>
        <w:lastRenderedPageBreak/>
        <w:t>4.</w:t>
      </w:r>
      <w:r w:rsidR="00FD200E">
        <w:rPr>
          <w:lang w:val="en-US"/>
        </w:rPr>
        <w:t xml:space="preserve"> </w:t>
      </w:r>
      <w:r w:rsidRPr="00E62776">
        <w:rPr>
          <w:lang w:val="en-US"/>
        </w:rPr>
        <w:t>Summary</w:t>
      </w:r>
    </w:p>
    <w:p w14:paraId="37FEA33C" w14:textId="6D8B538B" w:rsidR="004609E9" w:rsidRPr="00E62776" w:rsidRDefault="004609E9" w:rsidP="00FD200E">
      <w:pPr>
        <w:pStyle w:val="00BodyText"/>
      </w:pPr>
      <w:r w:rsidRPr="00E62776">
        <w:t xml:space="preserve">The source provided further details on trajectory nullification and how this could be applied to the formats supported by IVAS. </w:t>
      </w:r>
      <w:r w:rsidR="00215E27">
        <w:t xml:space="preserve">Experiments </w:t>
      </w:r>
      <w:r w:rsidR="00AB3E67">
        <w:t>used modifications to the python scripts, in addition to newly developed scripts</w:t>
      </w:r>
      <w:r w:rsidRPr="00E62776">
        <w:t xml:space="preserve"> which could be contributed to the IVAS processing scripts.</w:t>
      </w:r>
    </w:p>
    <w:p w14:paraId="3EC8F9CE" w14:textId="77777777" w:rsidR="004609E9" w:rsidRPr="00E62776" w:rsidRDefault="004609E9" w:rsidP="004609E9">
      <w:pPr>
        <w:rPr>
          <w:lang w:val="en-US"/>
        </w:rPr>
      </w:pPr>
    </w:p>
    <w:p w14:paraId="3F2438D7" w14:textId="77777777" w:rsidR="004609E9" w:rsidRPr="00E62776" w:rsidRDefault="004609E9" w:rsidP="00FD200E">
      <w:pPr>
        <w:pStyle w:val="Heading1"/>
        <w:rPr>
          <w:lang w:val="en-US"/>
        </w:rPr>
      </w:pPr>
      <w:r w:rsidRPr="00E62776">
        <w:rPr>
          <w:lang w:val="en-US"/>
        </w:rPr>
        <w:t>References:</w:t>
      </w:r>
    </w:p>
    <w:p w14:paraId="1E30A132" w14:textId="0F3C5F2E" w:rsidR="004609E9" w:rsidRPr="00F11FFF" w:rsidRDefault="004609E9" w:rsidP="004609E9">
      <w:pPr>
        <w:rPr>
          <w:rFonts w:ascii="Arial" w:hAnsi="Arial" w:cs="Arial"/>
          <w:lang w:val="en-US"/>
        </w:rPr>
      </w:pPr>
      <w:r w:rsidRPr="00F11FFF">
        <w:rPr>
          <w:rFonts w:ascii="Arial" w:hAnsi="Arial" w:cs="Arial"/>
          <w:lang w:val="en-US"/>
        </w:rPr>
        <w:t>[1]</w:t>
      </w:r>
      <w:r w:rsidRPr="00F11FFF">
        <w:rPr>
          <w:rFonts w:ascii="Arial" w:hAnsi="Arial" w:cs="Arial"/>
          <w:lang w:val="en-US"/>
        </w:rPr>
        <w:tab/>
        <w:t>3GPP Tdoc S4-2317</w:t>
      </w:r>
      <w:r w:rsidR="003D37EA" w:rsidRPr="00F11FFF">
        <w:rPr>
          <w:rFonts w:ascii="Arial" w:hAnsi="Arial" w:cs="Arial"/>
          <w:lang w:val="en-US"/>
        </w:rPr>
        <w:t>09</w:t>
      </w:r>
      <w:r w:rsidR="00F11FFF" w:rsidRPr="00F11FFF">
        <w:rPr>
          <w:rFonts w:ascii="Arial" w:hAnsi="Arial" w:cs="Arial"/>
          <w:lang w:val="en-US"/>
        </w:rPr>
        <w:t>, "Evaluating IVAS Rendering", Fraunhofer IIS</w:t>
      </w:r>
    </w:p>
    <w:p w14:paraId="1905E3FD" w14:textId="77777777" w:rsidR="00327630" w:rsidRDefault="00327630" w:rsidP="004609E9">
      <w:pPr>
        <w:rPr>
          <w:rFonts w:ascii="Arial" w:hAnsi="Arial" w:cs="Arial"/>
          <w:b/>
          <w:bCs/>
        </w:rPr>
      </w:pPr>
    </w:p>
    <w:p w14:paraId="635FFE05" w14:textId="77777777" w:rsidR="000A28AB" w:rsidRDefault="000A28AB">
      <w:pPr>
        <w:rPr>
          <w:rFonts w:ascii="Arial" w:hAnsi="Arial" w:cs="Arial"/>
          <w:b/>
          <w:bCs/>
        </w:rPr>
      </w:pPr>
    </w:p>
    <w:sectPr w:rsidR="000A28A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4565B" w14:textId="77777777" w:rsidR="00D755EA" w:rsidRDefault="00D755EA">
      <w:r>
        <w:separator/>
      </w:r>
    </w:p>
  </w:endnote>
  <w:endnote w:type="continuationSeparator" w:id="0">
    <w:p w14:paraId="470D882D" w14:textId="77777777" w:rsidR="00D755EA" w:rsidRDefault="00D755EA">
      <w:r>
        <w:continuationSeparator/>
      </w:r>
    </w:p>
  </w:endnote>
  <w:endnote w:type="continuationNotice" w:id="1">
    <w:p w14:paraId="183D2973" w14:textId="77777777" w:rsidR="00FE0B6F" w:rsidRDefault="00FE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BEB0B" w14:textId="77777777" w:rsidR="00D755EA" w:rsidRDefault="00D755EA">
      <w:r>
        <w:separator/>
      </w:r>
    </w:p>
  </w:footnote>
  <w:footnote w:type="continuationSeparator" w:id="0">
    <w:p w14:paraId="2FE5F724" w14:textId="77777777" w:rsidR="00D755EA" w:rsidRDefault="00D755EA">
      <w:r>
        <w:continuationSeparator/>
      </w:r>
    </w:p>
  </w:footnote>
  <w:footnote w:type="continuationNotice" w:id="1">
    <w:p w14:paraId="4F567BEB" w14:textId="77777777" w:rsidR="00FE0B6F" w:rsidRDefault="00FE0B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65A23B68"/>
    <w:multiLevelType w:val="hybridMultilevel"/>
    <w:tmpl w:val="830AB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B303F1"/>
    <w:multiLevelType w:val="hybridMultilevel"/>
    <w:tmpl w:val="BAACF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2"/>
  </w:num>
  <w:num w:numId="2" w16cid:durableId="1633753767">
    <w:abstractNumId w:val="1"/>
  </w:num>
  <w:num w:numId="3" w16cid:durableId="528221516">
    <w:abstractNumId w:val="0"/>
  </w:num>
  <w:num w:numId="4" w16cid:durableId="2063090144">
    <w:abstractNumId w:val="3"/>
  </w:num>
  <w:num w:numId="5" w16cid:durableId="3403951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47DCC"/>
    <w:rsid w:val="00050925"/>
    <w:rsid w:val="00054884"/>
    <w:rsid w:val="00057E1E"/>
    <w:rsid w:val="00072A7C"/>
    <w:rsid w:val="000775E7"/>
    <w:rsid w:val="0007775C"/>
    <w:rsid w:val="00086E39"/>
    <w:rsid w:val="00094F23"/>
    <w:rsid w:val="000967F4"/>
    <w:rsid w:val="000A1BD3"/>
    <w:rsid w:val="000A28AB"/>
    <w:rsid w:val="000D6D78"/>
    <w:rsid w:val="000E0429"/>
    <w:rsid w:val="000F6E51"/>
    <w:rsid w:val="00102A24"/>
    <w:rsid w:val="00103FFE"/>
    <w:rsid w:val="0013259C"/>
    <w:rsid w:val="00135831"/>
    <w:rsid w:val="001376A6"/>
    <w:rsid w:val="001424CD"/>
    <w:rsid w:val="0014413C"/>
    <w:rsid w:val="00144629"/>
    <w:rsid w:val="0015084C"/>
    <w:rsid w:val="00163D28"/>
    <w:rsid w:val="00164883"/>
    <w:rsid w:val="00166A1B"/>
    <w:rsid w:val="00181F38"/>
    <w:rsid w:val="00192B41"/>
    <w:rsid w:val="00197E4A"/>
    <w:rsid w:val="001A31EF"/>
    <w:rsid w:val="001B01F1"/>
    <w:rsid w:val="001B2414"/>
    <w:rsid w:val="001B5421"/>
    <w:rsid w:val="001B650D"/>
    <w:rsid w:val="001B660F"/>
    <w:rsid w:val="001D0B09"/>
    <w:rsid w:val="001E6729"/>
    <w:rsid w:val="001F2437"/>
    <w:rsid w:val="002070CB"/>
    <w:rsid w:val="00215E27"/>
    <w:rsid w:val="002336BF"/>
    <w:rsid w:val="00235F9B"/>
    <w:rsid w:val="00236066"/>
    <w:rsid w:val="00236BBA"/>
    <w:rsid w:val="00236D1F"/>
    <w:rsid w:val="002407FF"/>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97B"/>
    <w:rsid w:val="002E3AE2"/>
    <w:rsid w:val="002F7CCB"/>
    <w:rsid w:val="00310E70"/>
    <w:rsid w:val="00313F3E"/>
    <w:rsid w:val="00320536"/>
    <w:rsid w:val="00325E33"/>
    <w:rsid w:val="003275E6"/>
    <w:rsid w:val="00327630"/>
    <w:rsid w:val="00347AB2"/>
    <w:rsid w:val="00354553"/>
    <w:rsid w:val="00392C87"/>
    <w:rsid w:val="003953D1"/>
    <w:rsid w:val="003A54B3"/>
    <w:rsid w:val="003A5FFA"/>
    <w:rsid w:val="003A67E1"/>
    <w:rsid w:val="003D37EA"/>
    <w:rsid w:val="003D4593"/>
    <w:rsid w:val="003E2C8B"/>
    <w:rsid w:val="003E710B"/>
    <w:rsid w:val="003F1C0E"/>
    <w:rsid w:val="004008D7"/>
    <w:rsid w:val="0040145D"/>
    <w:rsid w:val="00411339"/>
    <w:rsid w:val="004131BD"/>
    <w:rsid w:val="00416CEA"/>
    <w:rsid w:val="00421AFD"/>
    <w:rsid w:val="00432048"/>
    <w:rsid w:val="004518DB"/>
    <w:rsid w:val="004609E9"/>
    <w:rsid w:val="004726C5"/>
    <w:rsid w:val="00477EBC"/>
    <w:rsid w:val="004857B5"/>
    <w:rsid w:val="004A0A73"/>
    <w:rsid w:val="004A661C"/>
    <w:rsid w:val="004B239E"/>
    <w:rsid w:val="004C481F"/>
    <w:rsid w:val="004C4C9B"/>
    <w:rsid w:val="004D2FA0"/>
    <w:rsid w:val="004D6D84"/>
    <w:rsid w:val="004E1010"/>
    <w:rsid w:val="0050202A"/>
    <w:rsid w:val="0052032E"/>
    <w:rsid w:val="005220FF"/>
    <w:rsid w:val="00544D8F"/>
    <w:rsid w:val="00551C4D"/>
    <w:rsid w:val="00553BDE"/>
    <w:rsid w:val="00562495"/>
    <w:rsid w:val="00575816"/>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36B7"/>
    <w:rsid w:val="005E7235"/>
    <w:rsid w:val="005F041C"/>
    <w:rsid w:val="005F4B34"/>
    <w:rsid w:val="00616E18"/>
    <w:rsid w:val="00623AED"/>
    <w:rsid w:val="0062443C"/>
    <w:rsid w:val="00625657"/>
    <w:rsid w:val="00632157"/>
    <w:rsid w:val="00633971"/>
    <w:rsid w:val="0064121E"/>
    <w:rsid w:val="00660354"/>
    <w:rsid w:val="00665B9B"/>
    <w:rsid w:val="0067578D"/>
    <w:rsid w:val="006D3D54"/>
    <w:rsid w:val="006E1A49"/>
    <w:rsid w:val="006F1B00"/>
    <w:rsid w:val="006F4B7A"/>
    <w:rsid w:val="006F7727"/>
    <w:rsid w:val="00700A59"/>
    <w:rsid w:val="00710142"/>
    <w:rsid w:val="00712E81"/>
    <w:rsid w:val="00720B27"/>
    <w:rsid w:val="00723919"/>
    <w:rsid w:val="007261D3"/>
    <w:rsid w:val="007440E1"/>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553B4"/>
    <w:rsid w:val="00955E82"/>
    <w:rsid w:val="00960A44"/>
    <w:rsid w:val="009768C3"/>
    <w:rsid w:val="00977C43"/>
    <w:rsid w:val="00990EEE"/>
    <w:rsid w:val="00996533"/>
    <w:rsid w:val="009A3833"/>
    <w:rsid w:val="009A5F57"/>
    <w:rsid w:val="009A62E2"/>
    <w:rsid w:val="009B110B"/>
    <w:rsid w:val="009B13F0"/>
    <w:rsid w:val="009B196A"/>
    <w:rsid w:val="009D2A30"/>
    <w:rsid w:val="009D6D9F"/>
    <w:rsid w:val="009E1910"/>
    <w:rsid w:val="009E47F3"/>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946C0"/>
    <w:rsid w:val="00AA574E"/>
    <w:rsid w:val="00AB3E67"/>
    <w:rsid w:val="00AC6A92"/>
    <w:rsid w:val="00AD324E"/>
    <w:rsid w:val="00AD5B51"/>
    <w:rsid w:val="00AD7B78"/>
    <w:rsid w:val="00AF4118"/>
    <w:rsid w:val="00B3526C"/>
    <w:rsid w:val="00B4025A"/>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06F8E"/>
    <w:rsid w:val="00C159BC"/>
    <w:rsid w:val="00C15A54"/>
    <w:rsid w:val="00C2214E"/>
    <w:rsid w:val="00C2519B"/>
    <w:rsid w:val="00C3782E"/>
    <w:rsid w:val="00C404D1"/>
    <w:rsid w:val="00C42176"/>
    <w:rsid w:val="00C52914"/>
    <w:rsid w:val="00C5567D"/>
    <w:rsid w:val="00C63F06"/>
    <w:rsid w:val="00C6590B"/>
    <w:rsid w:val="00C7131F"/>
    <w:rsid w:val="00C740B9"/>
    <w:rsid w:val="00CA5DB0"/>
    <w:rsid w:val="00CC0713"/>
    <w:rsid w:val="00CC58ED"/>
    <w:rsid w:val="00CE530E"/>
    <w:rsid w:val="00CE555E"/>
    <w:rsid w:val="00D02A1D"/>
    <w:rsid w:val="00D145EC"/>
    <w:rsid w:val="00D43C0B"/>
    <w:rsid w:val="00D44A74"/>
    <w:rsid w:val="00D57CD2"/>
    <w:rsid w:val="00D57E66"/>
    <w:rsid w:val="00D653F7"/>
    <w:rsid w:val="00D65EB3"/>
    <w:rsid w:val="00D73350"/>
    <w:rsid w:val="00D755EA"/>
    <w:rsid w:val="00D82231"/>
    <w:rsid w:val="00D8756E"/>
    <w:rsid w:val="00D938DD"/>
    <w:rsid w:val="00D974EA"/>
    <w:rsid w:val="00DC0F52"/>
    <w:rsid w:val="00DC4726"/>
    <w:rsid w:val="00DD40D2"/>
    <w:rsid w:val="00DE5BBF"/>
    <w:rsid w:val="00E03A99"/>
    <w:rsid w:val="00E041CD"/>
    <w:rsid w:val="00E066A6"/>
    <w:rsid w:val="00E1463F"/>
    <w:rsid w:val="00E3403D"/>
    <w:rsid w:val="00E363A9"/>
    <w:rsid w:val="00E413E0"/>
    <w:rsid w:val="00E53AE3"/>
    <w:rsid w:val="00E5574A"/>
    <w:rsid w:val="00E610B9"/>
    <w:rsid w:val="00E64FB2"/>
    <w:rsid w:val="00E81E2C"/>
    <w:rsid w:val="00EB5D2F"/>
    <w:rsid w:val="00EC10EC"/>
    <w:rsid w:val="00ED3A92"/>
    <w:rsid w:val="00ED6080"/>
    <w:rsid w:val="00EE0176"/>
    <w:rsid w:val="00EF0942"/>
    <w:rsid w:val="00EF291F"/>
    <w:rsid w:val="00F0218C"/>
    <w:rsid w:val="00F0393B"/>
    <w:rsid w:val="00F11FFF"/>
    <w:rsid w:val="00F1342A"/>
    <w:rsid w:val="00F313DD"/>
    <w:rsid w:val="00F378BE"/>
    <w:rsid w:val="00F43120"/>
    <w:rsid w:val="00F763A4"/>
    <w:rsid w:val="00F81BA0"/>
    <w:rsid w:val="00F81CF2"/>
    <w:rsid w:val="00F87FD2"/>
    <w:rsid w:val="00F941B8"/>
    <w:rsid w:val="00FA5FA5"/>
    <w:rsid w:val="00FA79A7"/>
    <w:rsid w:val="00FC643D"/>
    <w:rsid w:val="00FD1DAF"/>
    <w:rsid w:val="00FD200E"/>
    <w:rsid w:val="00FE0B6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qFormat/>
    <w:rsid w:val="004609E9"/>
    <w:rPr>
      <w:sz w:val="16"/>
      <w:szCs w:val="16"/>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4609E9"/>
    <w:pPr>
      <w:widowControl w:val="0"/>
      <w:spacing w:after="120" w:line="240" w:lineRule="atLeast"/>
      <w:ind w:left="720"/>
      <w:contextualSpacing/>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4609E9"/>
    <w:rPr>
      <w:rFonts w:ascii="Arial" w:eastAsia="SimSun" w:hAnsi="Arial"/>
      <w:sz w:val="22"/>
      <w:lang w:eastAsia="en-US"/>
    </w:rPr>
  </w:style>
  <w:style w:type="paragraph" w:styleId="Revision">
    <w:name w:val="Revision"/>
    <w:hidden/>
    <w:uiPriority w:val="99"/>
    <w:semiHidden/>
    <w:rsid w:val="00FE0B6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F5BC87-E65E-44ED-9939-A2F3DF5A9E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6A16C-C723-48BE-8423-D9738391B73C}">
  <ds:schemaRefs>
    <ds:schemaRef ds:uri="http://schemas.microsoft.com/sharepoint/v3/contenttype/forms"/>
  </ds:schemaRefs>
</ds:datastoreItem>
</file>

<file path=customXml/itemProps3.xml><?xml version="1.0" encoding="utf-8"?>
<ds:datastoreItem xmlns:ds="http://schemas.openxmlformats.org/officeDocument/2006/customXml" ds:itemID="{FC2B2816-1F8C-4E79-9077-16B26B3D0F8B}"/>
</file>

<file path=docProps/app.xml><?xml version="1.0" encoding="utf-8"?>
<Properties xmlns="http://schemas.openxmlformats.org/officeDocument/2006/extended-properties" xmlns:vt="http://schemas.openxmlformats.org/officeDocument/2006/docPropsVTypes">
  <Template>Normal.dotm</Template>
  <TotalTime>35</TotalTime>
  <Pages>3</Pages>
  <Words>874</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Döhla, Stefan</cp:lastModifiedBy>
  <cp:revision>25</cp:revision>
  <cp:lastPrinted>2001-04-23T09:30:00Z</cp:lastPrinted>
  <dcterms:created xsi:type="dcterms:W3CDTF">2023-11-14T17:41:00Z</dcterms:created>
  <dcterms:modified xsi:type="dcterms:W3CDTF">2024-01-23T19:35:00Z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