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E6E58FA"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6D5281">
        <w:rPr>
          <w:rFonts w:ascii="Arial" w:hAnsi="Arial" w:cs="Arial"/>
          <w:szCs w:val="24"/>
          <w:lang w:val="en-US" w:eastAsia="ja-JP"/>
        </w:rPr>
        <w:t>4.5</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4903DB0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436276" w:rsidRPr="00436276">
        <w:rPr>
          <w:rFonts w:ascii="Arial" w:hAnsi="Arial" w:cs="Arial"/>
          <w:b/>
          <w:szCs w:val="24"/>
          <w:lang w:eastAsia="ja-JP"/>
        </w:rPr>
        <w:t>[</w:t>
      </w:r>
      <w:proofErr w:type="gramEnd"/>
      <w:r w:rsidR="00436276" w:rsidRPr="00436276">
        <w:rPr>
          <w:rFonts w:ascii="Arial" w:hAnsi="Arial" w:cs="Arial"/>
          <w:b/>
          <w:szCs w:val="24"/>
          <w:lang w:eastAsia="ja-JP"/>
        </w:rPr>
        <w:t>AIML_IMS-MED] Work prioritization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4C44CD4E" w14:textId="77777777" w:rsidR="006D5281" w:rsidRDefault="0083671E" w:rsidP="00AB234E">
      <w:pPr>
        <w:rPr>
          <w:lang w:val="en-US"/>
        </w:rPr>
      </w:pPr>
      <w:r>
        <w:rPr>
          <w:lang w:val="en-US"/>
        </w:rPr>
        <w:t>In this contribution,</w:t>
      </w:r>
      <w:r w:rsidR="00ED1E9E">
        <w:rPr>
          <w:lang w:val="en-US"/>
        </w:rPr>
        <w:t xml:space="preserve"> </w:t>
      </w:r>
      <w:r w:rsidR="006D5281">
        <w:rPr>
          <w:lang w:val="en-US"/>
        </w:rPr>
        <w:t>we argue for creating 2 different tracks for this work item:</w:t>
      </w:r>
    </w:p>
    <w:p w14:paraId="654218F3" w14:textId="542BBCDD" w:rsidR="00B20D7B" w:rsidRDefault="006D5281" w:rsidP="006D5281">
      <w:pPr>
        <w:pStyle w:val="ListParagraph"/>
        <w:numPr>
          <w:ilvl w:val="0"/>
          <w:numId w:val="40"/>
        </w:numPr>
      </w:pPr>
      <w:r>
        <w:t>Remote inference: inference is performed completely in the network</w:t>
      </w:r>
      <w:r w:rsidR="00B20D7B" w:rsidRPr="006D5281">
        <w:t>.</w:t>
      </w:r>
    </w:p>
    <w:p w14:paraId="4BA4B29C" w14:textId="001E3A6A" w:rsidR="006D5281" w:rsidRDefault="006D5281" w:rsidP="006D5281">
      <w:pPr>
        <w:pStyle w:val="ListParagraph"/>
        <w:numPr>
          <w:ilvl w:val="0"/>
          <w:numId w:val="40"/>
        </w:numPr>
      </w:pPr>
      <w:r>
        <w:t>Split inference: inference can be split between network and UE.</w:t>
      </w:r>
    </w:p>
    <w:p w14:paraId="3551B604" w14:textId="719F998E" w:rsidR="00F108B7" w:rsidRDefault="00436276" w:rsidP="00F108B7">
      <w:pPr>
        <w:pStyle w:val="Heading1"/>
        <w:numPr>
          <w:ilvl w:val="0"/>
          <w:numId w:val="3"/>
        </w:numPr>
      </w:pPr>
      <w:r>
        <w:t>Work Prioritization</w:t>
      </w:r>
    </w:p>
    <w:p w14:paraId="43A975B4" w14:textId="5E700DD6" w:rsidR="003B4746" w:rsidRPr="00EF3B8A" w:rsidRDefault="00436276" w:rsidP="00ED1E9E">
      <w:pPr>
        <w:rPr>
          <w:lang w:val="en-US"/>
        </w:rPr>
      </w:pPr>
      <w:r w:rsidRPr="00EF3B8A">
        <w:rPr>
          <w:lang w:val="en-US"/>
        </w:rPr>
        <w:t xml:space="preserve">The </w:t>
      </w:r>
      <w:r w:rsidRPr="00EF3B8A">
        <w:rPr>
          <w:lang w:val="en-US"/>
        </w:rPr>
        <w:t>AIML_IMS-MED</w:t>
      </w:r>
      <w:r w:rsidRPr="00EF3B8A">
        <w:rPr>
          <w:lang w:val="en-US"/>
        </w:rPr>
        <w:t xml:space="preserve"> work item </w:t>
      </w:r>
      <w:r w:rsidRPr="00EF3B8A">
        <w:rPr>
          <w:lang w:val="en-US"/>
        </w:rPr>
        <w:t>explicitly targets enabling AI/ML media processing in IMS services by extending TS 26.114 and TS 26.264, with “no changes to the IMS DC architecture expected”</w:t>
      </w:r>
      <w:r w:rsidRPr="00EF3B8A">
        <w:rPr>
          <w:lang w:val="en-US"/>
        </w:rPr>
        <w:t>.</w:t>
      </w:r>
      <w:r w:rsidRPr="00EF3B8A">
        <w:rPr>
          <w:lang w:val="en-US"/>
        </w:rPr>
        <w:t xml:space="preserve"> SA4 </w:t>
      </w:r>
      <w:r w:rsidRPr="00EF3B8A">
        <w:rPr>
          <w:lang w:val="en-US"/>
        </w:rPr>
        <w:t>committed to informing</w:t>
      </w:r>
      <w:r w:rsidRPr="00EF3B8A">
        <w:rPr>
          <w:lang w:val="en-US"/>
        </w:rPr>
        <w:t xml:space="preserve"> SA2 </w:t>
      </w:r>
      <w:r w:rsidRPr="00EF3B8A">
        <w:rPr>
          <w:lang w:val="en-US"/>
        </w:rPr>
        <w:t>about</w:t>
      </w:r>
      <w:r w:rsidRPr="00EF3B8A">
        <w:rPr>
          <w:lang w:val="en-US"/>
        </w:rPr>
        <w:t xml:space="preserve"> any stage</w:t>
      </w:r>
      <w:r w:rsidRPr="00EF3B8A">
        <w:rPr>
          <w:lang w:val="en-US"/>
        </w:rPr>
        <w:noBreakHyphen/>
        <w:t xml:space="preserve">2 implications. </w:t>
      </w:r>
      <w:r w:rsidRPr="00EF3B8A">
        <w:rPr>
          <w:lang w:val="en-US"/>
        </w:rPr>
        <w:t>The t</w:t>
      </w:r>
      <w:r w:rsidRPr="00EF3B8A">
        <w:rPr>
          <w:lang w:val="en-US"/>
        </w:rPr>
        <w:t xml:space="preserve">arget completion is </w:t>
      </w:r>
      <w:r w:rsidRPr="00EF3B8A">
        <w:rPr>
          <w:lang w:val="en-US"/>
        </w:rPr>
        <w:t xml:space="preserve">set to </w:t>
      </w:r>
      <w:r w:rsidRPr="00EF3B8A">
        <w:rPr>
          <w:lang w:val="en-US"/>
        </w:rPr>
        <w:t>SA#111 (March 2026). This frames the bar for Rel</w:t>
      </w:r>
      <w:r w:rsidRPr="00EF3B8A">
        <w:rPr>
          <w:lang w:val="en-US"/>
        </w:rPr>
        <w:noBreakHyphen/>
        <w:t>20: deliver via existing IMS DC constructs.</w:t>
      </w:r>
    </w:p>
    <w:p w14:paraId="6B4D3AA0" w14:textId="6D79C0C2" w:rsidR="00436276" w:rsidRPr="00277444" w:rsidRDefault="00277444" w:rsidP="00ED1E9E">
      <w:pPr>
        <w:rPr>
          <w:bCs/>
        </w:rPr>
      </w:pPr>
      <w:r w:rsidRPr="00277444">
        <w:rPr>
          <w:bCs/>
        </w:rPr>
        <w:t>Remote inference is implementable now with zero architecture ch</w:t>
      </w:r>
      <w:r w:rsidR="00EF3B8A">
        <w:rPr>
          <w:bCs/>
        </w:rPr>
        <w:t>anges</w:t>
      </w:r>
      <w:r w:rsidRPr="00277444">
        <w:rPr>
          <w:bCs/>
        </w:rPr>
        <w:t xml:space="preserve"> because it reuses the existing IMS Data Channel pattern</w:t>
      </w:r>
      <w:r w:rsidR="00EF3B8A">
        <w:rPr>
          <w:bCs/>
        </w:rPr>
        <w:t xml:space="preserve">: </w:t>
      </w:r>
      <w:r w:rsidRPr="00277444">
        <w:rPr>
          <w:bCs/>
        </w:rPr>
        <w:t>bootstrap DC for discovery and an application DC for control</w:t>
      </w:r>
      <w:r w:rsidR="00EF3B8A">
        <w:rPr>
          <w:bCs/>
        </w:rPr>
        <w:t xml:space="preserve">, </w:t>
      </w:r>
      <w:r w:rsidRPr="00277444">
        <w:rPr>
          <w:bCs/>
        </w:rPr>
        <w:t xml:space="preserve">so there are no new network functions or reference points to </w:t>
      </w:r>
      <w:r w:rsidR="00EF3B8A">
        <w:rPr>
          <w:bCs/>
        </w:rPr>
        <w:t>add</w:t>
      </w:r>
      <w:r w:rsidRPr="00277444">
        <w:rPr>
          <w:bCs/>
        </w:rPr>
        <w:t>. That directly aligns with the AIML_IMS‑MED WID, which expects no changes to the IMS DC architecture while SA4 proceeds to extend TS 26.114/TS 26.264, and it leverages the already documented call flow</w:t>
      </w:r>
      <w:r w:rsidR="00EF3B8A">
        <w:rPr>
          <w:bCs/>
        </w:rPr>
        <w:t>s in the TR.</w:t>
      </w:r>
    </w:p>
    <w:p w14:paraId="62F39118" w14:textId="50C4DF52" w:rsidR="00277444" w:rsidRPr="00277444" w:rsidRDefault="00277444" w:rsidP="00277444">
      <w:pPr>
        <w:rPr>
          <w:bCs/>
          <w:lang w:val="en-US"/>
        </w:rPr>
      </w:pPr>
      <w:r w:rsidRPr="00277444">
        <w:rPr>
          <w:bCs/>
          <w:lang w:val="en-US"/>
        </w:rPr>
        <w:t>MF selection is already covered</w:t>
      </w:r>
      <w:r w:rsidR="00EF3B8A">
        <w:rPr>
          <w:bCs/>
          <w:lang w:val="en-US"/>
        </w:rPr>
        <w:t xml:space="preserve"> as</w:t>
      </w:r>
      <w:r w:rsidRPr="00277444">
        <w:rPr>
          <w:bCs/>
          <w:lang w:val="en-US"/>
        </w:rPr>
        <w:t xml:space="preserve"> MF profiles </w:t>
      </w:r>
      <w:r w:rsidR="00EF3B8A">
        <w:rPr>
          <w:bCs/>
          <w:lang w:val="en-US"/>
        </w:rPr>
        <w:t xml:space="preserve">may be defined to </w:t>
      </w:r>
      <w:r w:rsidRPr="00277444">
        <w:rPr>
          <w:bCs/>
          <w:lang w:val="en-US"/>
        </w:rPr>
        <w:t xml:space="preserve">carry the capabilities needed to choose which MF runs which DNN. Because the mechanism </w:t>
      </w:r>
      <w:r w:rsidR="00EF3B8A">
        <w:rPr>
          <w:bCs/>
          <w:lang w:val="en-US"/>
        </w:rPr>
        <w:t>is completely</w:t>
      </w:r>
      <w:r w:rsidRPr="00277444">
        <w:rPr>
          <w:bCs/>
          <w:lang w:val="en-US"/>
        </w:rPr>
        <w:t xml:space="preserve"> </w:t>
      </w:r>
      <w:r w:rsidR="00EF3B8A">
        <w:rPr>
          <w:bCs/>
          <w:lang w:val="en-US"/>
        </w:rPr>
        <w:t>withi</w:t>
      </w:r>
      <w:r w:rsidRPr="00277444">
        <w:rPr>
          <w:bCs/>
          <w:lang w:val="en-US"/>
        </w:rPr>
        <w:t>n SA4 scope, we can go straight to stage</w:t>
      </w:r>
      <w:r w:rsidRPr="00277444">
        <w:rPr>
          <w:bCs/>
          <w:lang w:val="en-US"/>
        </w:rPr>
        <w:noBreakHyphen/>
        <w:t xml:space="preserve">3 CRs on TS 26.114/TS 26.264 and still </w:t>
      </w:r>
      <w:r w:rsidR="00EF3B8A">
        <w:rPr>
          <w:bCs/>
          <w:lang w:val="en-US"/>
        </w:rPr>
        <w:t>mee</w:t>
      </w:r>
      <w:r w:rsidRPr="00277444">
        <w:rPr>
          <w:bCs/>
          <w:lang w:val="en-US"/>
        </w:rPr>
        <w:t>t the WID’s Rel</w:t>
      </w:r>
      <w:r w:rsidRPr="00277444">
        <w:rPr>
          <w:bCs/>
          <w:lang w:val="en-US"/>
        </w:rPr>
        <w:noBreakHyphen/>
        <w:t>20 timeline (target SA#111). In short: no architecture work, mature procedure, clear spec path</w:t>
      </w:r>
      <w:r w:rsidR="00EF3B8A">
        <w:rPr>
          <w:bCs/>
          <w:lang w:val="en-US"/>
        </w:rPr>
        <w:t xml:space="preserve"> for </w:t>
      </w:r>
      <w:r w:rsidRPr="00277444">
        <w:rPr>
          <w:bCs/>
          <w:lang w:val="en-US"/>
        </w:rPr>
        <w:t>remote inference is the pragmatic Rel</w:t>
      </w:r>
      <w:r w:rsidRPr="00277444">
        <w:rPr>
          <w:bCs/>
          <w:lang w:val="en-US"/>
        </w:rPr>
        <w:noBreakHyphen/>
        <w:t xml:space="preserve">20 choice. </w:t>
      </w:r>
    </w:p>
    <w:p w14:paraId="3E7B5F74" w14:textId="4C3E7C9A" w:rsidR="00277444" w:rsidRPr="00277444" w:rsidRDefault="00277444" w:rsidP="00ED1E9E">
      <w:pPr>
        <w:rPr>
          <w:bCs/>
        </w:rPr>
      </w:pPr>
      <w:r w:rsidRPr="00277444">
        <w:rPr>
          <w:bCs/>
        </w:rPr>
        <w:t xml:space="preserve">Split inference changes the </w:t>
      </w:r>
      <w:r w:rsidR="00EF3B8A">
        <w:rPr>
          <w:bCs/>
        </w:rPr>
        <w:t>key architecture</w:t>
      </w:r>
      <w:r w:rsidRPr="00277444">
        <w:rPr>
          <w:bCs/>
        </w:rPr>
        <w:t xml:space="preserve">. Executing a model across UE and network implies moving and potentially </w:t>
      </w:r>
      <w:r w:rsidR="00EF3B8A">
        <w:rPr>
          <w:bCs/>
        </w:rPr>
        <w:t>stor</w:t>
      </w:r>
      <w:r w:rsidRPr="00277444">
        <w:rPr>
          <w:bCs/>
        </w:rPr>
        <w:t xml:space="preserve">ing </w:t>
      </w:r>
      <w:r w:rsidR="00EF3B8A">
        <w:rPr>
          <w:bCs/>
        </w:rPr>
        <w:t xml:space="preserve">split </w:t>
      </w:r>
      <w:r w:rsidRPr="00277444">
        <w:rPr>
          <w:bCs/>
        </w:rPr>
        <w:t>models</w:t>
      </w:r>
      <w:r w:rsidR="00EF3B8A">
        <w:rPr>
          <w:bCs/>
        </w:rPr>
        <w:t xml:space="preserve"> </w:t>
      </w:r>
      <w:r w:rsidRPr="00277444">
        <w:rPr>
          <w:bCs/>
        </w:rPr>
        <w:t>and intermediate representations</w:t>
      </w:r>
      <w:r w:rsidR="00EF3B8A">
        <w:rPr>
          <w:bCs/>
        </w:rPr>
        <w:t xml:space="preserve"> </w:t>
      </w:r>
      <w:r w:rsidRPr="00277444">
        <w:rPr>
          <w:bCs/>
        </w:rPr>
        <w:t>close to the MF. That</w:t>
      </w:r>
      <w:r w:rsidR="00EF3B8A">
        <w:rPr>
          <w:bCs/>
        </w:rPr>
        <w:t xml:space="preserve"> result</w:t>
      </w:r>
      <w:r w:rsidRPr="00277444">
        <w:rPr>
          <w:bCs/>
        </w:rPr>
        <w:t>s</w:t>
      </w:r>
      <w:r w:rsidR="00EF3B8A">
        <w:rPr>
          <w:bCs/>
        </w:rPr>
        <w:t xml:space="preserve"> in</w:t>
      </w:r>
      <w:r w:rsidRPr="00277444">
        <w:rPr>
          <w:bCs/>
        </w:rPr>
        <w:t xml:space="preserve"> </w:t>
      </w:r>
      <w:r w:rsidR="00EF3B8A">
        <w:rPr>
          <w:bCs/>
        </w:rPr>
        <w:t>significant functionality enhancements</w:t>
      </w:r>
      <w:r w:rsidRPr="00277444">
        <w:rPr>
          <w:bCs/>
        </w:rPr>
        <w:t xml:space="preserve"> than media/control </w:t>
      </w:r>
      <w:proofErr w:type="spellStart"/>
      <w:r w:rsidRPr="00277444">
        <w:rPr>
          <w:bCs/>
        </w:rPr>
        <w:t>signaling</w:t>
      </w:r>
      <w:proofErr w:type="spellEnd"/>
      <w:r w:rsidR="00EF3B8A">
        <w:rPr>
          <w:bCs/>
        </w:rPr>
        <w:t>.</w:t>
      </w:r>
      <w:r w:rsidRPr="00277444">
        <w:rPr>
          <w:bCs/>
        </w:rPr>
        <w:t xml:space="preserve"> The WID already anticipates that split inferencing brings stage</w:t>
      </w:r>
      <w:r w:rsidRPr="00277444">
        <w:rPr>
          <w:bCs/>
        </w:rPr>
        <w:noBreakHyphen/>
        <w:t>2 implications and stresses minimal impact on existing architectures</w:t>
      </w:r>
      <w:r w:rsidR="00EF3B8A">
        <w:rPr>
          <w:bCs/>
        </w:rPr>
        <w:t xml:space="preserve">. </w:t>
      </w:r>
      <w:proofErr w:type="spellStart"/>
      <w:r w:rsidR="00EF3B8A">
        <w:rPr>
          <w:bCs/>
        </w:rPr>
        <w:t>H</w:t>
      </w:r>
      <w:r w:rsidRPr="00277444">
        <w:rPr>
          <w:bCs/>
        </w:rPr>
        <w:t>onoring</w:t>
      </w:r>
      <w:proofErr w:type="spellEnd"/>
      <w:r w:rsidRPr="00277444">
        <w:rPr>
          <w:bCs/>
        </w:rPr>
        <w:t xml:space="preserve"> that </w:t>
      </w:r>
      <w:r w:rsidR="00EF3B8A">
        <w:rPr>
          <w:bCs/>
        </w:rPr>
        <w:t xml:space="preserve">commitment, </w:t>
      </w:r>
      <w:r w:rsidRPr="00277444">
        <w:rPr>
          <w:bCs/>
        </w:rPr>
        <w:t xml:space="preserve">requires SA2 to define the proper </w:t>
      </w:r>
      <w:r w:rsidR="00EF3B8A">
        <w:rPr>
          <w:bCs/>
        </w:rPr>
        <w:t>enhancements</w:t>
      </w:r>
      <w:r w:rsidRPr="00277444">
        <w:rPr>
          <w:bCs/>
        </w:rPr>
        <w:t xml:space="preserve"> </w:t>
      </w:r>
      <w:r w:rsidR="00EF3B8A">
        <w:rPr>
          <w:bCs/>
        </w:rPr>
        <w:t xml:space="preserve">and procedures </w:t>
      </w:r>
      <w:r w:rsidRPr="00277444">
        <w:rPr>
          <w:bCs/>
        </w:rPr>
        <w:t xml:space="preserve">before SA4 can safely standardize </w:t>
      </w:r>
      <w:r w:rsidR="00EF3B8A">
        <w:rPr>
          <w:bCs/>
        </w:rPr>
        <w:t>the stage 3 aspects</w:t>
      </w:r>
      <w:r w:rsidRPr="00277444">
        <w:rPr>
          <w:bCs/>
        </w:rPr>
        <w:t>.</w:t>
      </w:r>
    </w:p>
    <w:p w14:paraId="05CEB2CE" w14:textId="77777777" w:rsidR="00EF3B8A" w:rsidRDefault="00277444" w:rsidP="00ED1E9E">
      <w:pPr>
        <w:rPr>
          <w:bCs/>
        </w:rPr>
      </w:pPr>
      <w:r w:rsidRPr="00277444">
        <w:rPr>
          <w:bCs/>
        </w:rPr>
        <w:t>Concretely, split inference needs a repository function</w:t>
      </w:r>
      <w:r w:rsidR="00EF3B8A">
        <w:rPr>
          <w:bCs/>
        </w:rPr>
        <w:t xml:space="preserve">, </w:t>
      </w:r>
      <w:r w:rsidRPr="00277444">
        <w:rPr>
          <w:bCs/>
        </w:rPr>
        <w:t>a BAR</w:t>
      </w:r>
      <w:r w:rsidRPr="00277444">
        <w:rPr>
          <w:bCs/>
        </w:rPr>
        <w:noBreakHyphen/>
        <w:t>like, network</w:t>
      </w:r>
      <w:r w:rsidRPr="00277444">
        <w:rPr>
          <w:bCs/>
        </w:rPr>
        <w:noBreakHyphen/>
        <w:t xml:space="preserve">resident store for AI </w:t>
      </w:r>
      <w:r w:rsidR="00EF3B8A">
        <w:rPr>
          <w:bCs/>
        </w:rPr>
        <w:t xml:space="preserve">split </w:t>
      </w:r>
      <w:r w:rsidRPr="00277444">
        <w:rPr>
          <w:bCs/>
        </w:rPr>
        <w:t>models</w:t>
      </w:r>
      <w:r w:rsidR="00EF3B8A">
        <w:rPr>
          <w:bCs/>
        </w:rPr>
        <w:t xml:space="preserve">, </w:t>
      </w:r>
      <w:r w:rsidRPr="00277444">
        <w:rPr>
          <w:bCs/>
        </w:rPr>
        <w:t xml:space="preserve">with publish/lookup/fetch </w:t>
      </w:r>
      <w:r w:rsidR="00EF3B8A">
        <w:rPr>
          <w:bCs/>
        </w:rPr>
        <w:t>interfaces</w:t>
      </w:r>
      <w:r w:rsidRPr="00277444">
        <w:rPr>
          <w:bCs/>
        </w:rPr>
        <w:t>, versioning, integrity, and policy</w:t>
      </w:r>
      <w:r w:rsidR="00EF3B8A">
        <w:rPr>
          <w:bCs/>
        </w:rPr>
        <w:t xml:space="preserve"> aspect</w:t>
      </w:r>
      <w:r w:rsidRPr="00277444">
        <w:rPr>
          <w:bCs/>
        </w:rPr>
        <w:t xml:space="preserve">s, plus </w:t>
      </w:r>
      <w:r w:rsidR="00EF3B8A">
        <w:rPr>
          <w:bCs/>
        </w:rPr>
        <w:t>enhance</w:t>
      </w:r>
      <w:r w:rsidRPr="00277444">
        <w:rPr>
          <w:bCs/>
        </w:rPr>
        <w:t>d reference points to MF/MRF and DC</w:t>
      </w:r>
      <w:r w:rsidRPr="00277444">
        <w:rPr>
          <w:bCs/>
        </w:rPr>
        <w:noBreakHyphen/>
        <w:t>related functions. Those are new architectural enablers, not mere DC stage</w:t>
      </w:r>
      <w:r w:rsidRPr="00277444">
        <w:rPr>
          <w:bCs/>
        </w:rPr>
        <w:noBreakHyphen/>
        <w:t>3 tweaks, which pushes split inference outside a realistic Rel</w:t>
      </w:r>
      <w:r w:rsidRPr="00277444">
        <w:rPr>
          <w:bCs/>
        </w:rPr>
        <w:noBreakHyphen/>
        <w:t xml:space="preserve">20 timebox. </w:t>
      </w:r>
    </w:p>
    <w:p w14:paraId="324F50D6" w14:textId="3B1F25FA" w:rsidR="00277444" w:rsidRPr="00277444" w:rsidRDefault="00EF3B8A" w:rsidP="00ED1E9E">
      <w:pPr>
        <w:rPr>
          <w:bCs/>
        </w:rPr>
      </w:pPr>
      <w:r>
        <w:rPr>
          <w:bCs/>
        </w:rPr>
        <w:lastRenderedPageBreak/>
        <w:t>Thus, t</w:t>
      </w:r>
      <w:r w:rsidR="00277444" w:rsidRPr="00277444">
        <w:rPr>
          <w:bCs/>
        </w:rPr>
        <w:t>he right path is to prioritize remote inference in Rel</w:t>
      </w:r>
      <w:r w:rsidR="00277444" w:rsidRPr="00277444">
        <w:rPr>
          <w:bCs/>
        </w:rPr>
        <w:noBreakHyphen/>
        <w:t xml:space="preserve">20 and open a </w:t>
      </w:r>
      <w:r>
        <w:rPr>
          <w:bCs/>
        </w:rPr>
        <w:t xml:space="preserve">dialogue with </w:t>
      </w:r>
      <w:r w:rsidR="00277444" w:rsidRPr="00277444">
        <w:rPr>
          <w:bCs/>
        </w:rPr>
        <w:t>SA2 to define the repository and related stage</w:t>
      </w:r>
      <w:r w:rsidR="00277444" w:rsidRPr="00277444">
        <w:rPr>
          <w:bCs/>
        </w:rPr>
        <w:noBreakHyphen/>
        <w:t xml:space="preserve">2 </w:t>
      </w:r>
      <w:r>
        <w:rPr>
          <w:bCs/>
        </w:rPr>
        <w:t>procedures</w:t>
      </w:r>
      <w:r w:rsidR="00277444" w:rsidRPr="00277444">
        <w:rPr>
          <w:bCs/>
        </w:rPr>
        <w:t>, setting split inference up for the following release.</w:t>
      </w:r>
    </w:p>
    <w:p w14:paraId="613FE5E7" w14:textId="779255CF" w:rsidR="00090904" w:rsidRDefault="00090904" w:rsidP="00090904">
      <w:pPr>
        <w:pStyle w:val="Heading1"/>
        <w:numPr>
          <w:ilvl w:val="0"/>
          <w:numId w:val="3"/>
        </w:numPr>
      </w:pPr>
      <w:r>
        <w:t>Proposal</w:t>
      </w:r>
    </w:p>
    <w:bookmarkEnd w:id="0"/>
    <w:p w14:paraId="4C953145" w14:textId="77777777" w:rsidR="00436276" w:rsidRPr="006D5281" w:rsidRDefault="00436276" w:rsidP="00436276">
      <w:r>
        <w:t>Due to the strong dependency of the split inference approach on IMS architecture modifications by SA2, this track should be considered high risk and unlikely to happen. The focus and priority should be on the remote inference track.</w:t>
      </w:r>
    </w:p>
    <w:p w14:paraId="4B6EACC5" w14:textId="7606B715" w:rsidR="00514422" w:rsidRPr="003B4746" w:rsidRDefault="00436276" w:rsidP="00514422">
      <w:r>
        <w:t>Hence, w</w:t>
      </w:r>
      <w:r w:rsidR="00514422">
        <w:t>e propose</w:t>
      </w:r>
      <w:r>
        <w:t xml:space="preserve"> to prioritize the remote inference track and work to complete it first. At the same time the group should trigger discussions with SA2 to plan for the realization of the split inference scenario.</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6427D" w14:textId="77777777" w:rsidR="005D2477" w:rsidRDefault="005D2477">
      <w:r>
        <w:separator/>
      </w:r>
    </w:p>
  </w:endnote>
  <w:endnote w:type="continuationSeparator" w:id="0">
    <w:p w14:paraId="16BD6857" w14:textId="77777777" w:rsidR="005D2477" w:rsidRDefault="005D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DA747" w14:textId="77777777" w:rsidR="005D2477" w:rsidRDefault="005D2477">
      <w:r>
        <w:separator/>
      </w:r>
    </w:p>
  </w:footnote>
  <w:footnote w:type="continuationSeparator" w:id="0">
    <w:p w14:paraId="094F2D76" w14:textId="77777777" w:rsidR="005D2477" w:rsidRDefault="005D2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1CFA4495"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w:t>
    </w:r>
    <w:r w:rsidR="007B5DED">
      <w:rPr>
        <w:b/>
        <w:noProof/>
        <w:sz w:val="24"/>
      </w:rPr>
      <w:t xml:space="preserve">Post </w:t>
    </w:r>
    <w:r w:rsidR="00ED1E9E">
      <w:rPr>
        <w:b/>
        <w:noProof/>
        <w:sz w:val="24"/>
      </w:rPr>
      <w:t>#13</w:t>
    </w:r>
    <w:r w:rsidR="007B5DED">
      <w:rPr>
        <w:b/>
        <w:noProof/>
        <w:sz w:val="24"/>
      </w:rPr>
      <w:t>3-e RTC AHG Meeting</w:t>
    </w:r>
    <w:r w:rsidRPr="007C550E">
      <w:rPr>
        <w:b/>
        <w:noProof/>
        <w:sz w:val="24"/>
      </w:rPr>
      <w:tab/>
    </w:r>
    <w:r>
      <w:rPr>
        <w:b/>
        <w:noProof/>
        <w:sz w:val="24"/>
      </w:rPr>
      <w:t>S4</w:t>
    </w:r>
    <w:r w:rsidR="007B5DED">
      <w:rPr>
        <w:b/>
        <w:noProof/>
        <w:sz w:val="24"/>
      </w:rPr>
      <w:t>aR</w:t>
    </w:r>
    <w:r>
      <w:rPr>
        <w:b/>
        <w:noProof/>
        <w:sz w:val="24"/>
      </w:rPr>
      <w:t>2</w:t>
    </w:r>
    <w:r w:rsidR="00A152B0">
      <w:rPr>
        <w:b/>
        <w:noProof/>
        <w:sz w:val="24"/>
      </w:rPr>
      <w:t>5</w:t>
    </w:r>
    <w:r>
      <w:rPr>
        <w:b/>
        <w:noProof/>
        <w:sz w:val="24"/>
      </w:rPr>
      <w:t>0</w:t>
    </w:r>
    <w:r w:rsidR="006D5281">
      <w:rPr>
        <w:b/>
        <w:noProof/>
        <w:sz w:val="24"/>
      </w:rPr>
      <w:t>203</w:t>
    </w:r>
  </w:p>
  <w:p w14:paraId="3B56539F" w14:textId="4537B1C7" w:rsidR="008075BF" w:rsidRPr="00AC4A3E" w:rsidRDefault="006D5281" w:rsidP="00AC4A3E">
    <w:pPr>
      <w:pStyle w:val="Header"/>
    </w:pPr>
    <w:r>
      <w:rPr>
        <w:sz w:val="24"/>
      </w:rPr>
      <w:t>22</w:t>
    </w:r>
    <w:r w:rsidRPr="006D5281">
      <w:rPr>
        <w:sz w:val="24"/>
        <w:vertAlign w:val="superscript"/>
      </w:rPr>
      <w:t>nd</w:t>
    </w:r>
    <w:r>
      <w:rPr>
        <w:sz w:val="24"/>
      </w:rPr>
      <w:t xml:space="preserve"> Octo</w:t>
    </w:r>
    <w:r w:rsidR="007B5DED">
      <w:rPr>
        <w:sz w:val="24"/>
      </w:rPr>
      <w:t>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025A7"/>
    <w:multiLevelType w:val="hybridMultilevel"/>
    <w:tmpl w:val="73FC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7"/>
  </w:num>
  <w:num w:numId="7" w16cid:durableId="788552162">
    <w:abstractNumId w:val="12"/>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6"/>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8"/>
  </w:num>
  <w:num w:numId="26" w16cid:durableId="406459072">
    <w:abstractNumId w:val="26"/>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4"/>
  </w:num>
  <w:num w:numId="33" w16cid:durableId="955722469">
    <w:abstractNumId w:val="4"/>
  </w:num>
  <w:num w:numId="34" w16cid:durableId="853884445">
    <w:abstractNumId w:val="22"/>
  </w:num>
  <w:num w:numId="35" w16cid:durableId="2112047754">
    <w:abstractNumId w:val="14"/>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163178145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444"/>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276"/>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477"/>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5281"/>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2341"/>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3B8A"/>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41</TotalTime>
  <Pages>2</Pages>
  <Words>524</Words>
  <Characters>2711</Characters>
  <Application>Microsoft Office Word</Application>
  <DocSecurity>0</DocSecurity>
  <Lines>225</Lines>
  <Paragraphs>231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7</cp:revision>
  <dcterms:created xsi:type="dcterms:W3CDTF">2022-11-08T17:11:00Z</dcterms:created>
  <dcterms:modified xsi:type="dcterms:W3CDTF">2025-10-20T23:39:00Z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