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center" w:pos="4153"/>
          <w:tab w:val="right" w:pos="9639"/>
        </w:tabs>
        <w:rPr>
          <w:rFonts w:eastAsia="宋体"/>
          <w:bCs/>
          <w:sz w:val="22"/>
          <w:lang w:eastAsia="zh-CN"/>
        </w:rPr>
      </w:pPr>
      <w:r>
        <w:rPr>
          <w:bCs/>
          <w:sz w:val="22"/>
        </w:rPr>
        <w:t>3GPP TSG SA WG3 (Security) Meeting #88</w:t>
      </w:r>
      <w:r>
        <w:rPr>
          <w:rFonts w:hint="eastAsia"/>
          <w:bCs/>
          <w:sz w:val="22"/>
          <w:lang w:eastAsia="zh-CN"/>
        </w:rPr>
        <w:t xml:space="preserve">  </w:t>
      </w:r>
      <w:r>
        <w:rPr>
          <w:bCs/>
          <w:sz w:val="22"/>
          <w:lang w:eastAsia="zh-CN"/>
        </w:rPr>
        <w:t xml:space="preserve">   </w:t>
      </w:r>
      <w:r>
        <w:rPr>
          <w:rFonts w:hint="eastAsia"/>
          <w:bCs/>
          <w:sz w:val="22"/>
          <w:lang w:eastAsia="zh-CN"/>
        </w:rPr>
        <w:t xml:space="preserve">                              </w:t>
      </w:r>
      <w:r>
        <w:rPr>
          <w:bCs/>
          <w:sz w:val="22"/>
          <w:lang w:eastAsia="zh-CN"/>
        </w:rPr>
        <w:t xml:space="preserve">        </w:t>
      </w:r>
      <w:r>
        <w:rPr>
          <w:rFonts w:hint="eastAsia"/>
          <w:bCs/>
          <w:sz w:val="22"/>
          <w:lang w:eastAsia="zh-CN"/>
        </w:rPr>
        <w:t xml:space="preserve">  S3-171918</w:t>
      </w:r>
    </w:p>
    <w:p>
      <w:pPr>
        <w:pStyle w:val="17"/>
        <w:tabs>
          <w:tab w:val="center" w:pos="4153"/>
          <w:tab w:val="right" w:pos="9639"/>
        </w:tabs>
        <w:rPr>
          <w:bCs/>
          <w:sz w:val="22"/>
        </w:rPr>
      </w:pPr>
      <w:r>
        <w:rPr>
          <w:bCs/>
          <w:sz w:val="22"/>
          <w:lang w:eastAsia="zh-CN"/>
        </w:rPr>
        <w:t xml:space="preserve"> 7-11 August, 2017, Dali, China</w:t>
      </w:r>
      <w:r>
        <w:rPr>
          <w:rFonts w:hint="eastAsia"/>
          <w:bCs/>
          <w:sz w:val="22"/>
          <w:lang w:eastAsia="zh-CN"/>
        </w:rPr>
        <w:t xml:space="preserve">                   </w:t>
      </w:r>
      <w:r>
        <w:rPr>
          <w:bCs/>
          <w:sz w:val="22"/>
          <w:lang w:eastAsia="zh-CN"/>
        </w:rPr>
        <w:t xml:space="preserve"> </w:t>
      </w:r>
    </w:p>
    <w:p>
      <w:pPr>
        <w:keepNext/>
        <w:pBdr>
          <w:bottom w:val="single" w:color="auto" w:sz="4" w:space="1"/>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hAnsi="Arial" w:eastAsia="宋体"/>
          <w:b/>
          <w:lang w:eastAsia="zh-CN"/>
        </w:rPr>
      </w:pPr>
      <w:r>
        <w:rPr>
          <w:rFonts w:ascii="Arial" w:hAnsi="Arial" w:eastAsia="MS Mincho"/>
          <w:b/>
          <w:lang w:eastAsia="ja-JP"/>
        </w:rPr>
        <w:t>Source:</w:t>
      </w:r>
      <w:r>
        <w:rPr>
          <w:rFonts w:ascii="Arial" w:hAnsi="Arial" w:eastAsia="MS Mincho"/>
          <w:b/>
          <w:lang w:eastAsia="ja-JP"/>
        </w:rPr>
        <w:tab/>
      </w:r>
      <w:r>
        <w:rPr>
          <w:rFonts w:hint="eastAsia" w:ascii="Arial" w:hAnsi="Arial" w:eastAsia="宋体"/>
          <w:b/>
          <w:lang w:eastAsia="zh-CN"/>
        </w:rPr>
        <w:t>China Mobile</w:t>
      </w:r>
    </w:p>
    <w:p>
      <w:pPr>
        <w:spacing w:before="120" w:after="0"/>
        <w:ind w:left="2127" w:hanging="2127"/>
        <w:rPr>
          <w:rFonts w:ascii="Arial" w:hAnsi="Arial" w:eastAsiaTheme="minorEastAsia"/>
          <w:b/>
          <w:lang w:eastAsia="zh-CN"/>
        </w:rPr>
      </w:pPr>
      <w:r>
        <w:rPr>
          <w:rFonts w:ascii="Arial" w:hAnsi="Arial" w:eastAsia="MS Mincho"/>
          <w:b/>
          <w:lang w:eastAsia="ja-JP"/>
        </w:rPr>
        <w:t>Title:</w:t>
      </w:r>
      <w:r>
        <w:rPr>
          <w:rFonts w:ascii="Arial" w:hAnsi="Arial" w:eastAsia="MS Mincho"/>
          <w:b/>
          <w:lang w:eastAsia="ja-JP"/>
        </w:rPr>
        <w:tab/>
      </w:r>
      <w:r>
        <w:rPr>
          <w:rFonts w:hint="eastAsia" w:ascii="Arial" w:hAnsi="Arial" w:eastAsiaTheme="minorEastAsia"/>
          <w:b/>
          <w:lang w:eastAsia="zh-CN"/>
        </w:rPr>
        <w:t xml:space="preserve">pCR </w:t>
      </w:r>
      <w:r>
        <w:rPr>
          <w:rFonts w:ascii="Arial" w:hAnsi="Arial" w:eastAsiaTheme="minorEastAsia"/>
          <w:b/>
          <w:lang w:eastAsia="zh-CN"/>
        </w:rPr>
        <w:t>Security enhancement to the attach procedure relying on the public key of the home network</w:t>
      </w:r>
    </w:p>
    <w:p>
      <w:pPr>
        <w:spacing w:before="120" w:after="0"/>
        <w:ind w:left="2127" w:hanging="2127"/>
        <w:rPr>
          <w:rFonts w:ascii="Arial" w:hAnsi="Arial" w:eastAsia="MS Mincho"/>
          <w:b/>
          <w:lang w:eastAsia="ja-JP"/>
        </w:rPr>
      </w:pPr>
      <w:r>
        <w:rPr>
          <w:rFonts w:ascii="Arial" w:hAnsi="Arial" w:eastAsia="MS Mincho"/>
          <w:b/>
          <w:lang w:eastAsia="ja-JP"/>
        </w:rPr>
        <w:t>Document for:</w:t>
      </w:r>
      <w:r>
        <w:rPr>
          <w:rFonts w:ascii="Arial" w:hAnsi="Arial" w:eastAsia="MS Mincho"/>
          <w:b/>
          <w:lang w:eastAsia="ja-JP"/>
        </w:rPr>
        <w:tab/>
      </w:r>
      <w:r>
        <w:rPr>
          <w:rFonts w:ascii="Arial" w:hAnsi="Arial" w:eastAsia="MS Mincho"/>
          <w:b/>
          <w:lang w:eastAsia="ja-JP"/>
        </w:rPr>
        <w:t>Discussion/approval</w:t>
      </w:r>
    </w:p>
    <w:p>
      <w:pPr>
        <w:spacing w:before="120" w:after="0"/>
        <w:ind w:left="2127" w:hanging="2127"/>
        <w:rPr>
          <w:rFonts w:ascii="Arial" w:hAnsi="Arial" w:eastAsiaTheme="minorEastAsia"/>
          <w:b/>
          <w:lang w:eastAsia="zh-CN"/>
        </w:rPr>
      </w:pPr>
      <w:r>
        <w:rPr>
          <w:rFonts w:ascii="Arial" w:hAnsi="Arial" w:eastAsia="MS Mincho"/>
          <w:b/>
          <w:lang w:eastAsia="ja-JP"/>
        </w:rPr>
        <w:t>Agenda Item:</w:t>
      </w:r>
      <w:r>
        <w:rPr>
          <w:rFonts w:ascii="Arial" w:hAnsi="Arial" w:eastAsia="MS Mincho"/>
          <w:b/>
          <w:lang w:eastAsia="ja-JP"/>
        </w:rPr>
        <w:tab/>
      </w:r>
      <w:r>
        <w:rPr>
          <w:rFonts w:hint="eastAsia" w:ascii="Arial" w:hAnsi="Arial" w:eastAsia="宋体"/>
          <w:b/>
          <w:lang w:val="en-US" w:eastAsia="zh-CN"/>
        </w:rPr>
        <w:t>8.3.7</w:t>
      </w:r>
    </w:p>
    <w:p>
      <w:pPr>
        <w:spacing w:before="120" w:after="0"/>
        <w:ind w:left="2127" w:hanging="2127"/>
        <w:rPr>
          <w:rFonts w:ascii="Arial" w:hAnsi="Arial" w:eastAsia="MS Mincho"/>
          <w:b/>
          <w:lang w:eastAsia="ja-JP"/>
        </w:rPr>
      </w:pPr>
      <w:r>
        <w:rPr>
          <w:rFonts w:ascii="Arial" w:hAnsi="Arial" w:eastAsia="MS Mincho"/>
          <w:b/>
          <w:lang w:eastAsia="ja-JP"/>
        </w:rPr>
        <w:t>Work Item / Release:</w:t>
      </w:r>
      <w:r>
        <w:rPr>
          <w:rFonts w:ascii="Arial" w:hAnsi="Arial" w:eastAsia="MS Mincho"/>
          <w:b/>
          <w:lang w:eastAsia="ja-JP"/>
        </w:rPr>
        <w:tab/>
      </w:r>
      <w:r>
        <w:rPr>
          <w:rFonts w:hint="eastAsia" w:ascii="Arial" w:hAnsi="Arial" w:eastAsia="宋体"/>
          <w:b/>
          <w:lang w:val="en-US" w:eastAsia="zh-CN"/>
        </w:rPr>
        <w:t>FS_NSA</w:t>
      </w:r>
      <w:bookmarkStart w:id="6" w:name="_GoBack"/>
      <w:bookmarkEnd w:id="6"/>
      <w:r>
        <w:rPr>
          <w:rFonts w:ascii="Arial" w:hAnsi="Arial" w:eastAsia="MS Mincho"/>
          <w:b/>
          <w:lang w:eastAsia="ja-JP"/>
        </w:rPr>
        <w:t xml:space="preserve"> / Rel-1</w:t>
      </w:r>
      <w:r>
        <w:rPr>
          <w:rFonts w:hint="eastAsia" w:ascii="Arial" w:hAnsi="Arial" w:eastAsiaTheme="minorEastAsia"/>
          <w:b/>
          <w:lang w:eastAsia="zh-CN"/>
        </w:rPr>
        <w:t>4</w:t>
      </w:r>
      <w:r>
        <w:rPr>
          <w:rFonts w:ascii="Arial" w:hAnsi="Arial" w:eastAsia="MS Mincho"/>
          <w:b/>
          <w:lang w:eastAsia="ja-JP"/>
        </w:rPr>
        <w:t xml:space="preserve"> </w:t>
      </w:r>
    </w:p>
    <w:p>
      <w:pPr>
        <w:spacing w:before="120" w:after="0"/>
        <w:ind w:left="2127" w:hanging="2127"/>
        <w:rPr>
          <w:rFonts w:ascii="Arial" w:hAnsi="Arial" w:eastAsia="MS Mincho"/>
          <w:i/>
          <w:lang w:eastAsia="ja-JP"/>
        </w:rPr>
      </w:pPr>
      <w:r>
        <w:rPr>
          <w:rFonts w:ascii="Arial" w:hAnsi="Arial" w:eastAsia="MS Mincho"/>
          <w:i/>
          <w:lang w:eastAsia="ja-JP"/>
        </w:rPr>
        <w:t xml:space="preserve">Abstract of the contribution: </w:t>
      </w:r>
      <w:bookmarkStart w:id="0" w:name="OLE_LINK5"/>
      <w:bookmarkStart w:id="1" w:name="OLE_LINK6"/>
      <w:bookmarkStart w:id="2" w:name="OLE_LINK7"/>
      <w:r>
        <w:rPr>
          <w:rFonts w:ascii="Arial" w:hAnsi="Arial" w:eastAsia="MS Mincho"/>
          <w:i/>
          <w:lang w:eastAsia="ja-JP"/>
        </w:rPr>
        <w:t xml:space="preserve">This </w:t>
      </w:r>
      <w:r>
        <w:rPr>
          <w:rFonts w:hint="eastAsia" w:ascii="Arial" w:hAnsi="Arial" w:eastAsiaTheme="minorEastAsia"/>
          <w:i/>
          <w:lang w:eastAsia="zh-CN"/>
        </w:rPr>
        <w:t>pCR</w:t>
      </w:r>
      <w:r>
        <w:rPr>
          <w:rFonts w:ascii="Arial" w:hAnsi="Arial" w:eastAsia="MS Mincho"/>
          <w:i/>
          <w:lang w:eastAsia="ja-JP"/>
        </w:rPr>
        <w:t xml:space="preserve"> proposes </w:t>
      </w:r>
      <w:bookmarkEnd w:id="0"/>
      <w:bookmarkEnd w:id="1"/>
      <w:bookmarkEnd w:id="2"/>
      <w:r>
        <w:rPr>
          <w:rFonts w:ascii="Arial" w:hAnsi="Arial" w:eastAsiaTheme="minorEastAsia"/>
          <w:i/>
          <w:lang w:eastAsia="zh-CN"/>
        </w:rPr>
        <w:t xml:space="preserve">to enhance the security of the attach procedure by using Diffie-Hellman key exchange protocol and signature. The security of the proposed scheme relies on the public key of the home network. It is intended to eliminate the security threats surrounding the attach procedure:  privacy of subscriber identifies, long-term secret key leakage, insecurity of links between MNOs, linkability attacks, and DoS attacks on UE.   </w:t>
      </w:r>
    </w:p>
    <w:p>
      <w:pPr>
        <w:pStyle w:val="2"/>
      </w:pPr>
      <w:r>
        <w:t xml:space="preserve">Introduction </w:t>
      </w:r>
    </w:p>
    <w:p>
      <w:pPr>
        <w:rPr>
          <w:rFonts w:eastAsiaTheme="minorEastAsia"/>
          <w:lang w:eastAsia="zh-CN"/>
        </w:rPr>
      </w:pPr>
      <w:r>
        <w:rPr>
          <w:rFonts w:eastAsiaTheme="minorEastAsia"/>
          <w:lang w:eastAsia="zh-CN"/>
        </w:rPr>
        <w:t xml:space="preserve">The attach procedure is an essential step for a UE to access the network, which can be divided into three stages according to their different functionalities: (1) identity acquisition: the network retrieves the UE’s identity, (2) Authenticate and key management (AKA) for mutual authentication between UE and network as well as deriving the session key, (3) Security mode command (SMC) for the negotiation of cryptographic algorithms and activating the message protection.  No security vulnerability associated with the SMC stage has been found till now. However,   numerous security threats at the identity acquisition stage and AKA stage have been uncovered. They result from the design flaw of the protocol or questionable security assumptions. These security threats can be summarised as follows.    </w:t>
      </w:r>
    </w:p>
    <w:p>
      <w:pPr>
        <w:rPr>
          <w:rFonts w:eastAsiaTheme="minorEastAsia"/>
          <w:lang w:eastAsia="zh-CN"/>
        </w:rPr>
      </w:pPr>
      <w:r>
        <w:rPr>
          <w:rFonts w:eastAsiaTheme="minorEastAsia"/>
          <w:lang w:eastAsia="zh-CN"/>
        </w:rPr>
        <w:t xml:space="preserve"> </w:t>
      </w:r>
      <w:r>
        <w:rPr>
          <w:rFonts w:eastAsiaTheme="minorEastAsia"/>
          <w:i/>
          <w:lang w:eastAsia="zh-CN"/>
        </w:rPr>
        <w:t>Privacy of subscriber identifiers</w:t>
      </w:r>
      <w:r>
        <w:rPr>
          <w:rFonts w:eastAsiaTheme="minorEastAsia"/>
          <w:lang w:eastAsia="zh-CN"/>
        </w:rPr>
        <w:t xml:space="preserve">: 3GPP has made many efforts to deal with the privacy of subscriber identifiers since the deployment of 2G network. The basic solution is that a temporary identity is assigned to the UE for the network access in order to hide the permanent identity of a UE for the most time. However, it is still possible for an attacker to get the permanent identity of a UE due to the imperfect identity management process. So far UE might disclose its permanent identity at least in two cases when connecting the network: initial attachment and synchronization problem between IMSI and GUTI. A passive attacker could obtain the UE’s identity by eavesdropping on the very first attach messages since a UE has to release its permanent identity to the network when connecting to a network at the first time. Such attacks are especially effective at airports because most people there roam from the home network and try to connect the visited network for the first time.  An active attacker could acquire the permanent identity of a UE at anywhere and at anytime by using IMSI Catcher[1], where the IMSI Catcher acts as a false station to force the UE to disclose its identity.  The privacy of subscriber identifies has been identified as a key issue in 5.7.3.2 of TR 33.899. </w:t>
      </w:r>
    </w:p>
    <w:p>
      <w:pPr>
        <w:rPr>
          <w:rFonts w:eastAsiaTheme="minorEastAsia"/>
          <w:lang w:eastAsia="zh-CN"/>
        </w:rPr>
      </w:pPr>
      <w:r>
        <w:rPr>
          <w:rFonts w:eastAsiaTheme="minorEastAsia"/>
          <w:i/>
          <w:lang w:eastAsia="zh-CN"/>
        </w:rPr>
        <w:t>Long-time secret leakage:</w:t>
      </w:r>
      <w:r>
        <w:rPr>
          <w:rFonts w:eastAsiaTheme="minorEastAsia"/>
          <w:lang w:eastAsia="zh-CN"/>
        </w:rPr>
        <w:t xml:space="preserve"> The AKA protocol performs the mutual authentication between a UE and the network and derives the session key relying on the security assumption that the root key stored in the USIM is never disclosed to anyone except the network operator.  However, the report [2] shows that such assumption is not always true since the root key might be compromised at manufacture stage of a USIM card. Consequently, a passive attacker could wiretap the communication using the session key derived from the root key and messages exchanged between a UE and the network.  An active adversary could launch a man-in-the-middle attack by forging a base station using a great number of stolen root keys. The long-time secret leakage has been recognized as a key issue in 5.2.3.2 of TR 33.899. </w:t>
      </w:r>
    </w:p>
    <w:p>
      <w:pPr>
        <w:rPr>
          <w:rFonts w:eastAsiaTheme="minorEastAsia"/>
          <w:lang w:val="en-US" w:eastAsia="zh-CN"/>
        </w:rPr>
      </w:pPr>
      <w:r>
        <w:rPr>
          <w:rFonts w:eastAsiaTheme="minorEastAsia"/>
          <w:i/>
          <w:lang w:val="en-US" w:eastAsia="zh-CN"/>
        </w:rPr>
        <w:t>Insecurity of links between MNOs</w:t>
      </w:r>
      <w:r>
        <w:rPr>
          <w:rFonts w:eastAsiaTheme="minorEastAsia"/>
          <w:lang w:val="en-US" w:eastAsia="zh-CN"/>
        </w:rPr>
        <w:t>: The session keys, also called radio interface keys, are computed in HSS of the home network in LTE. They might be delivered to the serving node of the visited network using SS7/Diameter messages over links between MNOs.  The AKA protocol assumes that the links between MNOs are secure.  However, the attacks on SS7 links between MNOs demonstrate that such assumption is questionable [3]. As a result, an attacker could intercept the communication in the visited network using the session keys acquired from the links between MNOs.  Moreover, it can not preclude an active attacker to inject a forged authentication vector into the SEAF such that UE is forced to use the session key known by the attacker. Insecurity of links between MNOs is marked as a key issue in 5.3.3.1 of TR 33.899.</w:t>
      </w:r>
    </w:p>
    <w:p>
      <w:pPr>
        <w:pStyle w:val="38"/>
        <w:ind w:left="0"/>
      </w:pPr>
      <w:r>
        <w:rPr>
          <w:i/>
        </w:rPr>
        <w:t>Linkability attacks</w:t>
      </w:r>
      <w:r>
        <w:t>: As demonstrated in [4], AKA protocol suffers from the linkability attack because two different error messages (MAC_FAIL, SYNC_FAIL) in case of authentication failure may be sent from UE to the network. To detect the presence of a UE, an active attacker captures one UE’s legitimate authentication request message containing a pair of (RAND, AUTN) and binds it with that UE. In this attacker doesn’t need to get UE’s IMSI. The attacker replays such authentication request message containing the pair (RAND, AUTN) that has captured before. The adversary can distinguish any mobile station from the one the authentication request was originally sent to according to the type of error message. If the adversary receives a SYNC_FAIL message, he/she can ascertain the presence of the UE in a particular area. This breaches the user location confidentiality.</w:t>
      </w:r>
    </w:p>
    <w:p>
      <w:pPr>
        <w:pStyle w:val="38"/>
        <w:ind w:left="0"/>
      </w:pPr>
    </w:p>
    <w:p>
      <w:pPr>
        <w:pStyle w:val="38"/>
        <w:ind w:left="0"/>
      </w:pPr>
      <w:r>
        <w:rPr>
          <w:i/>
        </w:rPr>
        <w:t>Tracking attacks based on AUTS</w:t>
      </w:r>
      <w:r>
        <w:t>: Recently it has revealed that UE can be tracked according to AUTS [6]. The attacker can force a target UE to perform a re-synchronisation by replaying an authentication challenge it previously obtained from the network for the target UE. This allows the attacker to confirm the presence of the target UE by performing the exclusive OR operation between two AUTSs contained in the re-synchronisation messages.</w:t>
      </w:r>
    </w:p>
    <w:p>
      <w:pPr>
        <w:rPr>
          <w:rFonts w:eastAsiaTheme="minorEastAsia"/>
          <w:lang w:val="en-US" w:eastAsia="zh-CN"/>
        </w:rPr>
      </w:pPr>
      <w:r>
        <w:rPr>
          <w:rFonts w:eastAsiaTheme="minorEastAsia"/>
          <w:i/>
          <w:lang w:val="en-US" w:eastAsia="zh-CN"/>
        </w:rPr>
        <w:t>DoS attacks on UE</w:t>
      </w:r>
      <w:r>
        <w:rPr>
          <w:rFonts w:eastAsiaTheme="minorEastAsia"/>
          <w:lang w:val="en-US" w:eastAsia="zh-CN"/>
        </w:rPr>
        <w:t>: If detecting the invalidity of RES, MME may send the authentication reject message to the UE, which is not integrity protected. Upon receipt of an authentication reject message, to be able to invoke a new attach request, UE has to switch off and restart [5]. As a result, an adversary can launch a DoS attack on UE by sending a counterfeit authentication reject message to the UE</w:t>
      </w:r>
    </w:p>
    <w:p>
      <w:pPr>
        <w:pStyle w:val="2"/>
        <w:rPr>
          <w:rFonts w:eastAsiaTheme="minorEastAsia"/>
          <w:lang w:val="en-US" w:eastAsia="zh-CN"/>
        </w:rPr>
      </w:pPr>
      <w:r>
        <w:rPr>
          <w:rFonts w:eastAsiaTheme="minorEastAsia"/>
          <w:lang w:val="en-US" w:eastAsia="zh-CN"/>
        </w:rPr>
        <w:t xml:space="preserve">Reference </w:t>
      </w:r>
    </w:p>
    <w:p>
      <w:pPr>
        <w:rPr>
          <w:rFonts w:eastAsiaTheme="minorEastAsia"/>
          <w:lang w:val="en-US" w:eastAsia="zh-CN"/>
        </w:rPr>
      </w:pPr>
      <w:r>
        <w:rPr>
          <w:rFonts w:eastAsiaTheme="minorEastAsia"/>
          <w:lang w:val="en-US" w:eastAsia="zh-CN"/>
        </w:rPr>
        <w:t>[1] ” Low-cost IMSI catcher for 4G/LTE networks tracks phones’ precise locations”</w:t>
      </w:r>
    </w:p>
    <w:p>
      <w:pPr>
        <w:rPr>
          <w:rFonts w:eastAsiaTheme="minorEastAsia"/>
          <w:lang w:val="en-US" w:eastAsia="zh-CN"/>
        </w:rPr>
      </w:pPr>
      <w:r>
        <w:fldChar w:fldCharType="begin"/>
      </w:r>
      <w:r>
        <w:instrText xml:space="preserve"> HYPERLINK "http://arstechnica.com/security/2015/10/low-cost-imsi-catcher-for-4glte-networks-track-phones-precise-locations/" </w:instrText>
      </w:r>
      <w:r>
        <w:fldChar w:fldCharType="separate"/>
      </w:r>
      <w:r>
        <w:rPr>
          <w:rStyle w:val="19"/>
          <w:rFonts w:eastAsiaTheme="minorEastAsia"/>
          <w:lang w:val="en-US" w:eastAsia="zh-CN"/>
        </w:rPr>
        <w:t>http://arstechnica.com/security/2015/10/low-cost-imsi-catcher-for-4glte-networks-track-phones-precise-locations/</w:t>
      </w:r>
      <w:r>
        <w:rPr>
          <w:rStyle w:val="19"/>
          <w:rFonts w:eastAsiaTheme="minorEastAsia"/>
          <w:lang w:val="en-US" w:eastAsia="zh-CN"/>
        </w:rPr>
        <w:fldChar w:fldCharType="end"/>
      </w:r>
    </w:p>
    <w:p>
      <w:pPr>
        <w:rPr>
          <w:rFonts w:eastAsiaTheme="minorEastAsia"/>
          <w:lang w:val="en-US" w:eastAsia="zh-CN"/>
        </w:rPr>
      </w:pPr>
      <w:r>
        <w:rPr>
          <w:rFonts w:ascii="Arial" w:hAnsi="Arial" w:cs="Arial"/>
        </w:rPr>
        <w:t>[</w:t>
      </w:r>
      <w:r>
        <w:rPr>
          <w:rFonts w:eastAsiaTheme="minorEastAsia"/>
          <w:lang w:val="en-US" w:eastAsia="zh-CN"/>
        </w:rPr>
        <w:t xml:space="preserve">2] “The Great SIM Heist – How Spies Stole the Keys to the Encryption Castle”, </w:t>
      </w:r>
      <w:r>
        <w:fldChar w:fldCharType="begin"/>
      </w:r>
      <w:r>
        <w:instrText xml:space="preserve"> HYPERLINK "https://theintercept.com/2015/02/19/great-sim-heist/" </w:instrText>
      </w:r>
      <w:r>
        <w:fldChar w:fldCharType="separate"/>
      </w:r>
      <w:r>
        <w:rPr>
          <w:rStyle w:val="19"/>
          <w:rFonts w:eastAsiaTheme="minorEastAsia"/>
          <w:lang w:val="en-US" w:eastAsia="zh-CN"/>
        </w:rPr>
        <w:t>https://theintercept.com/2015/02/19/great-sim-heist/.</w:t>
      </w:r>
      <w:r>
        <w:rPr>
          <w:rStyle w:val="19"/>
          <w:rFonts w:eastAsiaTheme="minorEastAsia"/>
          <w:lang w:val="en-US" w:eastAsia="zh-CN"/>
        </w:rPr>
        <w:fldChar w:fldCharType="end"/>
      </w:r>
    </w:p>
    <w:p>
      <w:pPr>
        <w:rPr>
          <w:rFonts w:eastAsiaTheme="minorEastAsia"/>
          <w:lang w:val="en-US" w:eastAsia="zh-CN"/>
        </w:rPr>
      </w:pPr>
      <w:r>
        <w:rPr>
          <w:rFonts w:eastAsiaTheme="minorEastAsia"/>
          <w:lang w:val="en-US" w:eastAsia="zh-CN"/>
        </w:rPr>
        <w:t xml:space="preserve">[3] “German researchers discover a flaw that could let anyone listen to your cell calls.”, </w:t>
      </w:r>
    </w:p>
    <w:p>
      <w:pPr>
        <w:rPr>
          <w:rFonts w:eastAsiaTheme="minorEastAsia"/>
          <w:lang w:val="en-US" w:eastAsia="zh-CN"/>
        </w:rPr>
      </w:pPr>
      <w:r>
        <w:fldChar w:fldCharType="begin"/>
      </w:r>
      <w:r>
        <w:instrText xml:space="preserve"> HYPERLINK "https://www.washingtonpost.com/news/the-switch/wp/2014/12/18/german-researchers-discover-a-flaw-that-could-let-anyone-listen-to-your-cell-calls-and-read-your-texts/" </w:instrText>
      </w:r>
      <w:r>
        <w:fldChar w:fldCharType="separate"/>
      </w:r>
      <w:r>
        <w:rPr>
          <w:rFonts w:eastAsiaTheme="minorEastAsia"/>
          <w:lang w:val="en-US" w:eastAsia="zh-CN"/>
        </w:rPr>
        <w:t>https://www.washingtonpost.com/news/the-switch/wp/2014/12/18/german-researchers-discover-a-flaw-that-could-let-anyone-listen-to-your-cell-calls-and-read-your-texts/</w:t>
      </w:r>
      <w:r>
        <w:rPr>
          <w:rFonts w:eastAsiaTheme="minorEastAsia"/>
          <w:lang w:val="en-US" w:eastAsia="zh-CN"/>
        </w:rPr>
        <w:fldChar w:fldCharType="end"/>
      </w:r>
      <w:r>
        <w:rPr>
          <w:rFonts w:eastAsiaTheme="minorEastAsia"/>
          <w:lang w:val="en-US" w:eastAsia="zh-CN"/>
        </w:rPr>
        <w:t>.</w:t>
      </w:r>
    </w:p>
    <w:p>
      <w:pPr>
        <w:rPr>
          <w:rFonts w:eastAsiaTheme="minorEastAsia"/>
          <w:lang w:val="en-US" w:eastAsia="zh-CN"/>
        </w:rPr>
      </w:pPr>
      <w:r>
        <w:rPr>
          <w:rFonts w:eastAsiaTheme="minorEastAsia"/>
          <w:lang w:val="en-US" w:eastAsia="zh-CN"/>
        </w:rPr>
        <w:t>[4] M. Arapinis etc., New Privacy Issues in Mobile Telephony: Fix and Verification, CCS’12, October 16–18, 2012, Raleigh, North Carolina, USA.</w:t>
      </w:r>
    </w:p>
    <w:p>
      <w:r>
        <w:rPr>
          <w:rFonts w:eastAsiaTheme="minorEastAsia"/>
          <w:lang w:val="en-US" w:eastAsia="zh-CN"/>
        </w:rPr>
        <w:t>[5]</w:t>
      </w:r>
      <w:r>
        <w:t xml:space="preserve"> 3GPP TS 24.301, Technical Specification Group Core Network and Terminals;Non-Access-Stratum (NAS) protocol for Evolved Packet System (EPS); Stage 3</w:t>
      </w:r>
    </w:p>
    <w:p>
      <w:r>
        <w:t>[6] Borgaonkar etc., “New Adventures in Spying 3G&amp;4G Users: Locate, Track, Monitor”. Blackhat  USA 2017, Las Vegas, 26.07.2017</w:t>
      </w:r>
    </w:p>
    <w:p>
      <w:pPr>
        <w:pStyle w:val="2"/>
      </w:pPr>
      <w:r>
        <w:t>Proposed pCR</w:t>
      </w:r>
      <w:r>
        <w:rPr>
          <w:rFonts w:cs="Arial"/>
          <w:sz w:val="44"/>
          <w:szCs w:val="44"/>
        </w:rPr>
        <w:t xml:space="preserve"> </w:t>
      </w:r>
    </w:p>
    <w:p>
      <w:pPr>
        <w:jc w:val="center"/>
        <w:rPr>
          <w:rFonts w:cs="Arial"/>
        </w:rPr>
      </w:pPr>
      <w:r>
        <w:rPr>
          <w:highlight w:val="yellow"/>
        </w:rPr>
        <w:t xml:space="preserve">All text is </w:t>
      </w:r>
      <w:r>
        <w:rPr>
          <w:b/>
          <w:highlight w:val="yellow"/>
        </w:rPr>
        <w:t>NEW</w:t>
      </w:r>
      <w:r>
        <w:rPr>
          <w:highlight w:val="yellow"/>
        </w:rPr>
        <w:t>. Therefore, for easier reading, track-changes are not present in the following.</w:t>
      </w:r>
    </w:p>
    <w:p>
      <w:pPr>
        <w:jc w:val="center"/>
        <w:rPr>
          <w:rFonts w:cs="Arial"/>
          <w:sz w:val="44"/>
          <w:szCs w:val="44"/>
        </w:rPr>
      </w:pPr>
    </w:p>
    <w:p>
      <w:pPr>
        <w:jc w:val="center"/>
        <w:rPr>
          <w:rFonts w:cs="Arial"/>
          <w:sz w:val="44"/>
          <w:szCs w:val="44"/>
        </w:rPr>
      </w:pPr>
      <w:r>
        <w:rPr>
          <w:rFonts w:cs="Arial"/>
          <w:sz w:val="44"/>
          <w:szCs w:val="44"/>
        </w:rPr>
        <w:t>***</w:t>
      </w:r>
      <w:r>
        <w:rPr>
          <w:rFonts w:cs="Arial"/>
          <w:sz w:val="44"/>
          <w:szCs w:val="44"/>
        </w:rPr>
        <w:tab/>
      </w:r>
      <w:r>
        <w:rPr>
          <w:rFonts w:cs="Arial"/>
          <w:sz w:val="44"/>
          <w:szCs w:val="44"/>
        </w:rPr>
        <w:t xml:space="preserve">BEGIN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cs="Arial"/>
          <w:sz w:val="44"/>
          <w:szCs w:val="44"/>
        </w:rPr>
        <w:t xml:space="preserve"> CHANGE</w:t>
      </w:r>
      <w:r>
        <w:rPr>
          <w:rFonts w:cs="Arial"/>
          <w:sz w:val="44"/>
          <w:szCs w:val="44"/>
        </w:rPr>
        <w:tab/>
      </w:r>
      <w:r>
        <w:rPr>
          <w:rFonts w:cs="Arial"/>
          <w:sz w:val="44"/>
          <w:szCs w:val="44"/>
        </w:rPr>
        <w:t>***</w:t>
      </w:r>
    </w:p>
    <w:p>
      <w:pPr>
        <w:pStyle w:val="5"/>
      </w:pPr>
      <w:r>
        <w:t xml:space="preserve">5.7.4.x </w:t>
      </w:r>
      <w:r>
        <w:tab/>
      </w:r>
      <w:r>
        <w:t>Solution #7.x:  Applying DH and digital signature to the attach procedure</w:t>
      </w:r>
    </w:p>
    <w:p>
      <w:pPr>
        <w:pStyle w:val="6"/>
        <w:numPr>
          <w:ilvl w:val="0"/>
          <w:numId w:val="0"/>
        </w:numPr>
        <w:ind w:left="1701" w:hanging="1701"/>
        <w:rPr>
          <w:rFonts w:eastAsiaTheme="minorEastAsia"/>
        </w:rPr>
      </w:pPr>
      <w:r>
        <w:rPr>
          <w:rFonts w:eastAsiaTheme="minorEastAsia"/>
        </w:rPr>
        <w:t>5.7.4.x.1  Introduction</w:t>
      </w:r>
    </w:p>
    <w:p>
      <w:r>
        <w:t>We propose to apply the Diffie-Hellman (DH) key exchange [11] with digital signature to the 5G attach procedure in order to eliminate aforementioned security threats appeared in 4G/LTE networks. When the DH key exchange between the UE and the serving network is carried out, the DH public key of the serving network is signed by the long-term private key of the home network. The UE verifies the digital signature by using the pre-configured long-term public key of home network so that the authenticity of the DH public key of the serving network acquired by UE is ensured. The key K</w:t>
      </w:r>
      <w:r>
        <w:rPr>
          <w:vertAlign w:val="subscript"/>
        </w:rPr>
        <w:t>DH</w:t>
      </w:r>
      <w:r>
        <w:t xml:space="preserve"> agreed between the UE and the serving network is used to generate the encryption key K</w:t>
      </w:r>
      <w:r>
        <w:rPr>
          <w:vertAlign w:val="subscript"/>
        </w:rPr>
        <w:t>E</w:t>
      </w:r>
      <w:r>
        <w:t xml:space="preserve"> and the integrity key K</w:t>
      </w:r>
      <w:r>
        <w:rPr>
          <w:vertAlign w:val="subscript"/>
        </w:rPr>
        <w:t>M</w:t>
      </w:r>
      <w:r>
        <w:t>. The permanent identity IMSI of the UE is protected under the key K</w:t>
      </w:r>
      <w:r>
        <w:rPr>
          <w:vertAlign w:val="subscript"/>
        </w:rPr>
        <w:t>E</w:t>
      </w:r>
      <w:r>
        <w:t xml:space="preserve"> and K</w:t>
      </w:r>
      <w:r>
        <w:rPr>
          <w:vertAlign w:val="subscript"/>
        </w:rPr>
        <w:t>M</w:t>
      </w:r>
      <w:r>
        <w:t>. Only the serving network can obtain the permanent identity IMSI of the UE since the UE makes use of the authentic serving network DH public key to yield the key K</w:t>
      </w:r>
      <w:r>
        <w:rPr>
          <w:vertAlign w:val="subscript"/>
        </w:rPr>
        <w:t>E</w:t>
      </w:r>
      <w:r>
        <w:t xml:space="preserve"> and K</w:t>
      </w:r>
      <w:r>
        <w:rPr>
          <w:vertAlign w:val="subscript"/>
        </w:rPr>
        <w:t>M</w:t>
      </w:r>
      <w:r>
        <w:t xml:space="preserve">. At the end of the AKA protocol, </w:t>
      </w:r>
      <w:r>
        <w:rPr>
          <w:rFonts w:eastAsiaTheme="minorEastAsia"/>
          <w:lang w:val="en-US" w:eastAsia="zh-CN"/>
        </w:rPr>
        <w:t>UE and the network generate the same key K</w:t>
      </w:r>
      <w:r>
        <w:rPr>
          <w:rFonts w:eastAsiaTheme="minorEastAsia"/>
          <w:vertAlign w:val="subscript"/>
          <w:lang w:val="en-US" w:eastAsia="zh-CN"/>
        </w:rPr>
        <w:t>mid</w:t>
      </w:r>
      <w:r>
        <w:rPr>
          <w:rFonts w:eastAsiaTheme="minorEastAsia"/>
          <w:lang w:val="en-US" w:eastAsia="zh-CN"/>
        </w:rPr>
        <w:t xml:space="preserve"> on the basis of the long-term key K, then </w:t>
      </w:r>
      <w:r>
        <w:t>the UE and the serving network calculate the session key Ks using the key K</w:t>
      </w:r>
      <w:r>
        <w:rPr>
          <w:vertAlign w:val="subscript"/>
        </w:rPr>
        <w:t>mid</w:t>
      </w:r>
      <w:r>
        <w:t xml:space="preserve"> and the shared key K</w:t>
      </w:r>
      <w:r>
        <w:rPr>
          <w:vertAlign w:val="subscript"/>
        </w:rPr>
        <w:t>DH</w:t>
      </w:r>
      <w:r>
        <w:t>. To prevent the possible DoS attack on UE, the authentication reject message sent from the SEAF to UE is integrity protected by using the key K</w:t>
      </w:r>
      <w:r>
        <w:rPr>
          <w:vertAlign w:val="subscript"/>
        </w:rPr>
        <w:t>M</w:t>
      </w:r>
      <w:r>
        <w:t>. In addition, in the case of an attachment failure, the scheme protects the authentication response message sent by the UE to the serving network by using the encryption key K</w:t>
      </w:r>
      <w:r>
        <w:rPr>
          <w:vertAlign w:val="subscript"/>
        </w:rPr>
        <w:t>E</w:t>
      </w:r>
      <w:r>
        <w:t xml:space="preserve"> and the integrity key K</w:t>
      </w:r>
      <w:r>
        <w:rPr>
          <w:vertAlign w:val="subscript"/>
        </w:rPr>
        <w:t>M</w:t>
      </w:r>
      <w:r>
        <w:t xml:space="preserve"> to resist the linkability attacks.</w:t>
      </w:r>
    </w:p>
    <w:p>
      <w:pPr>
        <w:rPr>
          <w:rFonts w:eastAsiaTheme="minorEastAsia"/>
          <w:lang w:val="en-US" w:eastAsia="zh-CN"/>
        </w:rPr>
      </w:pPr>
      <w:r>
        <w:rPr>
          <w:rFonts w:eastAsiaTheme="minorEastAsia"/>
          <w:lang w:eastAsia="zh-CN"/>
        </w:rPr>
        <w:t xml:space="preserve"> </w:t>
      </w:r>
    </w:p>
    <w:p>
      <w:pPr>
        <w:pStyle w:val="6"/>
        <w:rPr>
          <w:rFonts w:eastAsiaTheme="minorEastAsia"/>
          <w:lang w:val="en-US" w:eastAsia="zh-CN"/>
        </w:rPr>
      </w:pPr>
      <w:r>
        <w:rPr>
          <w:rFonts w:eastAsiaTheme="minorEastAsia"/>
          <w:lang w:val="en-US" w:eastAsia="zh-CN"/>
        </w:rPr>
        <w:t xml:space="preserve">5.7.4.x.2 Solution details </w:t>
      </w:r>
    </w:p>
    <w:p>
      <w:pPr>
        <w:rPr>
          <w:rFonts w:eastAsiaTheme="minorEastAsia"/>
          <w:lang w:val="en-US" w:eastAsia="zh-CN"/>
        </w:rPr>
      </w:pPr>
      <w:r>
        <w:rPr>
          <w:rFonts w:eastAsiaTheme="minorEastAsia"/>
          <w:lang w:val="en-US" w:eastAsia="zh-CN"/>
        </w:rPr>
        <w:t xml:space="preserve">Three authentication-related functions are involved in the attach procedure, which are:  </w:t>
      </w:r>
    </w:p>
    <w:p>
      <w:pPr>
        <w:pStyle w:val="38"/>
        <w:numPr>
          <w:ilvl w:val="0"/>
          <w:numId w:val="2"/>
        </w:numPr>
        <w:spacing w:after="0"/>
        <w:rPr>
          <w:rFonts w:eastAsiaTheme="minorEastAsia"/>
          <w:lang w:val="en-US" w:eastAsia="zh-CN"/>
        </w:rPr>
      </w:pPr>
      <w:r>
        <w:rPr>
          <w:rFonts w:eastAsiaTheme="minorEastAsia"/>
          <w:lang w:val="en-US" w:eastAsia="zh-CN"/>
        </w:rPr>
        <w:t>Authentication Credential Repository and Processing Function (ARPF)</w:t>
      </w:r>
    </w:p>
    <w:p>
      <w:pPr>
        <w:pStyle w:val="38"/>
        <w:numPr>
          <w:ilvl w:val="0"/>
          <w:numId w:val="2"/>
        </w:numPr>
        <w:spacing w:after="0"/>
        <w:rPr>
          <w:rFonts w:eastAsiaTheme="minorEastAsia"/>
          <w:lang w:val="en-US" w:eastAsia="zh-CN"/>
        </w:rPr>
      </w:pPr>
      <w:r>
        <w:rPr>
          <w:rFonts w:eastAsiaTheme="minorEastAsia"/>
          <w:lang w:val="en-US" w:eastAsia="zh-CN"/>
        </w:rPr>
        <w:t xml:space="preserve">Authentication Server Function (AUSF) </w:t>
      </w:r>
    </w:p>
    <w:p>
      <w:pPr>
        <w:pStyle w:val="38"/>
        <w:numPr>
          <w:ilvl w:val="0"/>
          <w:numId w:val="2"/>
        </w:numPr>
        <w:spacing w:after="0"/>
        <w:rPr>
          <w:rFonts w:eastAsiaTheme="minorEastAsia"/>
          <w:lang w:val="en-US" w:eastAsia="zh-CN"/>
        </w:rPr>
      </w:pPr>
      <w:r>
        <w:rPr>
          <w:rFonts w:eastAsiaTheme="minorEastAsia"/>
          <w:lang w:val="en-US" w:eastAsia="zh-CN"/>
        </w:rPr>
        <w:t>Security Anchor Function (SEAF)</w:t>
      </w:r>
    </w:p>
    <w:p>
      <w:pPr>
        <w:spacing w:after="0"/>
        <w:rPr>
          <w:rFonts w:eastAsiaTheme="minorEastAsia"/>
          <w:lang w:val="en-US" w:eastAsia="zh-CN"/>
        </w:rPr>
      </w:pPr>
    </w:p>
    <w:p>
      <w:pPr>
        <w:pStyle w:val="38"/>
        <w:numPr>
          <w:ilvl w:val="0"/>
          <w:numId w:val="3"/>
        </w:numPr>
        <w:spacing w:after="0"/>
        <w:rPr>
          <w:rFonts w:eastAsiaTheme="minorEastAsia"/>
          <w:lang w:val="en-US" w:eastAsia="zh-CN"/>
        </w:rPr>
      </w:pPr>
      <w:r>
        <w:rPr>
          <w:rFonts w:eastAsiaTheme="minorEastAsia"/>
          <w:lang w:val="en-US" w:eastAsia="zh-CN"/>
        </w:rPr>
        <w:t>Successful attach procedure</w:t>
      </w:r>
    </w:p>
    <w:p>
      <w:pPr>
        <w:rPr>
          <w:rFonts w:eastAsiaTheme="minorEastAsia"/>
          <w:lang w:val="en-US" w:eastAsia="zh-CN"/>
        </w:rPr>
      </w:pPr>
      <w:r>
        <w:rPr>
          <w:rFonts w:eastAsiaTheme="minorEastAsia"/>
          <w:lang w:val="en-US" w:eastAsia="zh-CN"/>
        </w:rPr>
        <w:t xml:space="preserve">A successful attach procedure is depicted in Figure </w:t>
      </w:r>
      <w:r>
        <w:t>5.7.4.x.2-1</w:t>
      </w:r>
      <w:r>
        <w:rPr>
          <w:rFonts w:eastAsiaTheme="minorEastAsia"/>
          <w:lang w:val="en-US" w:eastAsia="zh-CN"/>
        </w:rPr>
        <w:t xml:space="preserve">, where the term “UE” instead of “NG-UE” is still used for simplicity.   </w:t>
      </w:r>
    </w:p>
    <w:p>
      <w:r>
        <w:object>
          <v:shape id="_x0000_i1025" o:spt="75" type="#_x0000_t75" style="height:282.1pt;width:450.8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ind w:left="-284" w:leftChars="-142"/>
      </w:pPr>
      <w:r>
        <w:tab/>
      </w:r>
      <w:r>
        <w:tab/>
      </w:r>
      <w:r>
        <w:tab/>
      </w:r>
      <w:r>
        <w:t xml:space="preserve"> Figure 5.7.4.x.2-1.  A successful attach procedure</w:t>
      </w:r>
    </w:p>
    <w:p>
      <w:pPr>
        <w:rPr>
          <w:rFonts w:eastAsiaTheme="minorEastAsia"/>
          <w:lang w:val="en-US" w:eastAsia="zh-CN"/>
        </w:rPr>
      </w:pPr>
      <w:r>
        <w:rPr>
          <w:rFonts w:eastAsiaTheme="minorEastAsia"/>
          <w:lang w:val="en-US" w:eastAsia="zh-CN"/>
        </w:rPr>
        <w:t xml:space="preserve">The successful attach procedure is illustrated as follows: </w:t>
      </w:r>
    </w:p>
    <w:p>
      <w:pPr>
        <w:pStyle w:val="38"/>
        <w:widowControl w:val="0"/>
        <w:numPr>
          <w:ilvl w:val="0"/>
          <w:numId w:val="4"/>
        </w:numPr>
        <w:spacing w:after="0"/>
        <w:contextualSpacing w:val="0"/>
      </w:pPr>
      <w:r>
        <w:t xml:space="preserve">The UE initiates an attach procedure and sends an </w:t>
      </w:r>
      <w:r>
        <w:rPr>
          <w:i/>
        </w:rPr>
        <w:t>attach request</w:t>
      </w:r>
      <w:r>
        <w:t xml:space="preserve"> to the SEAF.</w:t>
      </w:r>
      <w:r>
        <w:br w:type="textWrapping"/>
      </w:r>
      <w:r>
        <w:t>If the UE has been assigned a temporary identity GUTI, the attach request message is 1-a, including the one-time random number Nonce1, MCC, MNC, GUTI, MAC0. MAC0 is calculated as follows:</w:t>
      </w:r>
      <w:r>
        <w:br w:type="textWrapping"/>
      </w:r>
      <w:r>
        <w:t>MAC0 = HASH (K</w:t>
      </w:r>
      <w:r>
        <w:rPr>
          <w:vertAlign w:val="subscript"/>
        </w:rPr>
        <w:t>DH</w:t>
      </w:r>
      <w:r>
        <w:t>, Nonce1, MCC, MNC, GUTI)</w:t>
      </w:r>
      <w:r>
        <w:br w:type="textWrapping"/>
      </w:r>
      <w:r>
        <w:t>Where HASH is a hash function, MCC denotes Mobile Country Code, MNC denotes Mobile Network Code, MCC and MNC are used for the SEAF to route the attach request to the correct home network, K</w:t>
      </w:r>
      <w:r>
        <w:rPr>
          <w:vertAlign w:val="subscript"/>
        </w:rPr>
        <w:t>DH</w:t>
      </w:r>
      <w:r>
        <w:t xml:space="preserve"> is the shared key between UE and SEAF generated in the last attach procedure.</w:t>
      </w:r>
      <w:r>
        <w:br w:type="textWrapping"/>
      </w:r>
      <w:r>
        <w:t xml:space="preserve">If the UE has not yet been assigned a GUTI, the attach request message is 1-b, including the one-time random number Nonce1, MCC, and MNC </w:t>
      </w:r>
    </w:p>
    <w:p>
      <w:pPr>
        <w:pStyle w:val="38"/>
        <w:widowControl w:val="0"/>
        <w:spacing w:after="0"/>
        <w:ind w:left="360"/>
        <w:contextualSpacing w:val="0"/>
      </w:pPr>
    </w:p>
    <w:p>
      <w:pPr>
        <w:pStyle w:val="38"/>
        <w:widowControl w:val="0"/>
        <w:numPr>
          <w:ilvl w:val="0"/>
          <w:numId w:val="4"/>
        </w:numPr>
        <w:spacing w:after="0"/>
        <w:contextualSpacing w:val="0"/>
      </w:pPr>
      <w:r>
        <w:t>After receiving the request, if it is message 1-b, SEAF generates the DH private key KS</w:t>
      </w:r>
      <w:r>
        <w:rPr>
          <w:vertAlign w:val="subscript"/>
        </w:rPr>
        <w:t>pri</w:t>
      </w:r>
      <w:r>
        <w:t xml:space="preserve"> and calculates the corresponding DH public key KS</w:t>
      </w:r>
      <w:r>
        <w:rPr>
          <w:vertAlign w:val="subscript"/>
        </w:rPr>
        <w:t>pub</w:t>
      </w:r>
      <w:r>
        <w:t xml:space="preserve">. SEAF generates </w:t>
      </w:r>
      <w:r>
        <w:rPr>
          <w:i/>
        </w:rPr>
        <w:t>signature request</w:t>
      </w:r>
      <w:r>
        <w:t xml:space="preserve"> message including Nonce1, DH public key KS</w:t>
      </w:r>
      <w:r>
        <w:rPr>
          <w:vertAlign w:val="subscript"/>
        </w:rPr>
        <w:t>pub</w:t>
      </w:r>
      <w:r>
        <w:t xml:space="preserve"> of SEAF, serving network number SNid, and digital signature SIGN</w:t>
      </w:r>
      <w:r>
        <w:rPr>
          <w:vertAlign w:val="subscript"/>
        </w:rPr>
        <w:t xml:space="preserve">SEAF </w:t>
      </w:r>
      <w:r>
        <w:t>signed by SEAF for Nonce1, KS</w:t>
      </w:r>
      <w:r>
        <w:rPr>
          <w:vertAlign w:val="subscript"/>
        </w:rPr>
        <w:t xml:space="preserve">pub </w:t>
      </w:r>
      <w:r>
        <w:t>, and  SNid. The signature request message is routed to the home network according to MCC and MNC. The home network obtains the public key of the serving network when the roaming agreement was signed with the serving network. Thereby the digital signature of the serving network can be verified by the home network. If the network pointed by MCC+MNC and the serving network belong to the same mobile network operator, the digital signature SIGN</w:t>
      </w:r>
      <w:r>
        <w:rPr>
          <w:vertAlign w:val="subscript"/>
        </w:rPr>
        <w:t>SEAF</w:t>
      </w:r>
      <w:r>
        <w:t xml:space="preserve"> can be omitted.</w:t>
      </w:r>
    </w:p>
    <w:p>
      <w:pPr>
        <w:pStyle w:val="38"/>
        <w:widowControl w:val="0"/>
        <w:spacing w:after="0"/>
        <w:ind w:left="360"/>
        <w:contextualSpacing w:val="0"/>
      </w:pPr>
    </w:p>
    <w:p>
      <w:pPr>
        <w:ind w:left="323" w:leftChars="150" w:hanging="23"/>
      </w:pPr>
      <w:r>
        <w:t>If the message 1-a, SEAF checks whether there is a permanent identity IMSI corresponding to this temporary identity GUTI, and whether the SEAF has established a shared key K</w:t>
      </w:r>
      <w:r>
        <w:rPr>
          <w:vertAlign w:val="subscript"/>
        </w:rPr>
        <w:t>DH</w:t>
      </w:r>
      <w:r>
        <w:t xml:space="preserve"> with the UE. The SEAF will verify MAC0 if both conditions are met. If the validation is successful, the SEAF jumps into step 6. Otherwise the SEAF deals with the message 1-a in the same way as the message 1-b. Before entering step 6, the SEAF uses the key K</w:t>
      </w:r>
      <w:r>
        <w:rPr>
          <w:vertAlign w:val="subscript"/>
        </w:rPr>
        <w:t>DH</w:t>
      </w:r>
      <w:r>
        <w:t xml:space="preserve"> shared with the UE to derive the encryption key K</w:t>
      </w:r>
      <w:r>
        <w:rPr>
          <w:vertAlign w:val="subscript"/>
        </w:rPr>
        <w:t>E</w:t>
      </w:r>
      <w:r>
        <w:t xml:space="preserve"> and the integrity key K</w:t>
      </w:r>
      <w:r>
        <w:rPr>
          <w:vertAlign w:val="subscript"/>
        </w:rPr>
        <w:t>M</w:t>
      </w:r>
      <w:r>
        <w:t>, which are computed as follows:</w:t>
      </w:r>
      <w:r>
        <w:br w:type="textWrapping"/>
      </w:r>
      <w:r>
        <w:t>K</w:t>
      </w:r>
      <w:r>
        <w:rPr>
          <w:vertAlign w:val="subscript"/>
        </w:rPr>
        <w:t xml:space="preserve">E </w:t>
      </w:r>
      <w:r>
        <w:t>= KDF (Nonce1, K</w:t>
      </w:r>
      <w:r>
        <w:rPr>
          <w:vertAlign w:val="subscript"/>
        </w:rPr>
        <w:t>DH</w:t>
      </w:r>
      <w:r>
        <w:t>, 1);</w:t>
      </w:r>
      <w:r>
        <w:br w:type="textWrapping"/>
      </w:r>
      <w:r>
        <w:t>K</w:t>
      </w:r>
      <w:r>
        <w:rPr>
          <w:vertAlign w:val="subscript"/>
        </w:rPr>
        <w:t xml:space="preserve">M </w:t>
      </w:r>
      <w:r>
        <w:t>= KDF (Nonce1, K</w:t>
      </w:r>
      <w:r>
        <w:rPr>
          <w:vertAlign w:val="subscript"/>
        </w:rPr>
        <w:t>DH</w:t>
      </w:r>
      <w:r>
        <w:t>, 2);</w:t>
      </w:r>
      <w:r>
        <w:br w:type="textWrapping"/>
      </w:r>
      <w:r>
        <w:t xml:space="preserve">here KDF is the key derivation function.  </w:t>
      </w:r>
    </w:p>
    <w:p>
      <w:pPr>
        <w:pStyle w:val="38"/>
        <w:widowControl w:val="0"/>
        <w:numPr>
          <w:ilvl w:val="0"/>
          <w:numId w:val="4"/>
        </w:numPr>
        <w:spacing w:after="0"/>
        <w:ind w:left="284" w:hanging="284"/>
        <w:contextualSpacing w:val="0"/>
      </w:pPr>
      <w:r>
        <w:t xml:space="preserve">After receiving the </w:t>
      </w:r>
      <w:r>
        <w:rPr>
          <w:i/>
        </w:rPr>
        <w:t>signature request</w:t>
      </w:r>
      <w:r>
        <w:t xml:space="preserve"> message, if it contains a digital signature SIGN</w:t>
      </w:r>
      <w:r>
        <w:rPr>
          <w:vertAlign w:val="subscript"/>
        </w:rPr>
        <w:t>SEAF</w:t>
      </w:r>
      <w:r>
        <w:t xml:space="preserve">, AUSF verifies the digital signature. If the verification is successful, the AUSF responds to the SEAF with </w:t>
      </w:r>
      <w:r>
        <w:rPr>
          <w:i/>
        </w:rPr>
        <w:t>signature response</w:t>
      </w:r>
      <w:r>
        <w:t xml:space="preserve"> message, including Nonce1, the DH public key KS</w:t>
      </w:r>
      <w:r>
        <w:rPr>
          <w:vertAlign w:val="subscript"/>
        </w:rPr>
        <w:t>pub</w:t>
      </w:r>
      <w:r>
        <w:t xml:space="preserve"> of SEAF, and AUSF's signature SIGN</w:t>
      </w:r>
      <w:r>
        <w:rPr>
          <w:vertAlign w:val="subscript"/>
        </w:rPr>
        <w:t>AUSF</w:t>
      </w:r>
      <w:r>
        <w:t xml:space="preserve"> computed over Nonce1and KS</w:t>
      </w:r>
      <w:r>
        <w:rPr>
          <w:vertAlign w:val="subscript"/>
        </w:rPr>
        <w:t>pub</w:t>
      </w:r>
      <w:r>
        <w:t xml:space="preserve">. Otherwise, the content </w:t>
      </w:r>
      <w:r>
        <w:rPr>
          <w:i/>
        </w:rPr>
        <w:t>signature response</w:t>
      </w:r>
      <w:r>
        <w:t xml:space="preserve"> message Nonce1, "FAIL", and AUSF's signature SIGN</w:t>
      </w:r>
      <w:r>
        <w:rPr>
          <w:vertAlign w:val="subscript"/>
        </w:rPr>
        <w:t>AUSF</w:t>
      </w:r>
      <w:r>
        <w:t xml:space="preserve"> computed over Nonce1and "FAIL". </w:t>
      </w:r>
      <w:r>
        <w:rPr>
          <w:i/>
        </w:rPr>
        <w:t xml:space="preserve"> </w:t>
      </w:r>
    </w:p>
    <w:p>
      <w:pPr>
        <w:pStyle w:val="38"/>
        <w:widowControl w:val="0"/>
        <w:spacing w:after="0"/>
        <w:ind w:left="284"/>
        <w:contextualSpacing w:val="0"/>
      </w:pPr>
    </w:p>
    <w:p>
      <w:pPr>
        <w:pStyle w:val="38"/>
        <w:ind w:left="284"/>
      </w:pPr>
      <w:r>
        <w:t xml:space="preserve">If the </w:t>
      </w:r>
      <w:r>
        <w:rPr>
          <w:i/>
        </w:rPr>
        <w:t>signature request</w:t>
      </w:r>
      <w:r>
        <w:t xml:space="preserve"> message does not have digital signature SIGN</w:t>
      </w:r>
      <w:r>
        <w:rPr>
          <w:vertAlign w:val="subscript"/>
        </w:rPr>
        <w:t>SEAF</w:t>
      </w:r>
      <w:r>
        <w:t xml:space="preserve">, the AUSF returns the </w:t>
      </w:r>
      <w:r>
        <w:rPr>
          <w:i/>
        </w:rPr>
        <w:t>signature response</w:t>
      </w:r>
      <w:r>
        <w:t xml:space="preserve"> message to the SEAF, including Nonce1, the DH public key KS</w:t>
      </w:r>
      <w:r>
        <w:rPr>
          <w:vertAlign w:val="subscript"/>
        </w:rPr>
        <w:t xml:space="preserve">pub </w:t>
      </w:r>
      <w:r>
        <w:t>of SEAF, and AUSF's signature SIGN</w:t>
      </w:r>
      <w:r>
        <w:rPr>
          <w:vertAlign w:val="subscript"/>
        </w:rPr>
        <w:t>AUSF</w:t>
      </w:r>
      <w:r>
        <w:t xml:space="preserve"> over Nonce1and KS</w:t>
      </w:r>
      <w:r>
        <w:rPr>
          <w:vertAlign w:val="subscript"/>
        </w:rPr>
        <w:t>pub</w:t>
      </w:r>
      <w:r>
        <w:t>.</w:t>
      </w:r>
    </w:p>
    <w:p>
      <w:pPr>
        <w:pStyle w:val="38"/>
        <w:ind w:left="284"/>
      </w:pPr>
    </w:p>
    <w:p>
      <w:pPr>
        <w:pStyle w:val="38"/>
        <w:widowControl w:val="0"/>
        <w:numPr>
          <w:ilvl w:val="0"/>
          <w:numId w:val="5"/>
        </w:numPr>
        <w:spacing w:after="0"/>
        <w:ind w:left="284" w:hanging="284"/>
        <w:contextualSpacing w:val="0"/>
      </w:pPr>
      <w:r>
        <w:t xml:space="preserve">The SEAF sends an </w:t>
      </w:r>
      <w:r>
        <w:rPr>
          <w:i/>
        </w:rPr>
        <w:t>identity request</w:t>
      </w:r>
      <w:r>
        <w:t xml:space="preserve"> message to the UE whose contents are the same as the </w:t>
      </w:r>
      <w:r>
        <w:rPr>
          <w:i/>
        </w:rPr>
        <w:t>signature response</w:t>
      </w:r>
      <w:r>
        <w:t xml:space="preserve"> message received from AUSF.</w:t>
      </w:r>
    </w:p>
    <w:p>
      <w:pPr>
        <w:ind w:left="268" w:leftChars="134"/>
      </w:pPr>
      <w:r>
        <w:t xml:space="preserve">After receiving the </w:t>
      </w:r>
      <w:r>
        <w:rPr>
          <w:i/>
        </w:rPr>
        <w:t>identity request</w:t>
      </w:r>
      <w:r>
        <w:t xml:space="preserve"> message, the UE validates the digital signature SIGN</w:t>
      </w:r>
      <w:r>
        <w:rPr>
          <w:vertAlign w:val="subscript"/>
        </w:rPr>
        <w:t>AUSF</w:t>
      </w:r>
      <w:r>
        <w:t xml:space="preserve"> using the pre-configured public key of the home network. If the validation fails, the attach procedure is terminated. If the validation succeeds, there is no "FAIL" in the </w:t>
      </w:r>
      <w:r>
        <w:rPr>
          <w:i/>
        </w:rPr>
        <w:t xml:space="preserve">identity request </w:t>
      </w:r>
      <w:r>
        <w:t xml:space="preserve">message, and the received Nonce1 is the same as the Nonce1 that it sent in the </w:t>
      </w:r>
      <w:r>
        <w:rPr>
          <w:i/>
        </w:rPr>
        <w:t>attach request</w:t>
      </w:r>
      <w:r>
        <w:t xml:space="preserve"> message, the UE obtains the authentic DH public key KS</w:t>
      </w:r>
      <w:r>
        <w:rPr>
          <w:vertAlign w:val="subscript"/>
        </w:rPr>
        <w:t>pub</w:t>
      </w:r>
      <w:r>
        <w:t xml:space="preserve"> of SEAF. The UE generates the DH private key KU</w:t>
      </w:r>
      <w:r>
        <w:rPr>
          <w:vertAlign w:val="subscript"/>
        </w:rPr>
        <w:t>priv</w:t>
      </w:r>
      <w:r>
        <w:t xml:space="preserve"> and derives the corresponding DH public key KU</w:t>
      </w:r>
      <w:r>
        <w:rPr>
          <w:vertAlign w:val="subscript"/>
        </w:rPr>
        <w:t>pub</w:t>
      </w:r>
      <w:r>
        <w:t>. The UE derive the key K</w:t>
      </w:r>
      <w:r>
        <w:rPr>
          <w:vertAlign w:val="subscript"/>
        </w:rPr>
        <w:t>DH</w:t>
      </w:r>
      <w:r>
        <w:t xml:space="preserve"> shared with the SEAF by using its private key KU</w:t>
      </w:r>
      <w:r>
        <w:rPr>
          <w:vertAlign w:val="subscript"/>
        </w:rPr>
        <w:t>priv</w:t>
      </w:r>
      <w:r>
        <w:t xml:space="preserve"> and the public key KS</w:t>
      </w:r>
      <w:r>
        <w:rPr>
          <w:vertAlign w:val="subscript"/>
        </w:rPr>
        <w:t>pub</w:t>
      </w:r>
      <w:r>
        <w:t xml:space="preserve"> of SEAF. To encrypt IMSI, the encryption key K</w:t>
      </w:r>
      <w:r>
        <w:rPr>
          <w:vertAlign w:val="subscript"/>
        </w:rPr>
        <w:t>E</w:t>
      </w:r>
      <w:r>
        <w:t xml:space="preserve"> and the integrity key K</w:t>
      </w:r>
      <w:r>
        <w:rPr>
          <w:vertAlign w:val="subscript"/>
        </w:rPr>
        <w:t>M</w:t>
      </w:r>
      <w:r>
        <w:t xml:space="preserve"> are calculated as follows:</w:t>
      </w:r>
      <w:r>
        <w:br w:type="textWrapping"/>
      </w:r>
      <w:r>
        <w:t>K</w:t>
      </w:r>
      <w:r>
        <w:rPr>
          <w:vertAlign w:val="subscript"/>
        </w:rPr>
        <w:t>E</w:t>
      </w:r>
      <w:r>
        <w:t xml:space="preserve"> = KDF (Nonce1, K</w:t>
      </w:r>
      <w:r>
        <w:rPr>
          <w:vertAlign w:val="subscript"/>
        </w:rPr>
        <w:t>DH</w:t>
      </w:r>
      <w:r>
        <w:t>, 1);</w:t>
      </w:r>
      <w:r>
        <w:br w:type="textWrapping"/>
      </w:r>
      <w:r>
        <w:t>K</w:t>
      </w:r>
      <w:r>
        <w:rPr>
          <w:vertAlign w:val="subscript"/>
        </w:rPr>
        <w:t>M</w:t>
      </w:r>
      <w:r>
        <w:t xml:space="preserve"> = KDF (Nonce1, K</w:t>
      </w:r>
      <w:r>
        <w:rPr>
          <w:vertAlign w:val="subscript"/>
        </w:rPr>
        <w:t>DH</w:t>
      </w:r>
      <w:r>
        <w:t>, 2);</w:t>
      </w:r>
      <w:r>
        <w:br w:type="textWrapping"/>
      </w:r>
      <w:r>
        <w:t xml:space="preserve">Here KDF is the key derivation function. </w:t>
      </w:r>
    </w:p>
    <w:p>
      <w:pPr>
        <w:pStyle w:val="38"/>
        <w:numPr>
          <w:ilvl w:val="0"/>
          <w:numId w:val="5"/>
        </w:numPr>
        <w:ind w:left="284" w:hanging="284"/>
      </w:pPr>
      <w:r>
        <w:t>UE sends the</w:t>
      </w:r>
      <w:r>
        <w:rPr>
          <w:i/>
        </w:rPr>
        <w:t xml:space="preserve"> identity response</w:t>
      </w:r>
      <w:r>
        <w:t xml:space="preserve"> message to the SEAF, which includes the permanent identity IMSI encrypted with K</w:t>
      </w:r>
      <w:r>
        <w:rPr>
          <w:vertAlign w:val="subscript"/>
        </w:rPr>
        <w:t>E</w:t>
      </w:r>
      <w:r>
        <w:t>, and message authentication code MAC1 computed over the message by using K</w:t>
      </w:r>
      <w:r>
        <w:rPr>
          <w:vertAlign w:val="subscript"/>
        </w:rPr>
        <w:t>M</w:t>
      </w:r>
      <w:r>
        <w:t>.</w:t>
      </w:r>
    </w:p>
    <w:p>
      <w:pPr>
        <w:pStyle w:val="38"/>
        <w:ind w:left="284"/>
      </w:pPr>
    </w:p>
    <w:p>
      <w:pPr>
        <w:pStyle w:val="38"/>
        <w:ind w:left="284"/>
      </w:pPr>
      <w:r>
        <w:t>The SEAF derives the encryption key K</w:t>
      </w:r>
      <w:r>
        <w:rPr>
          <w:vertAlign w:val="subscript"/>
        </w:rPr>
        <w:t>E</w:t>
      </w:r>
      <w:r>
        <w:t xml:space="preserve"> and integrity key K</w:t>
      </w:r>
      <w:r>
        <w:rPr>
          <w:vertAlign w:val="subscript"/>
        </w:rPr>
        <w:t>M</w:t>
      </w:r>
      <w:r>
        <w:t xml:space="preserve"> in the same way as UE, It first verifies MAC1, if the verification is successful, then it decrypts the encrypted part of the message with K</w:t>
      </w:r>
      <w:r>
        <w:rPr>
          <w:vertAlign w:val="subscript"/>
        </w:rPr>
        <w:t>E</w:t>
      </w:r>
      <w:r>
        <w:t xml:space="preserve"> to get the permanent identity of UE. Otherwise, it terminates the attach procedure.</w:t>
      </w:r>
    </w:p>
    <w:p>
      <w:r>
        <w:t>6-9. These steps correspond to the AKA stage, which is identical to that in 4G/LTE.</w:t>
      </w:r>
    </w:p>
    <w:p>
      <w:pPr>
        <w:ind w:left="426" w:hanging="426" w:hangingChars="213"/>
      </w:pPr>
      <w:r>
        <w:t>10.</w:t>
      </w:r>
      <w:r>
        <w:tab/>
      </w:r>
      <w:r>
        <w:t xml:space="preserve">After authenticating the UE successfully, the SEAF sends the Authentication confirmation message to the AUSF optionally, to let the AUSF know that the SEAF has indeed authenticated the UE. </w:t>
      </w:r>
    </w:p>
    <w:p>
      <w:r>
        <w:t>After the successful mutual authentication between UE and SEAF, UE computes the key K</w:t>
      </w:r>
      <w:r>
        <w:rPr>
          <w:vertAlign w:val="subscript"/>
        </w:rPr>
        <w:t>mid</w:t>
      </w:r>
      <w:r>
        <w:t xml:space="preserve"> like the computation of K</w:t>
      </w:r>
      <w:r>
        <w:rPr>
          <w:vertAlign w:val="subscript"/>
        </w:rPr>
        <w:t>ASME</w:t>
      </w:r>
      <w:r>
        <w:t xml:space="preserve"> in 4G/LTE system, and drives the session key Ks from the key K</w:t>
      </w:r>
      <w:r>
        <w:rPr>
          <w:vertAlign w:val="subscript"/>
        </w:rPr>
        <w:t>mid</w:t>
      </w:r>
      <w:r>
        <w:t xml:space="preserve"> and key K</w:t>
      </w:r>
      <w:r>
        <w:rPr>
          <w:vertAlign w:val="subscript"/>
        </w:rPr>
        <w:t>DH</w:t>
      </w:r>
      <w:r>
        <w:t>. SEAF derives the session key Ks in the same way as the UE. Finally the key K</w:t>
      </w:r>
      <w:r>
        <w:rPr>
          <w:vertAlign w:val="subscript"/>
        </w:rPr>
        <w:t>DH</w:t>
      </w:r>
      <w:r>
        <w:t xml:space="preserve"> is stored in UE and SEAF, respectively, in order to be used for generating the new session key in the next attach procedure. For this, it is suggested that the key K</w:t>
      </w:r>
      <w:r>
        <w:rPr>
          <w:vertAlign w:val="subscript"/>
        </w:rPr>
        <w:t xml:space="preserve">DH </w:t>
      </w:r>
      <w:r>
        <w:t xml:space="preserve">is placed in the NAS security context so that it can be easily indexed by the SEAF. </w:t>
      </w:r>
    </w:p>
    <w:p>
      <w:pPr>
        <w:pStyle w:val="38"/>
        <w:numPr>
          <w:ilvl w:val="0"/>
          <w:numId w:val="3"/>
        </w:numPr>
      </w:pPr>
      <w:r>
        <w:t>Unsuccessful authentication procedure</w:t>
      </w:r>
    </w:p>
    <w:p>
      <w:r>
        <w:t>There are a number of reasons that UE fails to attach a network. Three kinds of unsuccessful attach procedures are considered here, as they are related to DOS attacks on UE and linkability attacks: failure to verify RES, MAC_FAIL and SYNC_FAIL.</w:t>
      </w:r>
    </w:p>
    <w:p>
      <w:r>
        <w:t>B.1 Failure to verify RES</w:t>
      </w:r>
    </w:p>
    <w:p>
      <w:pPr>
        <w:jc w:val="center"/>
      </w:pPr>
      <w:r>
        <w:object>
          <v:shape id="_x0000_i1026" o:spt="75" type="#_x0000_t75" style="height:144.55pt;width:237.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r>
        <w:tab/>
      </w:r>
      <w:r>
        <w:tab/>
      </w:r>
      <w:r>
        <w:tab/>
      </w:r>
      <w:r>
        <w:tab/>
      </w:r>
      <w:r>
        <w:t>Figure  5.7.4.x.2-2. Failure to verify RES</w:t>
      </w:r>
    </w:p>
    <w:p>
      <w:r>
        <w:t>The detailed steps for failure to verify RES are as follows:</w:t>
      </w:r>
    </w:p>
    <w:p>
      <w:r>
        <w:t xml:space="preserve">8.    The SEAF sends an </w:t>
      </w:r>
      <w:r>
        <w:rPr>
          <w:i/>
        </w:rPr>
        <w:t>authentication reques</w:t>
      </w:r>
      <w:r>
        <w:t>t message to the UE, including RAND and AUTN.</w:t>
      </w:r>
      <w:r>
        <w:br w:type="textWrapping"/>
      </w:r>
      <w:r>
        <w:t xml:space="preserve">9.    The UE responds to the SEAF with </w:t>
      </w:r>
      <w:r>
        <w:rPr>
          <w:i/>
        </w:rPr>
        <w:t>authentication response</w:t>
      </w:r>
      <w:r>
        <w:t xml:space="preserve"> message, i.e. RES (f2K (RAND)).</w:t>
      </w:r>
    </w:p>
    <w:p>
      <w:pPr>
        <w:ind w:left="426" w:hanging="426" w:hangingChars="213"/>
      </w:pPr>
      <w:r>
        <w:t>10.</w:t>
      </w:r>
      <w:r>
        <w:tab/>
      </w:r>
      <w:r>
        <w:t xml:space="preserve">Upon receipt of an </w:t>
      </w:r>
      <w:r>
        <w:rPr>
          <w:i/>
        </w:rPr>
        <w:t>authentication response</w:t>
      </w:r>
      <w:r>
        <w:t xml:space="preserve"> message, SEAF verifies the RES by comparing RES with XRES. If the RES is invalid, the SEAF may issue an</w:t>
      </w:r>
      <w:r>
        <w:rPr>
          <w:i/>
        </w:rPr>
        <w:t xml:space="preserve"> authentication reject</w:t>
      </w:r>
      <w:r>
        <w:t xml:space="preserve"> message to the UE whose integrity is protected by the MAC2 generated by the integrity key K</w:t>
      </w:r>
      <w:r>
        <w:rPr>
          <w:vertAlign w:val="subscript"/>
        </w:rPr>
        <w:t>M</w:t>
      </w:r>
      <w:r>
        <w:t xml:space="preserve">. This can mitgate the DOS attack on the UE, which is caused by the attacker to send a false </w:t>
      </w:r>
      <w:r>
        <w:rPr>
          <w:i/>
        </w:rPr>
        <w:t>authentication reject</w:t>
      </w:r>
      <w:r>
        <w:t xml:space="preserve"> message [8].</w:t>
      </w:r>
    </w:p>
    <w:p>
      <w:r>
        <w:t>B2. MAC_FAIL and SYNC_FAIL</w:t>
      </w:r>
    </w:p>
    <w:p>
      <w:pPr>
        <w:ind w:firstLine="420"/>
      </w:pPr>
      <w:r>
        <w:t xml:space="preserve">The error messages MAC_FAIL and SYNC_FAIL are not sent to the SEAF separately. No matter what kind of authentication failure is, the UE sends only an </w:t>
      </w:r>
      <w:r>
        <w:rPr>
          <w:i/>
        </w:rPr>
        <w:t xml:space="preserve">authentication response </w:t>
      </w:r>
      <w:r>
        <w:t>message with the same format to the SEAF. Its confidentiality and integrity are protected by key K</w:t>
      </w:r>
      <w:r>
        <w:rPr>
          <w:vertAlign w:val="subscript"/>
        </w:rPr>
        <w:t>E</w:t>
      </w:r>
      <w:r>
        <w:t xml:space="preserve"> and K</w:t>
      </w:r>
      <w:r>
        <w:rPr>
          <w:vertAlign w:val="subscript"/>
        </w:rPr>
        <w:t>M</w:t>
      </w:r>
      <w:r>
        <w:t xml:space="preserve">, thus the linkability attacks can be thwarted. </w:t>
      </w:r>
    </w:p>
    <w:p>
      <w:pPr>
        <w:jc w:val="center"/>
      </w:pPr>
      <w:r>
        <w:object>
          <v:shape id="_x0000_i1027" o:spt="75" type="#_x0000_t75" style="height:160.65pt;width:385.8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r>
        <w:t xml:space="preserve">                           Figure  5.7.4.x.2-3.  MAC_FAIL and SYNC_FAIL</w:t>
      </w:r>
    </w:p>
    <w:p>
      <w:r>
        <w:t>The detailed steps for MAC_FAIL and SYNC_FAIL are as follows:</w:t>
      </w:r>
    </w:p>
    <w:p>
      <w:pPr>
        <w:pStyle w:val="38"/>
        <w:widowControl w:val="0"/>
        <w:numPr>
          <w:ilvl w:val="0"/>
          <w:numId w:val="6"/>
        </w:numPr>
        <w:spacing w:after="0"/>
        <w:contextualSpacing w:val="0"/>
      </w:pPr>
      <w:r>
        <w:t>The SEAF sends an authentication request message to the UE, including RAND and AUTN.</w:t>
      </w:r>
    </w:p>
    <w:p>
      <w:pPr>
        <w:pStyle w:val="38"/>
        <w:widowControl w:val="0"/>
        <w:numPr>
          <w:ilvl w:val="0"/>
          <w:numId w:val="6"/>
        </w:numPr>
        <w:spacing w:after="0"/>
        <w:contextualSpacing w:val="0"/>
      </w:pPr>
      <w:r>
        <w:t>When the UE fails to verify MAC in AUTN or to detect the asynchronization between its sequence number SQN</w:t>
      </w:r>
      <w:r>
        <w:rPr>
          <w:vertAlign w:val="subscript"/>
        </w:rPr>
        <w:t>MS</w:t>
      </w:r>
      <w:r>
        <w:t xml:space="preserve"> and the sequence number SQN</w:t>
      </w:r>
      <w:r>
        <w:rPr>
          <w:vertAlign w:val="subscript"/>
        </w:rPr>
        <w:t>N</w:t>
      </w:r>
      <w:r>
        <w:t xml:space="preserve"> of the network, it responds to SEAF with </w:t>
      </w:r>
      <w:r>
        <w:rPr>
          <w:i/>
        </w:rPr>
        <w:t xml:space="preserve">authentication response </w:t>
      </w:r>
      <w:r>
        <w:t>message, which includes FAIL_CAUSE, TUE, IMSI, SQN</w:t>
      </w:r>
      <w:r>
        <w:rPr>
          <w:vertAlign w:val="subscript"/>
        </w:rPr>
        <w:t>MS</w:t>
      </w:r>
      <w:r>
        <w:t>. Its confidentiality and integrity are protected by using the key K</w:t>
      </w:r>
      <w:r>
        <w:rPr>
          <w:vertAlign w:val="subscript"/>
        </w:rPr>
        <w:t>E</w:t>
      </w:r>
      <w:r>
        <w:t xml:space="preserve"> and K</w:t>
      </w:r>
      <w:r>
        <w:rPr>
          <w:vertAlign w:val="subscript"/>
        </w:rPr>
        <w:t>M</w:t>
      </w:r>
      <w:r>
        <w:t xml:space="preserve"> respectively. FAIL_CAUSE value can be either MAC_FAIL or SYNC_FAIL. UE's current sequence number SQN</w:t>
      </w:r>
      <w:r>
        <w:rPr>
          <w:vertAlign w:val="subscript"/>
        </w:rPr>
        <w:t>MS</w:t>
      </w:r>
      <w:r>
        <w:t xml:space="preserve"> in the message is used to re-synchronize with the home network to recover from the synchronization failure. TUE is the UE's clock when the UE sends a message, or it can be a random number. It serves to make the ciphertext of the </w:t>
      </w:r>
      <w:r>
        <w:rPr>
          <w:i/>
        </w:rPr>
        <w:t>authentication response</w:t>
      </w:r>
      <w:r>
        <w:t xml:space="preserve"> messages different from each other to prevent the attacker from guessing whether it is MAC_FAIL or SYNC_FAIL. The IMSI of UE is sent to the SEAF in this message to prevent the SEAF from initiating an </w:t>
      </w:r>
      <w:r>
        <w:rPr>
          <w:i/>
        </w:rPr>
        <w:t xml:space="preserve">identity request </w:t>
      </w:r>
      <w:r>
        <w:t xml:space="preserve">message to the UE. No matter which value of FAIL_CAUSE is, the SEAF sends only the </w:t>
      </w:r>
      <w:r>
        <w:rPr>
          <w:i/>
        </w:rPr>
        <w:t>authentication request</w:t>
      </w:r>
      <w:r>
        <w:t xml:space="preserve"> message to the UE for the subsequent failure recovery process. This is different from the procedures specified in 4G/LTE standards where each authentication failure has its own sequent failure recovery procedure. Thereby this unified sequent failure response can prevent the attacker to deduce the value of FAIL_CAUSE.  </w:t>
      </w:r>
    </w:p>
    <w:p>
      <w:pPr>
        <w:pStyle w:val="38"/>
        <w:widowControl w:val="0"/>
        <w:numPr>
          <w:ilvl w:val="0"/>
          <w:numId w:val="6"/>
        </w:numPr>
        <w:spacing w:after="0"/>
        <w:contextualSpacing w:val="0"/>
      </w:pPr>
      <w:r>
        <w:t xml:space="preserve">After receiving the </w:t>
      </w:r>
      <w:r>
        <w:rPr>
          <w:i/>
        </w:rPr>
        <w:t>authentication response</w:t>
      </w:r>
      <w:r>
        <w:t xml:space="preserve"> message from the UE, the SEAF may initiate an </w:t>
      </w:r>
      <w:r>
        <w:rPr>
          <w:i/>
        </w:rPr>
        <w:t>authentication request</w:t>
      </w:r>
      <w:r>
        <w:t xml:space="preserve"> to the UE again. </w:t>
      </w:r>
    </w:p>
    <w:p>
      <w:pPr>
        <w:pStyle w:val="38"/>
        <w:widowControl w:val="0"/>
        <w:numPr>
          <w:ilvl w:val="0"/>
          <w:numId w:val="6"/>
        </w:numPr>
        <w:spacing w:after="0"/>
        <w:contextualSpacing w:val="0"/>
      </w:pPr>
      <w:r>
        <w:t>UE responds to the SEAF with an authentication response message.</w:t>
      </w:r>
    </w:p>
    <w:p>
      <w:r>
        <w:t xml:space="preserve">Note: The proposed scheme defends against the tracking attacks based on AUTS since its re-synchronization does not rely on the AUTS.  The sequence number of UE encrypted in the </w:t>
      </w:r>
      <w:r>
        <w:rPr>
          <w:i/>
        </w:rPr>
        <w:t>authentication response</w:t>
      </w:r>
      <w:r>
        <w:t xml:space="preserve"> message is transmitted to the network for the re-synchronization.</w:t>
      </w:r>
    </w:p>
    <w:p>
      <w:pPr>
        <w:pStyle w:val="6"/>
        <w:rPr>
          <w:rFonts w:eastAsiaTheme="minorEastAsia"/>
          <w:lang w:val="en-US" w:eastAsia="zh-CN"/>
        </w:rPr>
      </w:pPr>
      <w:bookmarkStart w:id="3" w:name="OLE_LINK202"/>
      <w:bookmarkStart w:id="4" w:name="OLE_LINK201"/>
      <w:bookmarkStart w:id="5" w:name="OLE_LINK177"/>
      <w:r>
        <w:rPr>
          <w:rFonts w:cs="Arial" w:eastAsiaTheme="minorEastAsia"/>
          <w:sz w:val="44"/>
          <w:szCs w:val="44"/>
          <w:lang w:val="en-US" w:eastAsia="zh-CN"/>
        </w:rPr>
        <w:t xml:space="preserve"> </w:t>
      </w:r>
      <w:r>
        <w:rPr>
          <w:rFonts w:eastAsiaTheme="minorEastAsia"/>
          <w:lang w:val="en-US" w:eastAsia="zh-CN"/>
        </w:rPr>
        <w:t xml:space="preserve">5.7.4.x.3 Evaluation  </w:t>
      </w:r>
    </w:p>
    <w:p>
      <w:pPr>
        <w:rPr>
          <w:rFonts w:eastAsiaTheme="minorEastAsia"/>
          <w:lang w:val="en-US" w:eastAsia="zh-CN"/>
        </w:rPr>
      </w:pPr>
      <w:r>
        <w:rPr>
          <w:rFonts w:eastAsiaTheme="minorEastAsia"/>
          <w:lang w:val="en-US" w:eastAsia="zh-CN"/>
        </w:rPr>
        <w:t>The proposed scheme is evaluated from the following perspectives:</w:t>
      </w:r>
    </w:p>
    <w:p>
      <w:pPr>
        <w:pStyle w:val="4"/>
        <w:rPr>
          <w:rFonts w:eastAsiaTheme="minorEastAsia"/>
          <w:lang w:val="en-US" w:eastAsia="zh-CN"/>
        </w:rPr>
      </w:pPr>
      <w:r>
        <w:rPr>
          <w:rFonts w:eastAsiaTheme="minorEastAsia"/>
          <w:lang w:val="en-US" w:eastAsia="zh-CN"/>
        </w:rPr>
        <w:t xml:space="preserve"> Security</w:t>
      </w:r>
    </w:p>
    <w:p>
      <w:pPr>
        <w:rPr>
          <w:rFonts w:eastAsiaTheme="minorEastAsia"/>
          <w:lang w:val="en-US" w:eastAsia="zh-CN"/>
        </w:rPr>
      </w:pPr>
      <w:r>
        <w:rPr>
          <w:rFonts w:eastAsiaTheme="minorEastAsia"/>
          <w:lang w:val="en-US" w:eastAsia="zh-CN"/>
        </w:rPr>
        <w:t>(1) Man-in-the-middle attacks</w:t>
      </w:r>
    </w:p>
    <w:p>
      <w:r>
        <w:rPr>
          <w:rFonts w:eastAsiaTheme="minorEastAsia"/>
          <w:lang w:val="en-US" w:eastAsia="zh-CN"/>
        </w:rPr>
        <w:t xml:space="preserve"> </w:t>
      </w:r>
      <w:r>
        <w:t>The scheme can prevent the man-in-the-middle attack because of the introduction of the dual authentication mechanism: one is the digital signature SIGN</w:t>
      </w:r>
      <w:r>
        <w:rPr>
          <w:vertAlign w:val="subscript"/>
        </w:rPr>
        <w:t>AUSF</w:t>
      </w:r>
      <w:r>
        <w:t xml:space="preserve"> that the home network signs the DH public key of the serving network, the other is the AKA protocol for the mutual authentication between the UE and SEAF. The authenticity of DH public key of the SEAF is ensured by the digital signature SIGN</w:t>
      </w:r>
      <w:r>
        <w:rPr>
          <w:vertAlign w:val="subscript"/>
        </w:rPr>
        <w:t>AUSF</w:t>
      </w:r>
      <w:r>
        <w:t>. The encryption key K</w:t>
      </w:r>
      <w:r>
        <w:rPr>
          <w:vertAlign w:val="subscript"/>
        </w:rPr>
        <w:t>E</w:t>
      </w:r>
      <w:r>
        <w:t xml:space="preserve"> and the integrity key K</w:t>
      </w:r>
      <w:r>
        <w:rPr>
          <w:vertAlign w:val="subscript"/>
        </w:rPr>
        <w:t>M</w:t>
      </w:r>
      <w:r>
        <w:t xml:space="preserve"> are generated between the UE and the SEAF. Only the SEAF with the corresponding DH private key can decrypt the encrypted message. This means that SEAF uses its own private key to authenticate to the UE. In this way, before attacking the session key Ks, the attacker needs to compromise the SEAF to obtain the DH private key of the SEAF, to crack the AUSF to obtain the private key of the home network, and to steal the long-term key K used in the AKA protocol. Even though the long-term key is leaked, it is still impossible for an attacker to get the session key Ks unless it can crack SEAF or AUSF.</w:t>
      </w:r>
    </w:p>
    <w:p>
      <w:pPr>
        <w:rPr>
          <w:rFonts w:eastAsiaTheme="minorEastAsia"/>
          <w:lang w:val="en-US" w:eastAsia="zh-CN"/>
        </w:rPr>
      </w:pPr>
      <w:r>
        <w:rPr>
          <w:rFonts w:eastAsiaTheme="minorEastAsia"/>
          <w:lang w:val="en-US" w:eastAsia="zh-CN"/>
        </w:rPr>
        <w:t>(2)  DoS attacks on UE</w:t>
      </w:r>
    </w:p>
    <w:p>
      <w:pPr>
        <w:rPr>
          <w:rFonts w:eastAsiaTheme="minorEastAsia"/>
          <w:lang w:val="en-US" w:eastAsia="zh-CN"/>
        </w:rPr>
      </w:pPr>
      <w:r>
        <w:t xml:space="preserve">The proposed scheme mitigates DoS attacks on UE as the integrity of </w:t>
      </w:r>
      <w:r>
        <w:rPr>
          <w:i/>
        </w:rPr>
        <w:t>authentication reject</w:t>
      </w:r>
      <w:r>
        <w:t xml:space="preserve"> message is assured by using the integrity key K</w:t>
      </w:r>
      <w:r>
        <w:rPr>
          <w:vertAlign w:val="subscript"/>
        </w:rPr>
        <w:t>M</w:t>
      </w:r>
      <w:r>
        <w:t xml:space="preserve">. UE can detect the bogus </w:t>
      </w:r>
      <w:r>
        <w:rPr>
          <w:i/>
        </w:rPr>
        <w:t>authentication reject</w:t>
      </w:r>
      <w:r>
        <w:t xml:space="preserve"> message so that it avoids the restart.  </w:t>
      </w:r>
    </w:p>
    <w:p>
      <w:pPr>
        <w:rPr>
          <w:rFonts w:eastAsiaTheme="minorEastAsia"/>
          <w:lang w:val="en-US" w:eastAsia="zh-CN"/>
        </w:rPr>
      </w:pPr>
      <w:r>
        <w:rPr>
          <w:rFonts w:eastAsiaTheme="minorEastAsia"/>
          <w:lang w:val="en-US" w:eastAsia="zh-CN"/>
        </w:rPr>
        <w:t xml:space="preserve">(3)  </w:t>
      </w:r>
      <w:r>
        <w:rPr>
          <w:rFonts w:eastAsiaTheme="minorEastAsia"/>
          <w:lang w:eastAsia="zh-CN"/>
        </w:rPr>
        <w:t>Privacy of subscriber identifiers</w:t>
      </w:r>
      <w:r>
        <w:rPr>
          <w:rFonts w:eastAsiaTheme="minorEastAsia"/>
          <w:lang w:val="en-US" w:eastAsia="zh-CN"/>
        </w:rPr>
        <w:t xml:space="preserve">   </w:t>
      </w:r>
    </w:p>
    <w:p>
      <w:r>
        <w:t>The proposed scheme can prevent attackers from acquiring subscriber identifiers irrespective of the kind of attacks ( passive or active attacks), because subscriber identifiers are encrypted with the encryption key K</w:t>
      </w:r>
      <w:r>
        <w:rPr>
          <w:vertAlign w:val="subscript"/>
        </w:rPr>
        <w:t>E</w:t>
      </w:r>
      <w:r>
        <w:t>. There is no way for an adversary to get the encryption key K</w:t>
      </w:r>
      <w:r>
        <w:rPr>
          <w:vertAlign w:val="subscript"/>
        </w:rPr>
        <w:t>E</w:t>
      </w:r>
      <w:r>
        <w:t xml:space="preserve"> because this requires it to break either AUSF or SEAF.  </w:t>
      </w:r>
    </w:p>
    <w:p>
      <w:pPr>
        <w:rPr>
          <w:rFonts w:eastAsiaTheme="minorEastAsia"/>
          <w:lang w:eastAsia="zh-CN"/>
        </w:rPr>
      </w:pPr>
      <w:r>
        <w:rPr>
          <w:rFonts w:eastAsiaTheme="minorEastAsia"/>
          <w:lang w:val="en-US" w:eastAsia="zh-CN"/>
        </w:rPr>
        <w:t xml:space="preserve">(4) </w:t>
      </w:r>
      <w:r>
        <w:rPr>
          <w:rFonts w:eastAsiaTheme="minorEastAsia"/>
          <w:lang w:eastAsia="zh-CN"/>
        </w:rPr>
        <w:t>Long-time secret leakage</w:t>
      </w:r>
    </w:p>
    <w:p>
      <w:r>
        <w:t>The proposed scheme prevents passive attacker and active attacker from getting the session key Ks even if the long-time secret is known to them. This is because the generation of session Ks depends on not only the key K</w:t>
      </w:r>
      <w:r>
        <w:rPr>
          <w:vertAlign w:val="subscript"/>
        </w:rPr>
        <w:t>mid</w:t>
      </w:r>
      <w:r>
        <w:t xml:space="preserve"> that is derived from the long-time key K, but also the shared key K</w:t>
      </w:r>
      <w:r>
        <w:rPr>
          <w:vertAlign w:val="subscript"/>
        </w:rPr>
        <w:t>DH</w:t>
      </w:r>
      <w:r>
        <w:t>. The attacker cannot derive the session key Ks because it is unable to deduce the key K</w:t>
      </w:r>
      <w:r>
        <w:rPr>
          <w:vertAlign w:val="subscript"/>
        </w:rPr>
        <w:t>DH</w:t>
      </w:r>
      <w:r>
        <w:t xml:space="preserve"> unless it can crack the AUSF or SEAF. </w:t>
      </w:r>
    </w:p>
    <w:p>
      <w:pPr>
        <w:rPr>
          <w:rFonts w:eastAsiaTheme="minorEastAsia"/>
          <w:lang w:val="en-US" w:eastAsia="zh-CN"/>
        </w:rPr>
      </w:pPr>
      <w:r>
        <w:rPr>
          <w:rFonts w:eastAsiaTheme="minorEastAsia"/>
          <w:lang w:val="en-US" w:eastAsia="zh-CN"/>
        </w:rPr>
        <w:t>(5) Insecurity of links between MNOs</w:t>
      </w:r>
    </w:p>
    <w:p>
      <w:r>
        <w:t>An attacker cannot acquire the session Ks even if it has known the authentication vector by eavesdropping the communication at links between MNOs or injected a forged authentication vector into the SEAF.  Similar to the long-time key leakage, the attacker is unable to get the session key Ks due to the lack of knowledge of K</w:t>
      </w:r>
      <w:r>
        <w:rPr>
          <w:vertAlign w:val="subscript"/>
        </w:rPr>
        <w:t>DH</w:t>
      </w:r>
      <w:r>
        <w:t xml:space="preserve">.  </w:t>
      </w:r>
    </w:p>
    <w:p>
      <w:r>
        <w:t>(6) linkability attacks</w:t>
      </w:r>
    </w:p>
    <w:p>
      <w:r>
        <w:t xml:space="preserve">In either case of MAC_FAIL or SYNC_FAIL, the UE sends an </w:t>
      </w:r>
      <w:r>
        <w:rPr>
          <w:i/>
        </w:rPr>
        <w:t>authentication response</w:t>
      </w:r>
      <w:r>
        <w:t xml:space="preserve"> message with the same format to the SEAF. The confidentiality and integrity of the message are protected by key K</w:t>
      </w:r>
      <w:r>
        <w:rPr>
          <w:vertAlign w:val="subscript"/>
        </w:rPr>
        <w:t>E</w:t>
      </w:r>
      <w:r>
        <w:t xml:space="preserve"> and K</w:t>
      </w:r>
      <w:r>
        <w:rPr>
          <w:vertAlign w:val="subscript"/>
        </w:rPr>
        <w:t>M</w:t>
      </w:r>
      <w:r>
        <w:t xml:space="preserve">. The attacker cannot deduce from the ciphertext to ascertain whether the UE sends the MAC_FAIL or SYNC_FAIL. After receiving the MAC_FAIL or the SYNC_FAIL, the SEAF invokes only the </w:t>
      </w:r>
      <w:r>
        <w:rPr>
          <w:i/>
        </w:rPr>
        <w:t>authentication request</w:t>
      </w:r>
      <w:r>
        <w:t xml:space="preserve"> message to the UE. This unified subsequent procedure in response to the both failure cases prevents the attackers to guess whether </w:t>
      </w:r>
      <w:r>
        <w:rPr>
          <w:i/>
        </w:rPr>
        <w:t>authentication response</w:t>
      </w:r>
      <w:r>
        <w:t xml:space="preserve"> message is MAC_FAIL or SYNC_FAIL.  </w:t>
      </w:r>
    </w:p>
    <w:p>
      <w:r>
        <w:t>(7) Tracking attacks based on AUTS</w:t>
      </w:r>
    </w:p>
    <w:p>
      <w:r>
        <w:t xml:space="preserve">The proposed scheme defends against the tracking attacks based on AUTS since its re-synchronization does not rely on the AUTS.  The sequence number of UE encrypted in the </w:t>
      </w:r>
      <w:r>
        <w:rPr>
          <w:i/>
        </w:rPr>
        <w:t>authentication response</w:t>
      </w:r>
      <w:r>
        <w:t xml:space="preserve"> message is transmitted to the network for the re-synchronization.</w:t>
      </w:r>
    </w:p>
    <w:p>
      <w:pPr>
        <w:pStyle w:val="4"/>
        <w:rPr>
          <w:rFonts w:eastAsiaTheme="minorEastAsia"/>
          <w:lang w:val="en-US" w:eastAsia="zh-CN"/>
        </w:rPr>
      </w:pPr>
      <w:r>
        <w:rPr>
          <w:rFonts w:eastAsiaTheme="minorEastAsia"/>
          <w:lang w:val="en-US" w:eastAsia="zh-CN"/>
        </w:rPr>
        <w:t xml:space="preserve"> Complexity </w:t>
      </w:r>
    </w:p>
    <w:p>
      <w:r>
        <w:t xml:space="preserve">On the one hand, the proposed scheme is simple because its operation does not rely on the PKI, and each UE only needs to be provisioned with the public key of the home network. On the other hand, computational burden is relatively heavy as DH agreement computations are needed, and the DH public key of the SEAF needs to be digitally signed by the trusted AUSF. </w:t>
      </w:r>
    </w:p>
    <w:p>
      <w:pPr>
        <w:pStyle w:val="4"/>
        <w:rPr>
          <w:rFonts w:eastAsiaTheme="minorEastAsia"/>
          <w:lang w:val="en-US" w:eastAsia="zh-CN"/>
        </w:rPr>
      </w:pPr>
      <w:r>
        <w:rPr>
          <w:rFonts w:eastAsiaTheme="minorEastAsia"/>
          <w:lang w:val="en-US" w:eastAsia="zh-CN"/>
        </w:rPr>
        <w:t xml:space="preserve"> Compatibility </w:t>
      </w:r>
    </w:p>
    <w:bookmarkEnd w:id="3"/>
    <w:bookmarkEnd w:id="4"/>
    <w:bookmarkEnd w:id="5"/>
    <w:p>
      <w:pPr>
        <w:rPr>
          <w:rFonts w:eastAsiaTheme="minorEastAsia"/>
          <w:lang w:val="en-US" w:eastAsia="zh-CN"/>
        </w:rPr>
      </w:pPr>
      <w:r>
        <w:rPr>
          <w:rFonts w:eastAsiaTheme="minorEastAsia"/>
          <w:lang w:val="en-US" w:eastAsia="zh-CN"/>
        </w:rPr>
        <w:t>The proposed scheme is highly backward compatible with the LTE EPS system because it does not touch the LTE AKA protocol. Moreover the mature identity management system in LTE (IMSI-GUTI mapping) can still be used in the 5G system because the proposed scheme keeps the identity management unchanged , and enhances it by concealing the permanent identity of UE at the initial attach procedure.  Moreover, the proposed scheme is compatible with the existing LI systems since the SEAF acquires the IMSI directly from the UE at the first time during the attach procedure.</w:t>
      </w:r>
    </w:p>
    <w:p>
      <w:pPr>
        <w:pStyle w:val="4"/>
        <w:rPr>
          <w:rFonts w:eastAsiaTheme="minorEastAsia"/>
          <w:lang w:val="en-US" w:eastAsia="zh-CN"/>
        </w:rPr>
      </w:pPr>
      <w:r>
        <w:rPr>
          <w:rFonts w:eastAsiaTheme="minorEastAsia"/>
          <w:lang w:val="en-US" w:eastAsia="zh-CN"/>
        </w:rPr>
        <w:t xml:space="preserve">Efficiency </w:t>
      </w:r>
    </w:p>
    <w:p>
      <w:pPr>
        <w:rPr>
          <w:rFonts w:eastAsiaTheme="minorEastAsia"/>
          <w:lang w:val="en-US" w:eastAsia="zh-CN"/>
        </w:rPr>
      </w:pPr>
      <w:r>
        <w:rPr>
          <w:rFonts w:eastAsiaTheme="minorEastAsia"/>
          <w:lang w:val="en-US" w:eastAsia="zh-CN"/>
        </w:rPr>
        <w:t>The proposed scheme is efficient in the context of the reuse of shared key K</w:t>
      </w:r>
      <w:r>
        <w:rPr>
          <w:rFonts w:eastAsiaTheme="minorEastAsia"/>
          <w:vertAlign w:val="subscript"/>
          <w:lang w:val="en-US" w:eastAsia="zh-CN"/>
        </w:rPr>
        <w:t>DH</w:t>
      </w:r>
      <w:r>
        <w:rPr>
          <w:rFonts w:eastAsiaTheme="minorEastAsia"/>
          <w:lang w:val="en-US" w:eastAsia="zh-CN"/>
        </w:rPr>
        <w:t xml:space="preserve"> between UE and the SEAF.  A UE can generate the session key Ks by reusing K</w:t>
      </w:r>
      <w:r>
        <w:rPr>
          <w:rFonts w:eastAsiaTheme="minorEastAsia"/>
          <w:vertAlign w:val="subscript"/>
          <w:lang w:val="en-US" w:eastAsia="zh-CN"/>
        </w:rPr>
        <w:t>DH</w:t>
      </w:r>
      <w:r>
        <w:rPr>
          <w:rFonts w:eastAsiaTheme="minorEastAsia"/>
          <w:lang w:val="en-US" w:eastAsia="zh-CN"/>
        </w:rPr>
        <w:t xml:space="preserve"> when attaching the network again as long as there is no synchronization problem between IMSI and GUTI. The can significantly reduce the computation cost rising from the DH computation. </w:t>
      </w:r>
    </w:p>
    <w:p>
      <w:pPr>
        <w:rPr>
          <w:rFonts w:eastAsiaTheme="minorEastAsia"/>
          <w:lang w:val="en-US" w:eastAsia="zh-CN"/>
        </w:rPr>
      </w:pPr>
    </w:p>
    <w:p>
      <w:pPr>
        <w:jc w:val="center"/>
        <w:rPr>
          <w:rFonts w:cs="Arial" w:eastAsiaTheme="minorEastAsia"/>
          <w:sz w:val="44"/>
          <w:szCs w:val="44"/>
          <w:lang w:eastAsia="zh-CN"/>
        </w:rPr>
      </w:pPr>
      <w:r>
        <w:rPr>
          <w:rFonts w:cs="Arial"/>
          <w:sz w:val="44"/>
          <w:szCs w:val="44"/>
        </w:rPr>
        <w:t>***</w:t>
      </w:r>
      <w:r>
        <w:rPr>
          <w:rFonts w:cs="Arial"/>
          <w:sz w:val="44"/>
          <w:szCs w:val="44"/>
        </w:rPr>
        <w:tab/>
      </w:r>
      <w:r>
        <w:rPr>
          <w:rFonts w:hint="eastAsia" w:cs="Arial" w:eastAsiaTheme="minorEastAsia"/>
          <w:sz w:val="44"/>
          <w:szCs w:val="44"/>
          <w:lang w:eastAsia="zh-CN"/>
        </w:rPr>
        <w:t>END</w:t>
      </w:r>
      <w:r>
        <w:rPr>
          <w:rFonts w:cs="Arial"/>
          <w:sz w:val="44"/>
          <w:szCs w:val="44"/>
        </w:rPr>
        <w:t xml:space="preserve"> OF </w:t>
      </w:r>
      <w:r>
        <w:rPr>
          <w:rFonts w:hint="eastAsia" w:cs="Arial" w:eastAsiaTheme="minorEastAsia"/>
          <w:sz w:val="44"/>
          <w:szCs w:val="44"/>
          <w:lang w:eastAsia="zh-CN"/>
        </w:rPr>
        <w:t xml:space="preserve">THE </w:t>
      </w:r>
      <w:r>
        <w:rPr>
          <w:rFonts w:cs="Arial" w:eastAsiaTheme="minorEastAsia"/>
          <w:sz w:val="44"/>
          <w:szCs w:val="44"/>
          <w:lang w:eastAsia="zh-CN"/>
        </w:rPr>
        <w:t>FIRST</w:t>
      </w:r>
      <w:r>
        <w:rPr>
          <w:rFonts w:hint="eastAsia" w:cs="Arial" w:eastAsiaTheme="minorEastAsia"/>
          <w:sz w:val="44"/>
          <w:szCs w:val="44"/>
          <w:lang w:eastAsia="zh-CN"/>
        </w:rPr>
        <w:t xml:space="preserve"> </w:t>
      </w:r>
      <w:r>
        <w:rPr>
          <w:rFonts w:cs="Arial"/>
          <w:sz w:val="44"/>
          <w:szCs w:val="44"/>
        </w:rPr>
        <w:t>CHANGES</w:t>
      </w:r>
      <w:r>
        <w:rPr>
          <w:rFonts w:cs="Arial"/>
          <w:sz w:val="44"/>
          <w:szCs w:val="44"/>
        </w:rPr>
        <w:tab/>
      </w:r>
      <w:r>
        <w:rPr>
          <w:rFonts w:cs="Arial"/>
          <w:sz w:val="44"/>
          <w:szCs w:val="44"/>
        </w:rPr>
        <w:t>***</w:t>
      </w:r>
    </w:p>
    <w:p>
      <w:pPr>
        <w:rPr>
          <w:rFonts w:eastAsiaTheme="minorEastAsia"/>
          <w:lang w:eastAsia="zh-CN"/>
        </w:rPr>
      </w:pPr>
    </w:p>
    <w:p>
      <w:pPr>
        <w:jc w:val="center"/>
        <w:rPr>
          <w:rFonts w:cs="Arial" w:eastAsiaTheme="minorEastAsia"/>
          <w:sz w:val="44"/>
          <w:szCs w:val="44"/>
          <w:lang w:val="en-US" w:eastAsia="zh-CN"/>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8331D"/>
    <w:multiLevelType w:val="multilevel"/>
    <w:tmpl w:val="0D98331D"/>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C2369AB"/>
    <w:multiLevelType w:val="multilevel"/>
    <w:tmpl w:val="2C2369AB"/>
    <w:lvl w:ilvl="0" w:tentative="0">
      <w:start w:val="4"/>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E1A35C9"/>
    <w:multiLevelType w:val="multilevel"/>
    <w:tmpl w:val="3E1A35C9"/>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95F4EC2"/>
    <w:multiLevelType w:val="multilevel"/>
    <w:tmpl w:val="595F4EC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CB22A41"/>
    <w:multiLevelType w:val="multilevel"/>
    <w:tmpl w:val="6CB22A41"/>
    <w:lvl w:ilvl="0" w:tentative="0">
      <w:start w:val="1"/>
      <w:numFmt w:val="decimal"/>
      <w:lvlText w:val="%1"/>
      <w:lvlJc w:val="left"/>
      <w:pPr>
        <w:ind w:left="432" w:hanging="432"/>
      </w:pPr>
    </w:lvl>
    <w:lvl w:ilvl="1" w:tentative="0">
      <w:start w:val="1"/>
      <w:numFmt w:val="decimal"/>
      <w:lvlText w:val="%1.%2"/>
      <w:lvlJc w:val="left"/>
      <w:pPr>
        <w:ind w:left="1002" w:hanging="576"/>
      </w:pPr>
    </w:lvl>
    <w:lvl w:ilvl="2" w:tentative="0">
      <w:start w:val="1"/>
      <w:numFmt w:val="decimal"/>
      <w:lvlText w:val="%1.%2.%3"/>
      <w:lvlJc w:val="left"/>
      <w:pPr>
        <w:ind w:left="86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777210DA"/>
    <w:multiLevelType w:val="multilevel"/>
    <w:tmpl w:val="777210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FC3886"/>
    <w:rsid w:val="00005027"/>
    <w:rsid w:val="00006F11"/>
    <w:rsid w:val="000154E7"/>
    <w:rsid w:val="00016A03"/>
    <w:rsid w:val="000317A3"/>
    <w:rsid w:val="00032807"/>
    <w:rsid w:val="00032B20"/>
    <w:rsid w:val="00040F74"/>
    <w:rsid w:val="00042AF9"/>
    <w:rsid w:val="00044AED"/>
    <w:rsid w:val="00047CC7"/>
    <w:rsid w:val="000500AA"/>
    <w:rsid w:val="00054028"/>
    <w:rsid w:val="0005467A"/>
    <w:rsid w:val="000566BF"/>
    <w:rsid w:val="00067A33"/>
    <w:rsid w:val="00070F9F"/>
    <w:rsid w:val="000715AC"/>
    <w:rsid w:val="00072E87"/>
    <w:rsid w:val="000736D3"/>
    <w:rsid w:val="00076A2E"/>
    <w:rsid w:val="0008215F"/>
    <w:rsid w:val="00082F7B"/>
    <w:rsid w:val="000845F1"/>
    <w:rsid w:val="00084693"/>
    <w:rsid w:val="00085BC7"/>
    <w:rsid w:val="00086C2D"/>
    <w:rsid w:val="00087D9A"/>
    <w:rsid w:val="00091D53"/>
    <w:rsid w:val="00091D6A"/>
    <w:rsid w:val="00092454"/>
    <w:rsid w:val="000955E5"/>
    <w:rsid w:val="0009785C"/>
    <w:rsid w:val="000A643B"/>
    <w:rsid w:val="000B1FF8"/>
    <w:rsid w:val="000B228A"/>
    <w:rsid w:val="000B2744"/>
    <w:rsid w:val="000B47A0"/>
    <w:rsid w:val="000C5EE6"/>
    <w:rsid w:val="000C7314"/>
    <w:rsid w:val="000D172A"/>
    <w:rsid w:val="000D6478"/>
    <w:rsid w:val="000E1922"/>
    <w:rsid w:val="000E5A82"/>
    <w:rsid w:val="000E6828"/>
    <w:rsid w:val="000E7185"/>
    <w:rsid w:val="000F1CB0"/>
    <w:rsid w:val="000F3759"/>
    <w:rsid w:val="000F419F"/>
    <w:rsid w:val="000F594B"/>
    <w:rsid w:val="000F7E39"/>
    <w:rsid w:val="00101124"/>
    <w:rsid w:val="00111148"/>
    <w:rsid w:val="00113B78"/>
    <w:rsid w:val="0011547C"/>
    <w:rsid w:val="001155B5"/>
    <w:rsid w:val="00116755"/>
    <w:rsid w:val="00117F82"/>
    <w:rsid w:val="00124350"/>
    <w:rsid w:val="001470B5"/>
    <w:rsid w:val="00150010"/>
    <w:rsid w:val="00152253"/>
    <w:rsid w:val="0015305A"/>
    <w:rsid w:val="00155AFA"/>
    <w:rsid w:val="00160497"/>
    <w:rsid w:val="001621F5"/>
    <w:rsid w:val="00167E99"/>
    <w:rsid w:val="00170215"/>
    <w:rsid w:val="00170B7C"/>
    <w:rsid w:val="001736A6"/>
    <w:rsid w:val="00176A3F"/>
    <w:rsid w:val="0019061E"/>
    <w:rsid w:val="00191ABE"/>
    <w:rsid w:val="001937F4"/>
    <w:rsid w:val="00197B0C"/>
    <w:rsid w:val="001A3262"/>
    <w:rsid w:val="001A77C4"/>
    <w:rsid w:val="001B3F69"/>
    <w:rsid w:val="001B5235"/>
    <w:rsid w:val="001B6157"/>
    <w:rsid w:val="001C2959"/>
    <w:rsid w:val="001C2A4E"/>
    <w:rsid w:val="001C405B"/>
    <w:rsid w:val="001E1577"/>
    <w:rsid w:val="001E197C"/>
    <w:rsid w:val="001E539D"/>
    <w:rsid w:val="001F2776"/>
    <w:rsid w:val="001F2DE5"/>
    <w:rsid w:val="001F5CDD"/>
    <w:rsid w:val="00201CD1"/>
    <w:rsid w:val="002028BC"/>
    <w:rsid w:val="00202958"/>
    <w:rsid w:val="00204C1A"/>
    <w:rsid w:val="00210A6F"/>
    <w:rsid w:val="00217922"/>
    <w:rsid w:val="002273B9"/>
    <w:rsid w:val="0023698E"/>
    <w:rsid w:val="00237113"/>
    <w:rsid w:val="00237B89"/>
    <w:rsid w:val="00243217"/>
    <w:rsid w:val="00244582"/>
    <w:rsid w:val="002447CC"/>
    <w:rsid w:val="00252CAC"/>
    <w:rsid w:val="002574DE"/>
    <w:rsid w:val="00262BE2"/>
    <w:rsid w:val="00266D4F"/>
    <w:rsid w:val="00267D13"/>
    <w:rsid w:val="0027123D"/>
    <w:rsid w:val="00275EE6"/>
    <w:rsid w:val="00275F2F"/>
    <w:rsid w:val="00290B8E"/>
    <w:rsid w:val="00294A08"/>
    <w:rsid w:val="00295509"/>
    <w:rsid w:val="002B1208"/>
    <w:rsid w:val="002B12A0"/>
    <w:rsid w:val="002B701F"/>
    <w:rsid w:val="002D3042"/>
    <w:rsid w:val="002D425C"/>
    <w:rsid w:val="002F013F"/>
    <w:rsid w:val="002F5520"/>
    <w:rsid w:val="003055AC"/>
    <w:rsid w:val="00307FBE"/>
    <w:rsid w:val="00310178"/>
    <w:rsid w:val="00310AC7"/>
    <w:rsid w:val="00311C1E"/>
    <w:rsid w:val="00312E2C"/>
    <w:rsid w:val="00313353"/>
    <w:rsid w:val="00315B34"/>
    <w:rsid w:val="00322FB4"/>
    <w:rsid w:val="00323BAD"/>
    <w:rsid w:val="00324C92"/>
    <w:rsid w:val="00324F82"/>
    <w:rsid w:val="0032566B"/>
    <w:rsid w:val="003264BE"/>
    <w:rsid w:val="003328CE"/>
    <w:rsid w:val="0034361F"/>
    <w:rsid w:val="003445D2"/>
    <w:rsid w:val="00345AC3"/>
    <w:rsid w:val="00346AD0"/>
    <w:rsid w:val="00346EA2"/>
    <w:rsid w:val="00354495"/>
    <w:rsid w:val="00355A7C"/>
    <w:rsid w:val="00370057"/>
    <w:rsid w:val="00382CD0"/>
    <w:rsid w:val="00384D70"/>
    <w:rsid w:val="00385716"/>
    <w:rsid w:val="003858B1"/>
    <w:rsid w:val="003907E4"/>
    <w:rsid w:val="003965D4"/>
    <w:rsid w:val="00397B78"/>
    <w:rsid w:val="003A033A"/>
    <w:rsid w:val="003A46B1"/>
    <w:rsid w:val="003A7A4A"/>
    <w:rsid w:val="003B1668"/>
    <w:rsid w:val="003B39A8"/>
    <w:rsid w:val="003B51D6"/>
    <w:rsid w:val="003B7B51"/>
    <w:rsid w:val="003C0041"/>
    <w:rsid w:val="003C03A3"/>
    <w:rsid w:val="003C05DE"/>
    <w:rsid w:val="003C347C"/>
    <w:rsid w:val="003C5004"/>
    <w:rsid w:val="003D1CD6"/>
    <w:rsid w:val="003E6D06"/>
    <w:rsid w:val="003F404B"/>
    <w:rsid w:val="00403D92"/>
    <w:rsid w:val="00404CB0"/>
    <w:rsid w:val="004101BA"/>
    <w:rsid w:val="0041047E"/>
    <w:rsid w:val="00410754"/>
    <w:rsid w:val="00413760"/>
    <w:rsid w:val="00415C1C"/>
    <w:rsid w:val="00416982"/>
    <w:rsid w:val="00416C8B"/>
    <w:rsid w:val="00424513"/>
    <w:rsid w:val="00426C0F"/>
    <w:rsid w:val="00427437"/>
    <w:rsid w:val="00427A9D"/>
    <w:rsid w:val="00437A37"/>
    <w:rsid w:val="00443C47"/>
    <w:rsid w:val="00447BF7"/>
    <w:rsid w:val="0046172A"/>
    <w:rsid w:val="00463550"/>
    <w:rsid w:val="004638D2"/>
    <w:rsid w:val="00463A74"/>
    <w:rsid w:val="0046575D"/>
    <w:rsid w:val="00466E53"/>
    <w:rsid w:val="00467606"/>
    <w:rsid w:val="004740A2"/>
    <w:rsid w:val="00483956"/>
    <w:rsid w:val="00484E67"/>
    <w:rsid w:val="00494C56"/>
    <w:rsid w:val="004A3CBF"/>
    <w:rsid w:val="004A49F5"/>
    <w:rsid w:val="004B25ED"/>
    <w:rsid w:val="004B7010"/>
    <w:rsid w:val="004C2F4B"/>
    <w:rsid w:val="004C5EB2"/>
    <w:rsid w:val="004D0247"/>
    <w:rsid w:val="004E06BD"/>
    <w:rsid w:val="004F12F0"/>
    <w:rsid w:val="00500B5E"/>
    <w:rsid w:val="0050322D"/>
    <w:rsid w:val="0050628D"/>
    <w:rsid w:val="00515D40"/>
    <w:rsid w:val="00515EDF"/>
    <w:rsid w:val="00517666"/>
    <w:rsid w:val="005200FE"/>
    <w:rsid w:val="00523E61"/>
    <w:rsid w:val="0052691A"/>
    <w:rsid w:val="00530234"/>
    <w:rsid w:val="00530F74"/>
    <w:rsid w:val="0053461C"/>
    <w:rsid w:val="00537A46"/>
    <w:rsid w:val="00541263"/>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5ED"/>
    <w:rsid w:val="00646FEB"/>
    <w:rsid w:val="00651E63"/>
    <w:rsid w:val="00654F10"/>
    <w:rsid w:val="0065767C"/>
    <w:rsid w:val="006661B1"/>
    <w:rsid w:val="00666D1B"/>
    <w:rsid w:val="00670F3F"/>
    <w:rsid w:val="00671B87"/>
    <w:rsid w:val="0067650A"/>
    <w:rsid w:val="006771E0"/>
    <w:rsid w:val="00677DA3"/>
    <w:rsid w:val="0068045C"/>
    <w:rsid w:val="0068416A"/>
    <w:rsid w:val="00684778"/>
    <w:rsid w:val="00686AB5"/>
    <w:rsid w:val="0069764C"/>
    <w:rsid w:val="006A1872"/>
    <w:rsid w:val="006A5339"/>
    <w:rsid w:val="006B023A"/>
    <w:rsid w:val="006B2AB5"/>
    <w:rsid w:val="006C0280"/>
    <w:rsid w:val="006C5B63"/>
    <w:rsid w:val="006D3380"/>
    <w:rsid w:val="006D4E58"/>
    <w:rsid w:val="006D5BC9"/>
    <w:rsid w:val="006E0FC8"/>
    <w:rsid w:val="006E3038"/>
    <w:rsid w:val="006E669A"/>
    <w:rsid w:val="006F5FC9"/>
    <w:rsid w:val="006F619F"/>
    <w:rsid w:val="006F6ED9"/>
    <w:rsid w:val="00706F9A"/>
    <w:rsid w:val="00713570"/>
    <w:rsid w:val="00713B05"/>
    <w:rsid w:val="00714CF0"/>
    <w:rsid w:val="00714F37"/>
    <w:rsid w:val="00715BE0"/>
    <w:rsid w:val="0071688B"/>
    <w:rsid w:val="007215B3"/>
    <w:rsid w:val="00724BD5"/>
    <w:rsid w:val="007274F1"/>
    <w:rsid w:val="00727FC0"/>
    <w:rsid w:val="00731042"/>
    <w:rsid w:val="007361FD"/>
    <w:rsid w:val="00737810"/>
    <w:rsid w:val="00743915"/>
    <w:rsid w:val="007442CC"/>
    <w:rsid w:val="00744E84"/>
    <w:rsid w:val="00747CF5"/>
    <w:rsid w:val="00761D0C"/>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44FB"/>
    <w:rsid w:val="007C5223"/>
    <w:rsid w:val="007D4504"/>
    <w:rsid w:val="007D6A69"/>
    <w:rsid w:val="007D70F3"/>
    <w:rsid w:val="007E5F9C"/>
    <w:rsid w:val="007F7469"/>
    <w:rsid w:val="007F74D9"/>
    <w:rsid w:val="008026C1"/>
    <w:rsid w:val="008034D5"/>
    <w:rsid w:val="00806A1C"/>
    <w:rsid w:val="00812280"/>
    <w:rsid w:val="008156E2"/>
    <w:rsid w:val="00825802"/>
    <w:rsid w:val="00831573"/>
    <w:rsid w:val="008317C3"/>
    <w:rsid w:val="008320C7"/>
    <w:rsid w:val="0084605F"/>
    <w:rsid w:val="00846F78"/>
    <w:rsid w:val="008632A7"/>
    <w:rsid w:val="00864697"/>
    <w:rsid w:val="008676C0"/>
    <w:rsid w:val="008765A0"/>
    <w:rsid w:val="008808EC"/>
    <w:rsid w:val="00880B3F"/>
    <w:rsid w:val="00882792"/>
    <w:rsid w:val="00882ED5"/>
    <w:rsid w:val="00884014"/>
    <w:rsid w:val="008A1E5B"/>
    <w:rsid w:val="008B257B"/>
    <w:rsid w:val="008B2688"/>
    <w:rsid w:val="008B328D"/>
    <w:rsid w:val="008B5ADF"/>
    <w:rsid w:val="008C1EFF"/>
    <w:rsid w:val="008D2C47"/>
    <w:rsid w:val="008D2E87"/>
    <w:rsid w:val="008D67CD"/>
    <w:rsid w:val="008D7F33"/>
    <w:rsid w:val="008F319F"/>
    <w:rsid w:val="008F3964"/>
    <w:rsid w:val="008F3AF5"/>
    <w:rsid w:val="00907DA0"/>
    <w:rsid w:val="00911095"/>
    <w:rsid w:val="00912804"/>
    <w:rsid w:val="00914866"/>
    <w:rsid w:val="009207D5"/>
    <w:rsid w:val="0092182F"/>
    <w:rsid w:val="009232B3"/>
    <w:rsid w:val="00923653"/>
    <w:rsid w:val="00923B44"/>
    <w:rsid w:val="00924E12"/>
    <w:rsid w:val="009272FA"/>
    <w:rsid w:val="009344AE"/>
    <w:rsid w:val="009406BC"/>
    <w:rsid w:val="00943291"/>
    <w:rsid w:val="00943970"/>
    <w:rsid w:val="00944657"/>
    <w:rsid w:val="00944B52"/>
    <w:rsid w:val="00947169"/>
    <w:rsid w:val="00947E26"/>
    <w:rsid w:val="0095497D"/>
    <w:rsid w:val="00954FC8"/>
    <w:rsid w:val="0095610D"/>
    <w:rsid w:val="009626AC"/>
    <w:rsid w:val="00965E59"/>
    <w:rsid w:val="009678F0"/>
    <w:rsid w:val="00967BE1"/>
    <w:rsid w:val="00972285"/>
    <w:rsid w:val="0099013A"/>
    <w:rsid w:val="0099079A"/>
    <w:rsid w:val="00995A8E"/>
    <w:rsid w:val="009A26EC"/>
    <w:rsid w:val="009A27AF"/>
    <w:rsid w:val="009B0539"/>
    <w:rsid w:val="009B1758"/>
    <w:rsid w:val="009B443B"/>
    <w:rsid w:val="009B5A95"/>
    <w:rsid w:val="009C04BB"/>
    <w:rsid w:val="009C7952"/>
    <w:rsid w:val="009E0735"/>
    <w:rsid w:val="009E742D"/>
    <w:rsid w:val="009F3403"/>
    <w:rsid w:val="00A05478"/>
    <w:rsid w:val="00A078EB"/>
    <w:rsid w:val="00A10FD7"/>
    <w:rsid w:val="00A21853"/>
    <w:rsid w:val="00A22D7A"/>
    <w:rsid w:val="00A248E7"/>
    <w:rsid w:val="00A279B6"/>
    <w:rsid w:val="00A30A3D"/>
    <w:rsid w:val="00A35759"/>
    <w:rsid w:val="00A360F7"/>
    <w:rsid w:val="00A41C74"/>
    <w:rsid w:val="00A424E6"/>
    <w:rsid w:val="00A44A06"/>
    <w:rsid w:val="00A455A0"/>
    <w:rsid w:val="00A45DA2"/>
    <w:rsid w:val="00A5761C"/>
    <w:rsid w:val="00A577E6"/>
    <w:rsid w:val="00A57ADE"/>
    <w:rsid w:val="00A62968"/>
    <w:rsid w:val="00A6309C"/>
    <w:rsid w:val="00A632F8"/>
    <w:rsid w:val="00A64403"/>
    <w:rsid w:val="00A66CF7"/>
    <w:rsid w:val="00A70D39"/>
    <w:rsid w:val="00A71C21"/>
    <w:rsid w:val="00A7212B"/>
    <w:rsid w:val="00A7217B"/>
    <w:rsid w:val="00A75E15"/>
    <w:rsid w:val="00A777DE"/>
    <w:rsid w:val="00A80389"/>
    <w:rsid w:val="00A84612"/>
    <w:rsid w:val="00A9155B"/>
    <w:rsid w:val="00A931B9"/>
    <w:rsid w:val="00A95C56"/>
    <w:rsid w:val="00A96861"/>
    <w:rsid w:val="00A969A4"/>
    <w:rsid w:val="00A97401"/>
    <w:rsid w:val="00AA3819"/>
    <w:rsid w:val="00AA7765"/>
    <w:rsid w:val="00AB3064"/>
    <w:rsid w:val="00AC40CD"/>
    <w:rsid w:val="00AC63FF"/>
    <w:rsid w:val="00AD7CFA"/>
    <w:rsid w:val="00AF6E41"/>
    <w:rsid w:val="00AF7A94"/>
    <w:rsid w:val="00B0649A"/>
    <w:rsid w:val="00B0794A"/>
    <w:rsid w:val="00B138D2"/>
    <w:rsid w:val="00B2357A"/>
    <w:rsid w:val="00B24E60"/>
    <w:rsid w:val="00B3399F"/>
    <w:rsid w:val="00B34945"/>
    <w:rsid w:val="00B350D1"/>
    <w:rsid w:val="00B6753D"/>
    <w:rsid w:val="00B71CBF"/>
    <w:rsid w:val="00B720AF"/>
    <w:rsid w:val="00B74946"/>
    <w:rsid w:val="00B7737D"/>
    <w:rsid w:val="00B8097D"/>
    <w:rsid w:val="00B87F10"/>
    <w:rsid w:val="00B93134"/>
    <w:rsid w:val="00B948A0"/>
    <w:rsid w:val="00B94993"/>
    <w:rsid w:val="00B969C3"/>
    <w:rsid w:val="00BA561A"/>
    <w:rsid w:val="00BB72BA"/>
    <w:rsid w:val="00BB7684"/>
    <w:rsid w:val="00BC3E5B"/>
    <w:rsid w:val="00BC48D3"/>
    <w:rsid w:val="00BD2F47"/>
    <w:rsid w:val="00BD6FA6"/>
    <w:rsid w:val="00BE109C"/>
    <w:rsid w:val="00BE6BFC"/>
    <w:rsid w:val="00BE6D20"/>
    <w:rsid w:val="00BF2476"/>
    <w:rsid w:val="00BF24EB"/>
    <w:rsid w:val="00BF6C17"/>
    <w:rsid w:val="00C05000"/>
    <w:rsid w:val="00C067CC"/>
    <w:rsid w:val="00C11FA0"/>
    <w:rsid w:val="00C13855"/>
    <w:rsid w:val="00C15556"/>
    <w:rsid w:val="00C17B01"/>
    <w:rsid w:val="00C2402C"/>
    <w:rsid w:val="00C339B3"/>
    <w:rsid w:val="00C3527E"/>
    <w:rsid w:val="00C353C2"/>
    <w:rsid w:val="00C37D38"/>
    <w:rsid w:val="00C454A7"/>
    <w:rsid w:val="00C51789"/>
    <w:rsid w:val="00C518A2"/>
    <w:rsid w:val="00C52949"/>
    <w:rsid w:val="00C52D92"/>
    <w:rsid w:val="00C615D8"/>
    <w:rsid w:val="00C61DAA"/>
    <w:rsid w:val="00C61FAB"/>
    <w:rsid w:val="00C6412C"/>
    <w:rsid w:val="00C64B48"/>
    <w:rsid w:val="00C8218A"/>
    <w:rsid w:val="00C91F40"/>
    <w:rsid w:val="00CA18DC"/>
    <w:rsid w:val="00CA6031"/>
    <w:rsid w:val="00CB12DE"/>
    <w:rsid w:val="00CB3363"/>
    <w:rsid w:val="00CB3AFB"/>
    <w:rsid w:val="00CB4F8E"/>
    <w:rsid w:val="00CC29E0"/>
    <w:rsid w:val="00CC42BE"/>
    <w:rsid w:val="00CC526D"/>
    <w:rsid w:val="00CD0902"/>
    <w:rsid w:val="00CD11CA"/>
    <w:rsid w:val="00CD4789"/>
    <w:rsid w:val="00CE2FE1"/>
    <w:rsid w:val="00CE3C1D"/>
    <w:rsid w:val="00CE4309"/>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4325"/>
    <w:rsid w:val="00D75F00"/>
    <w:rsid w:val="00D769D1"/>
    <w:rsid w:val="00D77B64"/>
    <w:rsid w:val="00D77BA3"/>
    <w:rsid w:val="00D810BB"/>
    <w:rsid w:val="00D8129F"/>
    <w:rsid w:val="00D8365F"/>
    <w:rsid w:val="00D868BF"/>
    <w:rsid w:val="00D87392"/>
    <w:rsid w:val="00D907AA"/>
    <w:rsid w:val="00D9331F"/>
    <w:rsid w:val="00DA05DE"/>
    <w:rsid w:val="00DA3082"/>
    <w:rsid w:val="00DA36C2"/>
    <w:rsid w:val="00DA3E2C"/>
    <w:rsid w:val="00DA700D"/>
    <w:rsid w:val="00DA7317"/>
    <w:rsid w:val="00DB5B38"/>
    <w:rsid w:val="00DB6F93"/>
    <w:rsid w:val="00DC4D30"/>
    <w:rsid w:val="00DC573B"/>
    <w:rsid w:val="00DC58B8"/>
    <w:rsid w:val="00DC604B"/>
    <w:rsid w:val="00DE0E60"/>
    <w:rsid w:val="00DF1D0B"/>
    <w:rsid w:val="00E04686"/>
    <w:rsid w:val="00E0479C"/>
    <w:rsid w:val="00E11091"/>
    <w:rsid w:val="00E13275"/>
    <w:rsid w:val="00E154E8"/>
    <w:rsid w:val="00E1597F"/>
    <w:rsid w:val="00E23489"/>
    <w:rsid w:val="00E23551"/>
    <w:rsid w:val="00E26021"/>
    <w:rsid w:val="00E2622C"/>
    <w:rsid w:val="00E3109E"/>
    <w:rsid w:val="00E32794"/>
    <w:rsid w:val="00E34548"/>
    <w:rsid w:val="00E357E4"/>
    <w:rsid w:val="00E40F86"/>
    <w:rsid w:val="00E44BBA"/>
    <w:rsid w:val="00E46A7C"/>
    <w:rsid w:val="00E62881"/>
    <w:rsid w:val="00E71856"/>
    <w:rsid w:val="00E72FF4"/>
    <w:rsid w:val="00E80AE1"/>
    <w:rsid w:val="00E85DCE"/>
    <w:rsid w:val="00E876DA"/>
    <w:rsid w:val="00E912C7"/>
    <w:rsid w:val="00E91DD7"/>
    <w:rsid w:val="00E91EAE"/>
    <w:rsid w:val="00E93782"/>
    <w:rsid w:val="00E95467"/>
    <w:rsid w:val="00E97339"/>
    <w:rsid w:val="00EA2529"/>
    <w:rsid w:val="00EB0BDC"/>
    <w:rsid w:val="00EB1DFF"/>
    <w:rsid w:val="00EB51CB"/>
    <w:rsid w:val="00EC458A"/>
    <w:rsid w:val="00EC4BB7"/>
    <w:rsid w:val="00ED2455"/>
    <w:rsid w:val="00ED3882"/>
    <w:rsid w:val="00ED794A"/>
    <w:rsid w:val="00EE4B05"/>
    <w:rsid w:val="00EE5A62"/>
    <w:rsid w:val="00EF0F5A"/>
    <w:rsid w:val="00EF1A8F"/>
    <w:rsid w:val="00EF4835"/>
    <w:rsid w:val="00F03E27"/>
    <w:rsid w:val="00F06420"/>
    <w:rsid w:val="00F31FF2"/>
    <w:rsid w:val="00F40A3B"/>
    <w:rsid w:val="00F44279"/>
    <w:rsid w:val="00F472D4"/>
    <w:rsid w:val="00F546B8"/>
    <w:rsid w:val="00F6093F"/>
    <w:rsid w:val="00F65F3A"/>
    <w:rsid w:val="00F74241"/>
    <w:rsid w:val="00F77ABD"/>
    <w:rsid w:val="00F82A2C"/>
    <w:rsid w:val="00F91AFC"/>
    <w:rsid w:val="00F93D29"/>
    <w:rsid w:val="00F93F2E"/>
    <w:rsid w:val="00F9610B"/>
    <w:rsid w:val="00F971CE"/>
    <w:rsid w:val="00F974F9"/>
    <w:rsid w:val="00F97888"/>
    <w:rsid w:val="00FA058D"/>
    <w:rsid w:val="00FA0934"/>
    <w:rsid w:val="00FA12CD"/>
    <w:rsid w:val="00FA76A9"/>
    <w:rsid w:val="00FB1A1A"/>
    <w:rsid w:val="00FB2F5A"/>
    <w:rsid w:val="00FB351B"/>
    <w:rsid w:val="00FB72A6"/>
    <w:rsid w:val="00FC3886"/>
    <w:rsid w:val="00FC7F22"/>
    <w:rsid w:val="00FD793D"/>
    <w:rsid w:val="00FE0A2F"/>
    <w:rsid w:val="00FF153B"/>
    <w:rsid w:val="00FF5691"/>
    <w:rsid w:val="00FF6FB4"/>
    <w:rsid w:val="04F31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Times New Roman" w:cs="Times New Roman"/>
      <w:sz w:val="20"/>
      <w:szCs w:val="20"/>
      <w:lang w:val="en-GB" w:eastAsia="en-US" w:bidi="ar-SA"/>
    </w:rPr>
  </w:style>
  <w:style w:type="paragraph" w:styleId="2">
    <w:name w:val="heading 1"/>
    <w:next w:val="1"/>
    <w:link w:val="23"/>
    <w:qFormat/>
    <w:uiPriority w:val="0"/>
    <w:pPr>
      <w:keepNext/>
      <w:keepLines/>
      <w:pBdr>
        <w:top w:val="single" w:color="auto" w:sz="12" w:space="3"/>
      </w:pBdr>
      <w:spacing w:before="240" w:after="180" w:line="240" w:lineRule="auto"/>
      <w:outlineLvl w:val="0"/>
    </w:pPr>
    <w:rPr>
      <w:rFonts w:ascii="Arial" w:hAnsi="Arial" w:eastAsia="Times New Roman" w:cs="Times New Roman"/>
      <w:sz w:val="36"/>
      <w:szCs w:val="20"/>
      <w:lang w:val="en-GB" w:eastAsia="en-US" w:bidi="ar-SA"/>
    </w:rPr>
  </w:style>
  <w:style w:type="paragraph" w:styleId="3">
    <w:name w:val="heading 2"/>
    <w:basedOn w:val="2"/>
    <w:next w:val="1"/>
    <w:link w:val="24"/>
    <w:unhideWhenUsed/>
    <w:qFormat/>
    <w:uiPriority w:val="0"/>
    <w:pPr>
      <w:pBdr>
        <w:top w:val="none" w:color="auto" w:sz="0" w:space="0"/>
      </w:pBdr>
      <w:spacing w:before="180"/>
      <w:outlineLvl w:val="1"/>
    </w:pPr>
    <w:rPr>
      <w:sz w:val="32"/>
    </w:rPr>
  </w:style>
  <w:style w:type="paragraph" w:styleId="4">
    <w:name w:val="heading 3"/>
    <w:basedOn w:val="3"/>
    <w:next w:val="1"/>
    <w:link w:val="25"/>
    <w:unhideWhenUsed/>
    <w:qFormat/>
    <w:uiPriority w:val="0"/>
    <w:pPr>
      <w:spacing w:before="120"/>
      <w:outlineLvl w:val="2"/>
    </w:pPr>
    <w:rPr>
      <w:sz w:val="28"/>
    </w:rPr>
  </w:style>
  <w:style w:type="paragraph" w:styleId="5">
    <w:name w:val="heading 4"/>
    <w:basedOn w:val="4"/>
    <w:next w:val="1"/>
    <w:link w:val="26"/>
    <w:unhideWhenUsed/>
    <w:qFormat/>
    <w:uiPriority w:val="0"/>
    <w:pPr>
      <w:outlineLvl w:val="3"/>
    </w:pPr>
    <w:rPr>
      <w:sz w:val="24"/>
    </w:rPr>
  </w:style>
  <w:style w:type="paragraph" w:styleId="6">
    <w:name w:val="heading 5"/>
    <w:basedOn w:val="5"/>
    <w:next w:val="1"/>
    <w:link w:val="27"/>
    <w:unhideWhenUsed/>
    <w:qFormat/>
    <w:uiPriority w:val="0"/>
    <w:pPr>
      <w:outlineLvl w:val="4"/>
    </w:pPr>
    <w:rPr>
      <w:sz w:val="22"/>
    </w:rPr>
  </w:style>
  <w:style w:type="paragraph" w:styleId="7">
    <w:name w:val="heading 6"/>
    <w:basedOn w:val="1"/>
    <w:next w:val="1"/>
    <w:link w:val="28"/>
    <w:unhideWhenUsed/>
    <w:qFormat/>
    <w:uiPriority w:val="0"/>
    <w:pPr>
      <w:keepNext/>
      <w:keepLines/>
      <w:numPr>
        <w:ilvl w:val="5"/>
        <w:numId w:val="1"/>
      </w:numPr>
      <w:spacing w:before="120"/>
      <w:outlineLvl w:val="5"/>
    </w:pPr>
    <w:rPr>
      <w:rFonts w:ascii="Arial" w:hAnsi="Arial"/>
    </w:rPr>
  </w:style>
  <w:style w:type="paragraph" w:styleId="8">
    <w:name w:val="heading 7"/>
    <w:basedOn w:val="1"/>
    <w:next w:val="1"/>
    <w:link w:val="29"/>
    <w:unhideWhenUsed/>
    <w:qFormat/>
    <w:uiPriority w:val="0"/>
    <w:pPr>
      <w:keepNext/>
      <w:keepLines/>
      <w:numPr>
        <w:ilvl w:val="6"/>
        <w:numId w:val="1"/>
      </w:numPr>
      <w:spacing w:before="120"/>
      <w:outlineLvl w:val="6"/>
    </w:pPr>
    <w:rPr>
      <w:rFonts w:ascii="Arial" w:hAnsi="Arial"/>
    </w:rPr>
  </w:style>
  <w:style w:type="paragraph" w:styleId="9">
    <w:name w:val="heading 8"/>
    <w:basedOn w:val="2"/>
    <w:next w:val="1"/>
    <w:link w:val="30"/>
    <w:unhideWhenUsed/>
    <w:qFormat/>
    <w:uiPriority w:val="0"/>
    <w:pPr>
      <w:outlineLvl w:val="7"/>
    </w:pPr>
  </w:style>
  <w:style w:type="paragraph" w:styleId="10">
    <w:name w:val="heading 9"/>
    <w:basedOn w:val="9"/>
    <w:next w:val="1"/>
    <w:link w:val="31"/>
    <w:unhideWhenUsed/>
    <w:qFormat/>
    <w:uiPriority w:val="0"/>
    <w:pPr>
      <w:outlineLvl w:val="8"/>
    </w:pPr>
  </w:style>
  <w:style w:type="character" w:default="1" w:styleId="18">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0"/>
    <w:unhideWhenUsed/>
    <w:uiPriority w:val="99"/>
    <w:rPr>
      <w:b/>
      <w:bCs/>
    </w:rPr>
  </w:style>
  <w:style w:type="paragraph" w:styleId="12">
    <w:name w:val="annotation text"/>
    <w:basedOn w:val="1"/>
    <w:link w:val="39"/>
    <w:unhideWhenUsed/>
    <w:qFormat/>
    <w:uiPriority w:val="0"/>
  </w:style>
  <w:style w:type="paragraph" w:styleId="13">
    <w:name w:val="Document Map"/>
    <w:basedOn w:val="1"/>
    <w:link w:val="44"/>
    <w:unhideWhenUsed/>
    <w:qFormat/>
    <w:uiPriority w:val="99"/>
    <w:rPr>
      <w:rFonts w:ascii="宋体" w:eastAsia="宋体"/>
      <w:sz w:val="18"/>
      <w:szCs w:val="18"/>
    </w:rPr>
  </w:style>
  <w:style w:type="paragraph" w:styleId="14">
    <w:name w:val="List 2"/>
    <w:basedOn w:val="1"/>
    <w:unhideWhenUsed/>
    <w:qFormat/>
    <w:uiPriority w:val="99"/>
    <w:pPr>
      <w:ind w:left="100" w:leftChars="200" w:hanging="200" w:hangingChars="200"/>
      <w:contextualSpacing/>
    </w:pPr>
  </w:style>
  <w:style w:type="paragraph" w:styleId="15">
    <w:name w:val="Balloon Text"/>
    <w:basedOn w:val="1"/>
    <w:link w:val="41"/>
    <w:unhideWhenUsed/>
    <w:qFormat/>
    <w:uiPriority w:val="99"/>
    <w:pPr>
      <w:spacing w:after="0"/>
    </w:pPr>
    <w:rPr>
      <w:rFonts w:ascii="Tahoma" w:hAnsi="Tahoma" w:cs="Tahoma"/>
      <w:sz w:val="16"/>
      <w:szCs w:val="16"/>
    </w:rPr>
  </w:style>
  <w:style w:type="paragraph" w:styleId="16">
    <w:name w:val="footer"/>
    <w:basedOn w:val="1"/>
    <w:link w:val="42"/>
    <w:unhideWhenUsed/>
    <w:qFormat/>
    <w:uiPriority w:val="99"/>
    <w:pPr>
      <w:tabs>
        <w:tab w:val="center" w:pos="4252"/>
        <w:tab w:val="right" w:pos="8504"/>
      </w:tabs>
      <w:spacing w:after="0"/>
    </w:pPr>
  </w:style>
  <w:style w:type="paragraph" w:styleId="17">
    <w:name w:val="header"/>
    <w:link w:val="32"/>
    <w:unhideWhenUsed/>
    <w:qFormat/>
    <w:uiPriority w:val="99"/>
    <w:pPr>
      <w:widowControl w:val="0"/>
      <w:spacing w:after="0" w:line="240" w:lineRule="auto"/>
    </w:pPr>
    <w:rPr>
      <w:rFonts w:ascii="Arial" w:hAnsi="Arial" w:cs="Arial" w:eastAsiaTheme="minorEastAsia"/>
      <w:b/>
      <w:sz w:val="18"/>
      <w:szCs w:val="22"/>
      <w:lang w:val="en-GB" w:eastAsia="en-US" w:bidi="ar-SA"/>
    </w:rPr>
  </w:style>
  <w:style w:type="character" w:styleId="19">
    <w:name w:val="Hyperlink"/>
    <w:basedOn w:val="18"/>
    <w:unhideWhenUsed/>
    <w:uiPriority w:val="99"/>
    <w:rPr>
      <w:color w:val="0000FF" w:themeColor="hyperlink"/>
      <w:u w:val="single"/>
    </w:rPr>
  </w:style>
  <w:style w:type="character" w:styleId="20">
    <w:name w:val="annotation reference"/>
    <w:basedOn w:val="18"/>
    <w:unhideWhenUsed/>
    <w:qFormat/>
    <w:uiPriority w:val="0"/>
    <w:rPr>
      <w:sz w:val="16"/>
      <w:szCs w:val="16"/>
    </w:rPr>
  </w:style>
  <w:style w:type="character" w:styleId="21">
    <w:name w:val="footnote reference"/>
    <w:semiHidden/>
    <w:uiPriority w:val="0"/>
    <w:rPr>
      <w:b/>
      <w:position w:val="6"/>
      <w:sz w:val="16"/>
    </w:rPr>
  </w:style>
  <w:style w:type="character" w:customStyle="1" w:styleId="23">
    <w:name w:val="标题 1 Char"/>
    <w:basedOn w:val="18"/>
    <w:link w:val="2"/>
    <w:qFormat/>
    <w:uiPriority w:val="0"/>
    <w:rPr>
      <w:rFonts w:ascii="Arial" w:hAnsi="Arial" w:eastAsia="Times New Roman" w:cs="Times New Roman"/>
      <w:sz w:val="36"/>
      <w:szCs w:val="20"/>
      <w:lang w:val="en-GB"/>
    </w:rPr>
  </w:style>
  <w:style w:type="character" w:customStyle="1" w:styleId="24">
    <w:name w:val="标题 2 Char"/>
    <w:basedOn w:val="18"/>
    <w:link w:val="3"/>
    <w:qFormat/>
    <w:uiPriority w:val="0"/>
    <w:rPr>
      <w:rFonts w:ascii="Arial" w:hAnsi="Arial" w:eastAsia="Times New Roman" w:cs="Times New Roman"/>
      <w:sz w:val="32"/>
      <w:szCs w:val="20"/>
      <w:lang w:val="en-GB"/>
    </w:rPr>
  </w:style>
  <w:style w:type="character" w:customStyle="1" w:styleId="25">
    <w:name w:val="标题 3 Char"/>
    <w:basedOn w:val="18"/>
    <w:link w:val="4"/>
    <w:semiHidden/>
    <w:qFormat/>
    <w:uiPriority w:val="0"/>
    <w:rPr>
      <w:rFonts w:ascii="Arial" w:hAnsi="Arial" w:eastAsia="Times New Roman" w:cs="Times New Roman"/>
      <w:sz w:val="28"/>
      <w:szCs w:val="20"/>
      <w:lang w:val="en-GB"/>
    </w:rPr>
  </w:style>
  <w:style w:type="character" w:customStyle="1" w:styleId="26">
    <w:name w:val="标题 4 Char"/>
    <w:basedOn w:val="18"/>
    <w:link w:val="5"/>
    <w:semiHidden/>
    <w:qFormat/>
    <w:uiPriority w:val="0"/>
    <w:rPr>
      <w:rFonts w:ascii="Arial" w:hAnsi="Arial" w:eastAsia="Times New Roman" w:cs="Times New Roman"/>
      <w:sz w:val="24"/>
      <w:szCs w:val="20"/>
      <w:lang w:val="en-GB"/>
    </w:rPr>
  </w:style>
  <w:style w:type="character" w:customStyle="1" w:styleId="27">
    <w:name w:val="标题 5 Char"/>
    <w:basedOn w:val="18"/>
    <w:link w:val="6"/>
    <w:semiHidden/>
    <w:qFormat/>
    <w:uiPriority w:val="0"/>
    <w:rPr>
      <w:rFonts w:ascii="Arial" w:hAnsi="Arial" w:eastAsia="Times New Roman" w:cs="Times New Roman"/>
      <w:szCs w:val="20"/>
      <w:lang w:val="en-GB"/>
    </w:rPr>
  </w:style>
  <w:style w:type="character" w:customStyle="1" w:styleId="28">
    <w:name w:val="标题 6 Char"/>
    <w:basedOn w:val="18"/>
    <w:link w:val="7"/>
    <w:semiHidden/>
    <w:qFormat/>
    <w:uiPriority w:val="0"/>
    <w:rPr>
      <w:rFonts w:ascii="Arial" w:hAnsi="Arial" w:eastAsia="Times New Roman" w:cs="Times New Roman"/>
      <w:sz w:val="20"/>
      <w:szCs w:val="20"/>
      <w:lang w:val="en-GB"/>
    </w:rPr>
  </w:style>
  <w:style w:type="character" w:customStyle="1" w:styleId="29">
    <w:name w:val="标题 7 Char"/>
    <w:basedOn w:val="18"/>
    <w:link w:val="8"/>
    <w:semiHidden/>
    <w:qFormat/>
    <w:uiPriority w:val="0"/>
    <w:rPr>
      <w:rFonts w:ascii="Arial" w:hAnsi="Arial" w:eastAsia="Times New Roman" w:cs="Times New Roman"/>
      <w:sz w:val="20"/>
      <w:szCs w:val="20"/>
      <w:lang w:val="en-GB"/>
    </w:rPr>
  </w:style>
  <w:style w:type="character" w:customStyle="1" w:styleId="30">
    <w:name w:val="标题 8 Char"/>
    <w:basedOn w:val="18"/>
    <w:link w:val="9"/>
    <w:semiHidden/>
    <w:qFormat/>
    <w:uiPriority w:val="0"/>
    <w:rPr>
      <w:rFonts w:ascii="Arial" w:hAnsi="Arial" w:eastAsia="Times New Roman" w:cs="Times New Roman"/>
      <w:sz w:val="36"/>
      <w:szCs w:val="20"/>
      <w:lang w:val="en-GB"/>
    </w:rPr>
  </w:style>
  <w:style w:type="character" w:customStyle="1" w:styleId="31">
    <w:name w:val="标题 9 Char"/>
    <w:basedOn w:val="18"/>
    <w:link w:val="10"/>
    <w:semiHidden/>
    <w:qFormat/>
    <w:uiPriority w:val="0"/>
    <w:rPr>
      <w:rFonts w:ascii="Arial" w:hAnsi="Arial" w:eastAsia="Times New Roman" w:cs="Times New Roman"/>
      <w:sz w:val="36"/>
      <w:szCs w:val="20"/>
      <w:lang w:val="en-GB"/>
    </w:rPr>
  </w:style>
  <w:style w:type="character" w:customStyle="1" w:styleId="32">
    <w:name w:val="页眉 Char"/>
    <w:basedOn w:val="18"/>
    <w:link w:val="17"/>
    <w:qFormat/>
    <w:locked/>
    <w:uiPriority w:val="99"/>
    <w:rPr>
      <w:rFonts w:ascii="Arial" w:hAnsi="Arial" w:cs="Arial"/>
      <w:b/>
      <w:sz w:val="18"/>
      <w:lang w:val="en-GB"/>
    </w:rPr>
  </w:style>
  <w:style w:type="character" w:customStyle="1" w:styleId="33">
    <w:name w:val="Header Char1"/>
    <w:basedOn w:val="18"/>
    <w:semiHidden/>
    <w:uiPriority w:val="99"/>
    <w:rPr>
      <w:rFonts w:ascii="Times New Roman" w:hAnsi="Times New Roman" w:eastAsia="Times New Roman" w:cs="Times New Roman"/>
      <w:sz w:val="20"/>
      <w:szCs w:val="20"/>
      <w:lang w:val="en-GB"/>
    </w:rPr>
  </w:style>
  <w:style w:type="character" w:customStyle="1" w:styleId="34">
    <w:name w:val="NO Zchn"/>
    <w:link w:val="35"/>
    <w:qFormat/>
    <w:locked/>
    <w:uiPriority w:val="0"/>
    <w:rPr>
      <w:lang w:val="en-GB"/>
    </w:rPr>
  </w:style>
  <w:style w:type="paragraph" w:customStyle="1" w:styleId="35">
    <w:name w:val="NO"/>
    <w:basedOn w:val="1"/>
    <w:link w:val="34"/>
    <w:qFormat/>
    <w:uiPriority w:val="0"/>
    <w:pPr>
      <w:keepLines/>
      <w:overflowPunct w:val="0"/>
      <w:autoSpaceDE w:val="0"/>
      <w:autoSpaceDN w:val="0"/>
      <w:adjustRightInd w:val="0"/>
      <w:ind w:left="1135" w:hanging="851"/>
    </w:pPr>
    <w:rPr>
      <w:rFonts w:asciiTheme="minorHAnsi" w:hAnsiTheme="minorHAnsi" w:eastAsiaTheme="minorHAnsi" w:cstheme="minorBidi"/>
      <w:sz w:val="22"/>
      <w:szCs w:val="22"/>
    </w:rPr>
  </w:style>
  <w:style w:type="character" w:customStyle="1" w:styleId="36">
    <w:name w:val="Editor's note Char"/>
    <w:link w:val="37"/>
    <w:locked/>
    <w:uiPriority w:val="0"/>
    <w:rPr>
      <w:rFonts w:ascii="宋体" w:hAnsi="宋体" w:eastAsia="宋体"/>
      <w:color w:val="FF0000"/>
      <w:lang w:val="en-GB" w:eastAsia="zh-CN"/>
    </w:rPr>
  </w:style>
  <w:style w:type="paragraph" w:customStyle="1" w:styleId="37">
    <w:name w:val="Editor's note"/>
    <w:basedOn w:val="1"/>
    <w:link w:val="36"/>
    <w:qFormat/>
    <w:uiPriority w:val="0"/>
    <w:pPr>
      <w:keepLines/>
      <w:overflowPunct w:val="0"/>
      <w:autoSpaceDE w:val="0"/>
      <w:autoSpaceDN w:val="0"/>
      <w:adjustRightInd w:val="0"/>
      <w:ind w:left="1135" w:hanging="851"/>
    </w:pPr>
    <w:rPr>
      <w:rFonts w:ascii="宋体" w:hAnsi="宋体" w:eastAsia="宋体" w:cstheme="minorBidi"/>
      <w:color w:val="FF0000"/>
      <w:sz w:val="22"/>
      <w:szCs w:val="22"/>
      <w:lang w:eastAsia="zh-CN"/>
    </w:rPr>
  </w:style>
  <w:style w:type="paragraph" w:customStyle="1" w:styleId="38">
    <w:name w:val="List Paragraph"/>
    <w:basedOn w:val="1"/>
    <w:qFormat/>
    <w:uiPriority w:val="34"/>
    <w:pPr>
      <w:ind w:left="720"/>
      <w:contextualSpacing/>
    </w:pPr>
  </w:style>
  <w:style w:type="character" w:customStyle="1" w:styleId="39">
    <w:name w:val="批注文字 Char"/>
    <w:basedOn w:val="18"/>
    <w:link w:val="12"/>
    <w:uiPriority w:val="0"/>
    <w:rPr>
      <w:rFonts w:ascii="Times New Roman" w:hAnsi="Times New Roman" w:eastAsia="Times New Roman" w:cs="Times New Roman"/>
      <w:sz w:val="20"/>
      <w:szCs w:val="20"/>
      <w:lang w:val="en-GB"/>
    </w:rPr>
  </w:style>
  <w:style w:type="character" w:customStyle="1" w:styleId="40">
    <w:name w:val="批注主题 Char"/>
    <w:basedOn w:val="39"/>
    <w:link w:val="11"/>
    <w:semiHidden/>
    <w:uiPriority w:val="99"/>
    <w:rPr>
      <w:rFonts w:ascii="Times New Roman" w:hAnsi="Times New Roman" w:eastAsia="Times New Roman" w:cs="Times New Roman"/>
      <w:b/>
      <w:bCs/>
      <w:sz w:val="20"/>
      <w:szCs w:val="20"/>
      <w:lang w:val="en-GB"/>
    </w:rPr>
  </w:style>
  <w:style w:type="character" w:customStyle="1" w:styleId="41">
    <w:name w:val="批注框文本 Char"/>
    <w:basedOn w:val="18"/>
    <w:link w:val="15"/>
    <w:semiHidden/>
    <w:qFormat/>
    <w:uiPriority w:val="99"/>
    <w:rPr>
      <w:rFonts w:ascii="Tahoma" w:hAnsi="Tahoma" w:eastAsia="Times New Roman" w:cs="Tahoma"/>
      <w:sz w:val="16"/>
      <w:szCs w:val="16"/>
      <w:lang w:val="en-GB"/>
    </w:rPr>
  </w:style>
  <w:style w:type="character" w:customStyle="1" w:styleId="42">
    <w:name w:val="页脚 Char"/>
    <w:basedOn w:val="18"/>
    <w:link w:val="16"/>
    <w:qFormat/>
    <w:uiPriority w:val="99"/>
    <w:rPr>
      <w:rFonts w:ascii="Times New Roman" w:hAnsi="Times New Roman" w:eastAsia="Times New Roman" w:cs="Times New Roman"/>
      <w:sz w:val="20"/>
      <w:szCs w:val="20"/>
      <w:lang w:val="en-GB"/>
    </w:rPr>
  </w:style>
  <w:style w:type="paragraph" w:customStyle="1" w:styleId="43">
    <w:name w:val="B2"/>
    <w:basedOn w:val="14"/>
    <w:qFormat/>
    <w:uiPriority w:val="0"/>
    <w:pPr>
      <w:overflowPunct w:val="0"/>
      <w:autoSpaceDE w:val="0"/>
      <w:autoSpaceDN w:val="0"/>
      <w:adjustRightInd w:val="0"/>
      <w:ind w:left="851" w:leftChars="0" w:hanging="284" w:firstLineChars="0"/>
      <w:contextualSpacing w:val="0"/>
      <w:textAlignment w:val="baseline"/>
    </w:pPr>
    <w:rPr>
      <w:rFonts w:eastAsiaTheme="minorEastAsia"/>
      <w:lang w:eastAsia="ja-JP"/>
    </w:rPr>
  </w:style>
  <w:style w:type="character" w:customStyle="1" w:styleId="44">
    <w:name w:val="文档结构图 Char"/>
    <w:basedOn w:val="18"/>
    <w:link w:val="13"/>
    <w:semiHidden/>
    <w:qFormat/>
    <w:uiPriority w:val="99"/>
    <w:rPr>
      <w:rFonts w:ascii="宋体" w:hAnsi="Times New Roman" w:eastAsia="宋体" w:cs="Times New Roman"/>
      <w:sz w:val="18"/>
      <w:szCs w:val="18"/>
      <w:lang w:val="en-GB"/>
    </w:rPr>
  </w:style>
  <w:style w:type="paragraph" w:customStyle="1" w:styleId="45">
    <w:name w:val="B1"/>
    <w:basedOn w:val="1"/>
    <w:qFormat/>
    <w:uiPriority w:val="0"/>
    <w:pPr>
      <w:overflowPunct w:val="0"/>
      <w:autoSpaceDE w:val="0"/>
      <w:autoSpaceDN w:val="0"/>
      <w:adjustRightInd w:val="0"/>
      <w:ind w:left="568" w:hanging="284"/>
      <w:textAlignment w:val="baseline"/>
    </w:pPr>
    <w:rPr>
      <w:color w:val="000000"/>
      <w:lang w:eastAsia="ja-JP"/>
    </w:rPr>
  </w:style>
  <w:style w:type="paragraph" w:customStyle="1" w:styleId="46">
    <w:name w:val="B4"/>
    <w:basedOn w:val="1"/>
    <w:uiPriority w:val="0"/>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47">
    <w:name w:val="Editor's Note"/>
    <w:basedOn w:val="35"/>
    <w:link w:val="48"/>
    <w:qFormat/>
    <w:uiPriority w:val="0"/>
    <w:pPr>
      <w:textAlignment w:val="baseline"/>
    </w:pPr>
    <w:rPr>
      <w:rFonts w:ascii="Times New Roman" w:hAnsi="Times New Roman" w:eastAsia="Times New Roman" w:cs="Times New Roman"/>
      <w:color w:val="FF0000"/>
      <w:sz w:val="20"/>
      <w:szCs w:val="20"/>
      <w:lang w:eastAsia="ja-JP"/>
    </w:rPr>
  </w:style>
  <w:style w:type="character" w:customStyle="1" w:styleId="48">
    <w:name w:val="Editor's Note Char Char"/>
    <w:link w:val="47"/>
    <w:qFormat/>
    <w:uiPriority w:val="0"/>
    <w:rPr>
      <w:rFonts w:ascii="Times New Roman" w:hAnsi="Times New Roman" w:eastAsia="Times New Roman" w:cs="Times New Roman"/>
      <w:color w:val="FF0000"/>
      <w:sz w:val="20"/>
      <w:szCs w:val="20"/>
      <w:lang w:val="en-GB" w:eastAsia="ja-JP"/>
    </w:rPr>
  </w:style>
  <w:style w:type="paragraph" w:customStyle="1" w:styleId="49">
    <w:name w:val="EX"/>
    <w:basedOn w:val="1"/>
    <w:uiPriority w:val="0"/>
    <w:pPr>
      <w:keepLines/>
      <w:overflowPunct w:val="0"/>
      <w:autoSpaceDE w:val="0"/>
      <w:autoSpaceDN w:val="0"/>
      <w:adjustRightInd w:val="0"/>
      <w:ind w:left="1702" w:hanging="1418"/>
      <w:textAlignment w:val="baseline"/>
    </w:pPr>
    <w:rPr>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6A9038-2EAC-4CE8-92BE-1D863BA46062}">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3510</Words>
  <Characters>20012</Characters>
  <Lines>166</Lines>
  <Paragraphs>46</Paragraphs>
  <TotalTime>0</TotalTime>
  <ScaleCrop>false</ScaleCrop>
  <LinksUpToDate>false</LinksUpToDate>
  <CharactersWithSpaces>23476</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2017-07-19T09:07:00Z</dcterms:created>
  <dc:creator>K.GEORGE</dc:creator>
  <cp:lastModifiedBy>CMCC</cp:lastModifiedBy>
  <dcterms:modified xsi:type="dcterms:W3CDTF">2017-07-31T10:39:38Z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