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1849D" w14:textId="2F06DA56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60514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42B33" w:rsidRPr="00C42B33">
        <w:rPr>
          <w:b/>
          <w:i/>
          <w:noProof/>
          <w:sz w:val="28"/>
        </w:rPr>
        <w:t>S3-220075</w:t>
      </w:r>
    </w:p>
    <w:p w14:paraId="4E595343" w14:textId="77777777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53DC19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D7AC23" w14:textId="128D38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731E">
        <w:rPr>
          <w:rFonts w:ascii="Arial" w:hAnsi="Arial"/>
          <w:b/>
          <w:lang w:val="en-US"/>
        </w:rPr>
        <w:t>Deutsche Telekom AG</w:t>
      </w:r>
    </w:p>
    <w:p w14:paraId="15F3978E" w14:textId="1C44FB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2B33" w:rsidRPr="00C42B33">
        <w:rPr>
          <w:rFonts w:ascii="Arial" w:hAnsi="Arial" w:cs="Arial"/>
          <w:b/>
        </w:rPr>
        <w:t>GUTI allocation discussion paper</w:t>
      </w:r>
    </w:p>
    <w:p w14:paraId="3D09D816" w14:textId="753277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3DB391FE" w14:textId="64BECD7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2B33" w:rsidRPr="00C42B33">
        <w:rPr>
          <w:rFonts w:ascii="Arial" w:hAnsi="Arial"/>
          <w:b/>
        </w:rPr>
        <w:t>4.19 - Other work areas (no release restrictions)</w:t>
      </w:r>
    </w:p>
    <w:p w14:paraId="2CF49A7C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3ED75F6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77338B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74E9A4" w14:textId="6CA9FA05" w:rsidR="00C022E3" w:rsidRPr="00371918" w:rsidRDefault="00C022E3"/>
    <w:p w14:paraId="0B342108" w14:textId="7FA90C33" w:rsidR="00C022E3" w:rsidRPr="00371918" w:rsidRDefault="00C022E3">
      <w:pPr>
        <w:pStyle w:val="Reference"/>
      </w:pPr>
      <w:r w:rsidRPr="00371918">
        <w:t>[1]</w:t>
      </w:r>
      <w:r w:rsidRPr="00371918">
        <w:tab/>
        <w:t xml:space="preserve">3GPP </w:t>
      </w:r>
      <w:r w:rsidR="00A45248" w:rsidRPr="00371918">
        <w:t xml:space="preserve">TS </w:t>
      </w:r>
      <w:r w:rsidR="00057A87" w:rsidRPr="00371918">
        <w:t>33.401 - 3GPP System Architecture Evolution (SAE); Security architecture</w:t>
      </w:r>
    </w:p>
    <w:p w14:paraId="69E3EB52" w14:textId="0989613E" w:rsidR="00C022E3" w:rsidRPr="00371918" w:rsidRDefault="00C022E3">
      <w:pPr>
        <w:pStyle w:val="Reference"/>
      </w:pPr>
      <w:r w:rsidRPr="00371918">
        <w:t>[2]</w:t>
      </w:r>
      <w:r w:rsidRPr="00371918">
        <w:tab/>
        <w:t xml:space="preserve">3GPP TS </w:t>
      </w:r>
      <w:r w:rsidR="00C5397C" w:rsidRPr="00371918">
        <w:t xml:space="preserve">33.501 </w:t>
      </w:r>
      <w:r w:rsidR="0002693B" w:rsidRPr="00371918">
        <w:t>–</w:t>
      </w:r>
      <w:r w:rsidR="00C5397C" w:rsidRPr="00371918">
        <w:t xml:space="preserve"> </w:t>
      </w:r>
      <w:r w:rsidR="0002693B" w:rsidRPr="00371918">
        <w:t>3GPP</w:t>
      </w:r>
      <w:r w:rsidR="0083019D" w:rsidRPr="00371918">
        <w:t xml:space="preserve"> </w:t>
      </w:r>
      <w:r w:rsidR="0002693B" w:rsidRPr="00371918">
        <w:t>Security architecture and procedures for 5G system</w:t>
      </w:r>
      <w:r w:rsidRPr="00371918">
        <w:t>.</w:t>
      </w:r>
    </w:p>
    <w:p w14:paraId="67C7AA90" w14:textId="56D853B5" w:rsidR="00C022E3" w:rsidRPr="00371918" w:rsidRDefault="00C022E3" w:rsidP="00AA152B">
      <w:pPr>
        <w:pStyle w:val="Reference"/>
      </w:pPr>
      <w:r w:rsidRPr="00371918">
        <w:t>[3]</w:t>
      </w:r>
      <w:r w:rsidRPr="00371918">
        <w:tab/>
      </w:r>
      <w:proofErr w:type="spellStart"/>
      <w:r w:rsidR="00F926FC" w:rsidRPr="00371918">
        <w:t>Byeongdo</w:t>
      </w:r>
      <w:proofErr w:type="spellEnd"/>
      <w:r w:rsidR="00F926FC" w:rsidRPr="00371918">
        <w:t xml:space="preserve"> Hong</w:t>
      </w:r>
      <w:r w:rsidR="00F926FC" w:rsidRPr="00371918">
        <w:t xml:space="preserve">, </w:t>
      </w:r>
      <w:r w:rsidR="00F926FC" w:rsidRPr="00371918">
        <w:t>KAIST</w:t>
      </w:r>
      <w:r w:rsidR="00F926FC" w:rsidRPr="00371918">
        <w:t xml:space="preserve">, </w:t>
      </w:r>
      <w:r w:rsidR="00AA152B" w:rsidRPr="00371918">
        <w:t>GUTI Reallocation Demystified: Cellular Location</w:t>
      </w:r>
      <w:r w:rsidR="00AA152B" w:rsidRPr="00371918">
        <w:t xml:space="preserve"> </w:t>
      </w:r>
      <w:r w:rsidR="00AA152B" w:rsidRPr="00371918">
        <w:t>Tracking with Changing Temporary Identifier</w:t>
      </w:r>
    </w:p>
    <w:p w14:paraId="50A47202" w14:textId="2C59E1F8" w:rsidR="00C022E3" w:rsidRPr="00371918" w:rsidRDefault="00C022E3" w:rsidP="00A45248">
      <w:pPr>
        <w:pStyle w:val="Reference"/>
      </w:pPr>
      <w:r w:rsidRPr="00371918">
        <w:t>[4]</w:t>
      </w:r>
      <w:r w:rsidRPr="00371918">
        <w:tab/>
      </w:r>
      <w:r w:rsidR="00002EFD" w:rsidRPr="00371918">
        <w:t>S3-220061</w:t>
      </w:r>
      <w:r w:rsidRPr="00371918">
        <w:t xml:space="preserve">, CR </w:t>
      </w:r>
      <w:r w:rsidR="00B37823" w:rsidRPr="00371918">
        <w:t>0702</w:t>
      </w:r>
      <w:r w:rsidRPr="00371918">
        <w:t xml:space="preserve">, </w:t>
      </w:r>
      <w:r w:rsidR="00C5397C" w:rsidRPr="00371918">
        <w:t>Align GUTI allocation to best practices of unpredictable identifier generation.</w:t>
      </w:r>
    </w:p>
    <w:p w14:paraId="4FB68CF8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66B6E640" w14:textId="14C3ED8A" w:rsidR="005C6E19" w:rsidRPr="005C6E19" w:rsidRDefault="005C6E19" w:rsidP="00907345">
      <w:pPr>
        <w:jc w:val="both"/>
        <w:rPr>
          <w:iCs/>
        </w:rPr>
      </w:pPr>
      <w:r w:rsidRPr="005C6E19">
        <w:rPr>
          <w:iCs/>
        </w:rPr>
        <w:t>Current requirement</w:t>
      </w:r>
      <w:r w:rsidR="00CE3EF3">
        <w:rPr>
          <w:iCs/>
        </w:rPr>
        <w:t xml:space="preserve"> in [1]</w:t>
      </w:r>
      <w:r w:rsidRPr="005C6E19">
        <w:rPr>
          <w:iCs/>
        </w:rPr>
        <w:t xml:space="preserve"> on GUTI allocation ensures only the confidentiality of subscriber identities, but subscribers </w:t>
      </w:r>
      <w:r w:rsidR="000B1556">
        <w:rPr>
          <w:iCs/>
        </w:rPr>
        <w:t>may not be</w:t>
      </w:r>
      <w:r w:rsidRPr="005C6E19">
        <w:rPr>
          <w:iCs/>
        </w:rPr>
        <w:t xml:space="preserve"> safe from privacy leakage.</w:t>
      </w:r>
    </w:p>
    <w:p w14:paraId="11C1605D" w14:textId="635A5DD0" w:rsidR="005C6E19" w:rsidRPr="005C6E19" w:rsidRDefault="005C6E19" w:rsidP="00907345">
      <w:pPr>
        <w:jc w:val="both"/>
        <w:rPr>
          <w:iCs/>
        </w:rPr>
      </w:pPr>
      <w:r w:rsidRPr="005C6E19">
        <w:rPr>
          <w:iCs/>
        </w:rPr>
        <w:t>Recent studies</w:t>
      </w:r>
      <w:r w:rsidR="006A39A3">
        <w:rPr>
          <w:iCs/>
        </w:rPr>
        <w:t xml:space="preserve"> [3]</w:t>
      </w:r>
      <w:r w:rsidR="008B3F14">
        <w:rPr>
          <w:iCs/>
        </w:rPr>
        <w:t xml:space="preserve"> and our own investigations</w:t>
      </w:r>
      <w:r w:rsidRPr="005C6E19">
        <w:rPr>
          <w:iCs/>
        </w:rPr>
        <w:t xml:space="preserve"> have shown that the absence of a more detailed standard guideline for GUTI allocation has resulted in the problem of an easily predictable allocation logic</w:t>
      </w:r>
      <w:r w:rsidR="000B1E00">
        <w:rPr>
          <w:iCs/>
        </w:rPr>
        <w:t xml:space="preserve"> (</w:t>
      </w:r>
      <w:proofErr w:type="gramStart"/>
      <w:r w:rsidR="000B1E00">
        <w:rPr>
          <w:iCs/>
        </w:rPr>
        <w:t>e.g.</w:t>
      </w:r>
      <w:proofErr w:type="gramEnd"/>
      <w:r w:rsidR="000B1E00">
        <w:rPr>
          <w:iCs/>
        </w:rPr>
        <w:t xml:space="preserve"> i</w:t>
      </w:r>
      <w:r w:rsidR="000B1E00" w:rsidRPr="000B1E00">
        <w:rPr>
          <w:iCs/>
        </w:rPr>
        <w:t>ncremental allocation algorithm</w:t>
      </w:r>
      <w:r w:rsidR="000B1E00">
        <w:rPr>
          <w:iCs/>
        </w:rPr>
        <w:t>)</w:t>
      </w:r>
      <w:r w:rsidRPr="005C6E19">
        <w:rPr>
          <w:iCs/>
        </w:rPr>
        <w:t>. By that the GUTI allocation becomes predictable in certain scenarios, what brings an attacker, who could predict the GUTI of a victim, in the position to track that subscriber - what violates subscriber privacy eventually.</w:t>
      </w:r>
    </w:p>
    <w:p w14:paraId="429A7E3E" w14:textId="77777777" w:rsidR="005C6E19" w:rsidRPr="005C6E19" w:rsidRDefault="005C6E19" w:rsidP="00907345">
      <w:pPr>
        <w:jc w:val="both"/>
        <w:rPr>
          <w:iCs/>
        </w:rPr>
      </w:pPr>
    </w:p>
    <w:p w14:paraId="38E240F8" w14:textId="4D8DB9C7" w:rsidR="00C022E3" w:rsidRDefault="005C6E19" w:rsidP="00907345">
      <w:pPr>
        <w:jc w:val="both"/>
        <w:rPr>
          <w:iCs/>
        </w:rPr>
      </w:pPr>
      <w:r w:rsidRPr="005C6E19">
        <w:rPr>
          <w:iCs/>
        </w:rPr>
        <w:t>Thus, from subscriber's privacy point of view it is important that each new GUTI is a new random, unpredictable value that does not allow correlation with previously used GUTIs or any other temporary subscriber identity.</w:t>
      </w:r>
    </w:p>
    <w:p w14:paraId="511CEA33" w14:textId="5D517760" w:rsidR="00B55046" w:rsidRDefault="00B55046" w:rsidP="00907345">
      <w:pPr>
        <w:jc w:val="both"/>
        <w:rPr>
          <w:iCs/>
        </w:rPr>
      </w:pPr>
    </w:p>
    <w:p w14:paraId="195D7758" w14:textId="2235DDC9" w:rsidR="00B55046" w:rsidRDefault="00AC23ED" w:rsidP="00907345">
      <w:pPr>
        <w:jc w:val="both"/>
        <w:rPr>
          <w:iCs/>
        </w:rPr>
      </w:pPr>
      <w:r>
        <w:rPr>
          <w:iCs/>
        </w:rPr>
        <w:t xml:space="preserve">While </w:t>
      </w:r>
      <w:r w:rsidR="005B2AE9">
        <w:rPr>
          <w:iCs/>
        </w:rPr>
        <w:t xml:space="preserve">for </w:t>
      </w:r>
      <w:r w:rsidR="00F350DA">
        <w:rPr>
          <w:iCs/>
        </w:rPr>
        <w:t xml:space="preserve">the </w:t>
      </w:r>
      <w:r w:rsidR="005B2AE9">
        <w:rPr>
          <w:iCs/>
        </w:rPr>
        <w:t>5G spec</w:t>
      </w:r>
      <w:r w:rsidR="00CA5CCA">
        <w:rPr>
          <w:iCs/>
        </w:rPr>
        <w:t>ification</w:t>
      </w:r>
      <w:r w:rsidR="005B2AE9">
        <w:rPr>
          <w:iCs/>
        </w:rPr>
        <w:t xml:space="preserve"> [2] </w:t>
      </w:r>
      <w:r w:rsidR="00A92298">
        <w:rPr>
          <w:iCs/>
        </w:rPr>
        <w:t>the</w:t>
      </w:r>
      <w:r w:rsidR="005B2AE9">
        <w:rPr>
          <w:iCs/>
        </w:rPr>
        <w:t xml:space="preserve"> </w:t>
      </w:r>
      <w:r w:rsidR="00A92298">
        <w:rPr>
          <w:iCs/>
        </w:rPr>
        <w:t>implementation guideline “</w:t>
      </w:r>
      <w:r w:rsidR="005B2AE9" w:rsidRPr="005B2AE9">
        <w:rPr>
          <w:iCs/>
        </w:rPr>
        <w:t>5G-TMSI generation should be following the best practices of unpredictable identifier generation.</w:t>
      </w:r>
      <w:r w:rsidR="00A92298">
        <w:rPr>
          <w:iCs/>
        </w:rPr>
        <w:t xml:space="preserve">” is given in </w:t>
      </w:r>
      <w:r w:rsidR="00E8626E">
        <w:rPr>
          <w:iCs/>
        </w:rPr>
        <w:t xml:space="preserve">section </w:t>
      </w:r>
      <w:r w:rsidR="00E8626E" w:rsidRPr="00E8626E">
        <w:rPr>
          <w:iCs/>
        </w:rPr>
        <w:t>6.12.3</w:t>
      </w:r>
      <w:r w:rsidR="00E8626E">
        <w:rPr>
          <w:iCs/>
        </w:rPr>
        <w:t xml:space="preserve"> </w:t>
      </w:r>
      <w:r w:rsidR="007D403E">
        <w:rPr>
          <w:iCs/>
        </w:rPr>
        <w:t>a</w:t>
      </w:r>
      <w:r w:rsidR="000E3CD2">
        <w:rPr>
          <w:iCs/>
        </w:rPr>
        <w:t xml:space="preserve"> comparable </w:t>
      </w:r>
      <w:r w:rsidR="00072DF1">
        <w:rPr>
          <w:iCs/>
        </w:rPr>
        <w:t xml:space="preserve">statement </w:t>
      </w:r>
      <w:r w:rsidR="00E8626E">
        <w:rPr>
          <w:iCs/>
        </w:rPr>
        <w:t xml:space="preserve">is still missing in </w:t>
      </w:r>
      <w:r w:rsidR="00CA5CCA">
        <w:rPr>
          <w:iCs/>
        </w:rPr>
        <w:t>the 4G specification [1].</w:t>
      </w:r>
    </w:p>
    <w:p w14:paraId="7EC2951A" w14:textId="09DEF92A" w:rsidR="00B55046" w:rsidRDefault="00B55046" w:rsidP="00907345">
      <w:pPr>
        <w:jc w:val="both"/>
        <w:rPr>
          <w:iCs/>
        </w:rPr>
      </w:pPr>
    </w:p>
    <w:p w14:paraId="4A097754" w14:textId="66E955C4" w:rsidR="00B55046" w:rsidRDefault="00311733" w:rsidP="00907345">
      <w:pPr>
        <w:jc w:val="both"/>
        <w:rPr>
          <w:iCs/>
        </w:rPr>
      </w:pPr>
      <w:r>
        <w:rPr>
          <w:iCs/>
        </w:rPr>
        <w:t xml:space="preserve">The intention of the related CR </w:t>
      </w:r>
      <w:r w:rsidR="005964B3">
        <w:rPr>
          <w:iCs/>
        </w:rPr>
        <w:t xml:space="preserve">S3-220061 is to overcome this shortage and by that align the privacy </w:t>
      </w:r>
      <w:r w:rsidR="00AB4A53">
        <w:rPr>
          <w:iCs/>
        </w:rPr>
        <w:t xml:space="preserve">requirement of </w:t>
      </w:r>
      <w:r w:rsidR="00907345">
        <w:rPr>
          <w:iCs/>
        </w:rPr>
        <w:t xml:space="preserve">the </w:t>
      </w:r>
      <w:r w:rsidR="00907345" w:rsidRPr="00907345">
        <w:rPr>
          <w:iCs/>
        </w:rPr>
        <w:t>temporary identifier</w:t>
      </w:r>
      <w:r w:rsidR="00907345">
        <w:rPr>
          <w:iCs/>
        </w:rPr>
        <w:t>s</w:t>
      </w:r>
      <w:r w:rsidR="00B930E0">
        <w:rPr>
          <w:iCs/>
        </w:rPr>
        <w:t xml:space="preserve"> and provide additional guidance for implementers</w:t>
      </w:r>
      <w:r w:rsidR="00907345">
        <w:rPr>
          <w:iCs/>
        </w:rPr>
        <w:t>.</w:t>
      </w:r>
    </w:p>
    <w:p w14:paraId="242A123D" w14:textId="77777777" w:rsidR="00B55046" w:rsidRDefault="00B55046" w:rsidP="005C6E19">
      <w:pPr>
        <w:rPr>
          <w:i/>
        </w:rPr>
      </w:pPr>
    </w:p>
    <w:p w14:paraId="5AE34CB3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5D024A5D" w14:textId="33A97269" w:rsidR="00C022E3" w:rsidRPr="004134E1" w:rsidRDefault="004134E1">
      <w:pPr>
        <w:rPr>
          <w:iCs/>
        </w:rPr>
      </w:pPr>
      <w:r w:rsidRPr="00E32468">
        <w:rPr>
          <w:iCs/>
        </w:rPr>
        <w:t>It is proposed that SA3 approve</w:t>
      </w:r>
      <w:r>
        <w:rPr>
          <w:iCs/>
        </w:rPr>
        <w:t>s</w:t>
      </w:r>
      <w:r w:rsidRPr="00E32468">
        <w:rPr>
          <w:iCs/>
        </w:rPr>
        <w:t xml:space="preserve"> the CR given in </w:t>
      </w:r>
      <w:r w:rsidR="00572C84" w:rsidRPr="00572C84">
        <w:rPr>
          <w:iCs/>
        </w:rPr>
        <w:t>S3-220061</w:t>
      </w:r>
      <w:r w:rsidR="00572C84">
        <w:rPr>
          <w:iCs/>
        </w:rPr>
        <w:t>.</w:t>
      </w:r>
    </w:p>
    <w:sectPr w:rsidR="00C022E3" w:rsidRPr="004134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62C15" w14:textId="77777777" w:rsidR="007E537E" w:rsidRDefault="007E537E">
      <w:r>
        <w:separator/>
      </w:r>
    </w:p>
  </w:endnote>
  <w:endnote w:type="continuationSeparator" w:id="0">
    <w:p w14:paraId="76B5B294" w14:textId="77777777" w:rsidR="007E537E" w:rsidRDefault="007E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65BFE" w14:textId="77777777" w:rsidR="007E537E" w:rsidRDefault="007E537E">
      <w:r>
        <w:separator/>
      </w:r>
    </w:p>
  </w:footnote>
  <w:footnote w:type="continuationSeparator" w:id="0">
    <w:p w14:paraId="32DDACA8" w14:textId="77777777" w:rsidR="007E537E" w:rsidRDefault="007E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FD"/>
    <w:rsid w:val="00012515"/>
    <w:rsid w:val="0002693B"/>
    <w:rsid w:val="00046389"/>
    <w:rsid w:val="00057A87"/>
    <w:rsid w:val="00072DF1"/>
    <w:rsid w:val="00074722"/>
    <w:rsid w:val="000819D8"/>
    <w:rsid w:val="000934A6"/>
    <w:rsid w:val="000A2C6C"/>
    <w:rsid w:val="000A4660"/>
    <w:rsid w:val="000B1556"/>
    <w:rsid w:val="000B1E00"/>
    <w:rsid w:val="000D1B5B"/>
    <w:rsid w:val="000E3CD2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11733"/>
    <w:rsid w:val="0035122B"/>
    <w:rsid w:val="00353451"/>
    <w:rsid w:val="00371032"/>
    <w:rsid w:val="00371918"/>
    <w:rsid w:val="00371B44"/>
    <w:rsid w:val="003875BB"/>
    <w:rsid w:val="003C122B"/>
    <w:rsid w:val="003C5A97"/>
    <w:rsid w:val="003C7A04"/>
    <w:rsid w:val="003D40C7"/>
    <w:rsid w:val="003F52B2"/>
    <w:rsid w:val="004134E1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2C84"/>
    <w:rsid w:val="0059227B"/>
    <w:rsid w:val="005964B3"/>
    <w:rsid w:val="005B0966"/>
    <w:rsid w:val="005B2AE9"/>
    <w:rsid w:val="005B795D"/>
    <w:rsid w:val="005C462A"/>
    <w:rsid w:val="005C6E19"/>
    <w:rsid w:val="0060514A"/>
    <w:rsid w:val="00613820"/>
    <w:rsid w:val="00652248"/>
    <w:rsid w:val="00657B80"/>
    <w:rsid w:val="00667566"/>
    <w:rsid w:val="00675B3C"/>
    <w:rsid w:val="0069495C"/>
    <w:rsid w:val="006A39A3"/>
    <w:rsid w:val="006C67F0"/>
    <w:rsid w:val="006D340A"/>
    <w:rsid w:val="00715A1D"/>
    <w:rsid w:val="00760BB0"/>
    <w:rsid w:val="0076157A"/>
    <w:rsid w:val="00784593"/>
    <w:rsid w:val="007A00EF"/>
    <w:rsid w:val="007B19EA"/>
    <w:rsid w:val="007B51CA"/>
    <w:rsid w:val="007C0A2D"/>
    <w:rsid w:val="007C27B0"/>
    <w:rsid w:val="007D403E"/>
    <w:rsid w:val="007E537E"/>
    <w:rsid w:val="007F300B"/>
    <w:rsid w:val="008014C3"/>
    <w:rsid w:val="0083019D"/>
    <w:rsid w:val="00850812"/>
    <w:rsid w:val="00876B9A"/>
    <w:rsid w:val="008841F2"/>
    <w:rsid w:val="008933BF"/>
    <w:rsid w:val="008A10C4"/>
    <w:rsid w:val="008B0248"/>
    <w:rsid w:val="008B3F14"/>
    <w:rsid w:val="008F5F33"/>
    <w:rsid w:val="00907345"/>
    <w:rsid w:val="0091046A"/>
    <w:rsid w:val="00926ABD"/>
    <w:rsid w:val="00947F4E"/>
    <w:rsid w:val="00966D47"/>
    <w:rsid w:val="00992312"/>
    <w:rsid w:val="009C0DED"/>
    <w:rsid w:val="009E186C"/>
    <w:rsid w:val="00A37D7F"/>
    <w:rsid w:val="00A45248"/>
    <w:rsid w:val="00A46410"/>
    <w:rsid w:val="00A57688"/>
    <w:rsid w:val="00A84A94"/>
    <w:rsid w:val="00A86BF7"/>
    <w:rsid w:val="00A92298"/>
    <w:rsid w:val="00AA152B"/>
    <w:rsid w:val="00AB4A53"/>
    <w:rsid w:val="00AC23ED"/>
    <w:rsid w:val="00AD1DAA"/>
    <w:rsid w:val="00AF1E23"/>
    <w:rsid w:val="00AF7F81"/>
    <w:rsid w:val="00B01AFF"/>
    <w:rsid w:val="00B05CC7"/>
    <w:rsid w:val="00B27E39"/>
    <w:rsid w:val="00B350D8"/>
    <w:rsid w:val="00B37823"/>
    <w:rsid w:val="00B55046"/>
    <w:rsid w:val="00B76763"/>
    <w:rsid w:val="00B7732B"/>
    <w:rsid w:val="00B879F0"/>
    <w:rsid w:val="00B930E0"/>
    <w:rsid w:val="00BC25AA"/>
    <w:rsid w:val="00C022E3"/>
    <w:rsid w:val="00C42B33"/>
    <w:rsid w:val="00C4712D"/>
    <w:rsid w:val="00C5397C"/>
    <w:rsid w:val="00C555C9"/>
    <w:rsid w:val="00C94F55"/>
    <w:rsid w:val="00CA5CCA"/>
    <w:rsid w:val="00CA7D62"/>
    <w:rsid w:val="00CB07A8"/>
    <w:rsid w:val="00CD4A57"/>
    <w:rsid w:val="00CE3EF3"/>
    <w:rsid w:val="00CF5D9C"/>
    <w:rsid w:val="00D33604"/>
    <w:rsid w:val="00D37B08"/>
    <w:rsid w:val="00D437FF"/>
    <w:rsid w:val="00D5130C"/>
    <w:rsid w:val="00D62265"/>
    <w:rsid w:val="00D8512E"/>
    <w:rsid w:val="00D8731E"/>
    <w:rsid w:val="00DA1E58"/>
    <w:rsid w:val="00DE4EF2"/>
    <w:rsid w:val="00DF2C0E"/>
    <w:rsid w:val="00E04DB6"/>
    <w:rsid w:val="00E06FFB"/>
    <w:rsid w:val="00E30155"/>
    <w:rsid w:val="00E8626E"/>
    <w:rsid w:val="00E91FE1"/>
    <w:rsid w:val="00EA5E95"/>
    <w:rsid w:val="00EC58CB"/>
    <w:rsid w:val="00ED4954"/>
    <w:rsid w:val="00EE0943"/>
    <w:rsid w:val="00EE33A2"/>
    <w:rsid w:val="00F350DA"/>
    <w:rsid w:val="00F67A1C"/>
    <w:rsid w:val="00F82C5B"/>
    <w:rsid w:val="00F8555F"/>
    <w:rsid w:val="00F9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91B28B0"/>
  <w15:chartTrackingRefBased/>
  <w15:docId w15:val="{06EB0D92-ADF3-40F1-AAC2-D514EC6F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316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Pätzold</cp:lastModifiedBy>
  <cp:revision>44</cp:revision>
  <cp:lastPrinted>1601-01-01T00:00:00Z</cp:lastPrinted>
  <dcterms:created xsi:type="dcterms:W3CDTF">2022-02-04T16:21:00Z</dcterms:created>
  <dcterms:modified xsi:type="dcterms:W3CDTF">2022-02-04T17:01:00Z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