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noProof/>
          <w:sz w:val="24"/>
          <w:lang w:val="it-IT"/>
        </w:rPr>
      </w:pPr>
      <w:r>
        <w:rPr>
          <w:b/>
          <w:noProof/>
          <w:sz w:val="24"/>
          <w:lang w:val="it-IT"/>
        </w:rPr>
        <w:t>3GPP SA3#94-LI</w:t>
      </w:r>
      <w:r>
        <w:rPr>
          <w:b/>
          <w:i/>
          <w:noProof/>
          <w:sz w:val="28"/>
          <w:lang w:val="it-IT"/>
        </w:rPr>
        <w:tab/>
      </w:r>
      <w:r>
        <w:rPr>
          <w:b/>
          <w:i/>
          <w:noProof/>
          <w:sz w:val="28"/>
          <w:lang w:val="en-US"/>
        </w:rPr>
        <w:t>s3i240708</w:t>
      </w:r>
    </w:p>
    <w:p>
      <w:pPr>
        <w:pStyle w:val="CRCoverPage"/>
        <w:outlineLvl w:val="0"/>
        <w:rPr>
          <w:b/>
          <w:noProof/>
          <w:sz w:val="24"/>
        </w:rPr>
      </w:pPr>
      <w:r>
        <w:rPr>
          <w:b/>
          <w:noProof/>
          <w:sz w:val="24"/>
        </w:rPr>
        <w:t>29 October-1 November 2024, Las Vegas(US)</w:t>
      </w:r>
    </w:p>
    <w:p>
      <w:pPr>
        <w:tabs>
          <w:tab w:val="right" w:pos="9638"/>
        </w:tabs>
        <w:rPr>
          <w:rFonts w:ascii="Arial" w:hAnsi="Arial" w:cs="Arial"/>
          <w:b/>
          <w:bCs/>
          <w:lang w:val="en-US"/>
        </w:rPr>
      </w:pPr>
    </w:p>
    <w:p>
      <w:pPr>
        <w:spacing w:after="60"/>
        <w:ind w:left="1985" w:hanging="1985"/>
        <w:rPr>
          <w:rFonts w:ascii="Arial" w:hAnsi="Arial" w:cs="Arial"/>
          <w:b/>
          <w:sz w:val="20"/>
          <w:lang w:val="en-US"/>
        </w:rPr>
      </w:pPr>
      <w:r>
        <w:rPr>
          <w:rFonts w:ascii="Arial" w:hAnsi="Arial" w:cs="Arial"/>
          <w:b/>
          <w:sz w:val="20"/>
          <w:lang w:val="en-US"/>
        </w:rPr>
        <w:t>Title:</w:t>
      </w:r>
      <w:r>
        <w:rPr>
          <w:rFonts w:ascii="Arial" w:hAnsi="Arial" w:cs="Arial"/>
          <w:b/>
          <w:sz w:val="20"/>
          <w:lang w:val="en-US"/>
        </w:rPr>
        <w:tab/>
        <w:t>RCS lawful intercept requirements</w:t>
      </w:r>
    </w:p>
    <w:p>
      <w:pPr>
        <w:spacing w:after="60"/>
        <w:ind w:left="1985" w:hanging="1985"/>
        <w:rPr>
          <w:rFonts w:ascii="Arial" w:hAnsi="Arial" w:cs="Arial"/>
          <w:b/>
          <w:sz w:val="20"/>
          <w:lang w:val="en-US"/>
        </w:rPr>
      </w:pPr>
      <w:bookmarkStart w:id="0" w:name="OLE_LINK58"/>
      <w:bookmarkStart w:id="1" w:name="OLE_LINK57"/>
      <w:bookmarkStart w:id="2" w:name="OLE_LINK61"/>
      <w:bookmarkStart w:id="3" w:name="OLE_LINK59"/>
      <w:bookmarkStart w:id="4" w:name="OLE_LINK60"/>
      <w:r>
        <w:rPr>
          <w:rFonts w:ascii="Arial" w:hAnsi="Arial" w:cs="Arial"/>
          <w:b/>
          <w:sz w:val="20"/>
          <w:lang w:val="en-US"/>
        </w:rPr>
        <w:t>Response to:</w:t>
      </w:r>
      <w:r>
        <w:rPr>
          <w:rFonts w:ascii="Arial" w:hAnsi="Arial" w:cs="Arial"/>
          <w:b/>
          <w:bCs/>
          <w:sz w:val="20"/>
          <w:lang w:val="en-US"/>
        </w:rPr>
        <w:tab/>
      </w:r>
      <w:bookmarkEnd w:id="0"/>
      <w:bookmarkEnd w:id="1"/>
    </w:p>
    <w:p>
      <w:pPr>
        <w:spacing w:after="60"/>
        <w:ind w:left="1985" w:hanging="1985"/>
        <w:rPr>
          <w:rFonts w:ascii="Arial" w:hAnsi="Arial" w:cs="Arial"/>
          <w:b/>
          <w:bCs/>
          <w:sz w:val="20"/>
          <w:lang w:val="en-US"/>
        </w:rPr>
      </w:pPr>
      <w:r>
        <w:rPr>
          <w:rFonts w:ascii="Arial" w:hAnsi="Arial" w:cs="Arial"/>
          <w:b/>
          <w:sz w:val="20"/>
          <w:lang w:val="en-US"/>
        </w:rPr>
        <w:t>Release:</w:t>
      </w:r>
      <w:r>
        <w:rPr>
          <w:rFonts w:ascii="Arial" w:hAnsi="Arial" w:cs="Arial"/>
          <w:b/>
          <w:bCs/>
          <w:sz w:val="20"/>
          <w:lang w:val="en-US"/>
        </w:rPr>
        <w:tab/>
        <w:t>Rel-19</w:t>
      </w:r>
    </w:p>
    <w:bookmarkEnd w:id="2"/>
    <w:bookmarkEnd w:id="3"/>
    <w:bookmarkEnd w:id="4"/>
    <w:p>
      <w:pPr>
        <w:spacing w:after="60"/>
        <w:ind w:left="1985" w:hanging="1985"/>
        <w:rPr>
          <w:rFonts w:ascii="Arial" w:eastAsia="SimSun" w:hAnsi="Arial" w:cs="Arial"/>
          <w:b/>
          <w:bCs/>
          <w:sz w:val="20"/>
          <w:lang w:val="en-US"/>
        </w:rPr>
      </w:pPr>
      <w:r>
        <w:rPr>
          <w:rFonts w:ascii="Arial" w:hAnsi="Arial" w:cs="Arial"/>
          <w:b/>
          <w:sz w:val="20"/>
          <w:lang w:val="en-US"/>
        </w:rPr>
        <w:t>Work Item:</w:t>
      </w:r>
      <w:r>
        <w:rPr>
          <w:rFonts w:ascii="Arial" w:hAnsi="Arial" w:cs="Arial"/>
          <w:b/>
          <w:bCs/>
          <w:sz w:val="20"/>
          <w:lang w:val="en-US"/>
        </w:rPr>
        <w:tab/>
        <w:t>LI19</w:t>
      </w:r>
    </w:p>
    <w:p>
      <w:pPr>
        <w:spacing w:after="60"/>
        <w:ind w:left="1985" w:hanging="1985"/>
        <w:rPr>
          <w:rFonts w:ascii="Arial" w:hAnsi="Arial" w:cs="Arial"/>
          <w:b/>
          <w:sz w:val="20"/>
          <w:lang w:val="en-US"/>
        </w:rPr>
      </w:pPr>
    </w:p>
    <w:p>
      <w:pPr>
        <w:spacing w:after="60"/>
        <w:ind w:left="1985" w:hanging="1985"/>
        <w:rPr>
          <w:rFonts w:ascii="Arial" w:hAnsi="Arial" w:cs="Arial"/>
          <w:b/>
          <w:sz w:val="20"/>
          <w:lang w:val="en-US"/>
        </w:rPr>
      </w:pPr>
      <w:r>
        <w:rPr>
          <w:rFonts w:ascii="Arial" w:hAnsi="Arial" w:cs="Arial"/>
          <w:b/>
          <w:sz w:val="20"/>
          <w:lang w:val="en-US"/>
        </w:rPr>
        <w:t>Source:</w:t>
      </w:r>
      <w:r>
        <w:rPr>
          <w:rFonts w:ascii="Arial" w:hAnsi="Arial" w:cs="Arial"/>
          <w:b/>
          <w:sz w:val="20"/>
          <w:lang w:val="en-US"/>
        </w:rPr>
        <w:tab/>
        <w:t>SA3-LI</w:t>
      </w:r>
    </w:p>
    <w:p>
      <w:pPr>
        <w:spacing w:after="60"/>
        <w:ind w:left="1985" w:hanging="1985"/>
        <w:rPr>
          <w:rFonts w:ascii="Arial" w:hAnsi="Arial" w:cs="Arial"/>
          <w:b/>
          <w:bCs/>
          <w:sz w:val="20"/>
          <w:lang w:val="it-IT"/>
        </w:rPr>
      </w:pPr>
      <w:r>
        <w:rPr>
          <w:rFonts w:ascii="Arial" w:hAnsi="Arial" w:cs="Arial"/>
          <w:b/>
          <w:sz w:val="20"/>
          <w:lang w:val="it-IT"/>
        </w:rPr>
        <w:t>To:</w:t>
      </w:r>
      <w:r>
        <w:rPr>
          <w:rFonts w:ascii="Arial" w:hAnsi="Arial" w:cs="Arial"/>
          <w:b/>
          <w:bCs/>
          <w:sz w:val="20"/>
          <w:lang w:val="it-IT"/>
        </w:rPr>
        <w:tab/>
        <w:t>GSMA</w:t>
      </w:r>
    </w:p>
    <w:p>
      <w:pPr>
        <w:spacing w:after="60"/>
        <w:ind w:left="1985" w:hanging="1985"/>
        <w:rPr>
          <w:rFonts w:ascii="Arial" w:hAnsi="Arial" w:cs="Arial"/>
          <w:b/>
          <w:bCs/>
          <w:sz w:val="20"/>
          <w:lang w:val="it-IT"/>
        </w:rPr>
      </w:pPr>
      <w:bookmarkStart w:id="5" w:name="OLE_LINK45"/>
      <w:bookmarkStart w:id="6" w:name="OLE_LINK46"/>
      <w:r>
        <w:rPr>
          <w:rFonts w:ascii="Arial" w:hAnsi="Arial" w:cs="Arial"/>
          <w:b/>
          <w:sz w:val="20"/>
          <w:lang w:val="it-IT"/>
        </w:rPr>
        <w:t>Cc:</w:t>
      </w:r>
      <w:r>
        <w:rPr>
          <w:rFonts w:ascii="Arial" w:hAnsi="Arial" w:cs="Arial"/>
          <w:b/>
          <w:bCs/>
          <w:sz w:val="20"/>
          <w:lang w:val="it-IT"/>
        </w:rPr>
        <w:tab/>
      </w:r>
      <w:r>
        <w:rPr>
          <w:rFonts w:ascii="Arial" w:hAnsi="Arial" w:cs="Arial"/>
          <w:b/>
          <w:sz w:val="20"/>
          <w:lang w:val="it-IT"/>
        </w:rPr>
        <w:t>SA3</w:t>
      </w:r>
    </w:p>
    <w:bookmarkEnd w:id="5"/>
    <w:bookmarkEnd w:id="6"/>
    <w:p>
      <w:pPr>
        <w:spacing w:after="60"/>
        <w:ind w:left="1985" w:hanging="1985"/>
        <w:rPr>
          <w:rFonts w:ascii="Arial" w:hAnsi="Arial" w:cs="Arial"/>
          <w:bCs/>
          <w:sz w:val="20"/>
          <w:lang w:val="it-IT"/>
        </w:rPr>
      </w:pPr>
    </w:p>
    <w:p>
      <w:pPr>
        <w:spacing w:after="60"/>
        <w:ind w:left="1985" w:hanging="1985"/>
        <w:rPr>
          <w:rFonts w:ascii="Arial" w:hAnsi="Arial" w:cs="Arial"/>
          <w:b/>
          <w:bCs/>
          <w:sz w:val="20"/>
        </w:rPr>
      </w:pPr>
      <w:r>
        <w:rPr>
          <w:rFonts w:ascii="Arial" w:hAnsi="Arial" w:cs="Arial"/>
          <w:b/>
          <w:sz w:val="20"/>
        </w:rPr>
        <w:t xml:space="preserve">Contact </w:t>
      </w:r>
      <w:proofErr w:type="spellStart"/>
      <w:proofErr w:type="gramStart"/>
      <w:r>
        <w:rPr>
          <w:rFonts w:ascii="Arial" w:hAnsi="Arial" w:cs="Arial"/>
          <w:b/>
          <w:sz w:val="20"/>
        </w:rPr>
        <w:t>person</w:t>
      </w:r>
      <w:proofErr w:type="spellEnd"/>
      <w:r>
        <w:rPr>
          <w:rFonts w:ascii="Arial" w:hAnsi="Arial" w:cs="Arial"/>
          <w:b/>
          <w:sz w:val="20"/>
        </w:rPr>
        <w:t>:</w:t>
      </w:r>
      <w:proofErr w:type="gramEnd"/>
      <w:r>
        <w:rPr>
          <w:rFonts w:ascii="Arial" w:hAnsi="Arial" w:cs="Arial"/>
          <w:b/>
          <w:bCs/>
          <w:sz w:val="20"/>
        </w:rPr>
        <w:tab/>
      </w:r>
    </w:p>
    <w:p>
      <w:pPr>
        <w:pStyle w:val="Contact"/>
        <w:tabs>
          <w:tab w:val="clear" w:pos="2268"/>
        </w:tabs>
        <w:rPr>
          <w:bCs/>
          <w:lang w:val="fr-FR"/>
        </w:rPr>
      </w:pPr>
      <w:proofErr w:type="gramStart"/>
      <w:r>
        <w:rPr>
          <w:lang w:val="fr-FR"/>
        </w:rPr>
        <w:t>Name:</w:t>
      </w:r>
      <w:proofErr w:type="gramEnd"/>
      <w:r>
        <w:rPr>
          <w:bCs/>
          <w:lang w:val="fr-FR"/>
        </w:rPr>
        <w:tab/>
        <w:t xml:space="preserve">Pierre </w:t>
      </w:r>
      <w:proofErr w:type="spellStart"/>
      <w:r>
        <w:rPr>
          <w:bCs/>
          <w:lang w:val="fr-FR"/>
        </w:rPr>
        <w:t>Courbon</w:t>
      </w:r>
      <w:proofErr w:type="spellEnd"/>
    </w:p>
    <w:p>
      <w:pPr>
        <w:pStyle w:val="Contact"/>
        <w:tabs>
          <w:tab w:val="clear" w:pos="2268"/>
        </w:tabs>
        <w:rPr>
          <w:bCs/>
          <w:lang w:val="fr-FR"/>
        </w:rPr>
      </w:pPr>
      <w:r>
        <w:rPr>
          <w:color w:val="0000FF"/>
          <w:lang w:val="fr-FR"/>
        </w:rPr>
        <w:t xml:space="preserve">E-mail </w:t>
      </w:r>
      <w:proofErr w:type="spellStart"/>
      <w:proofErr w:type="gramStart"/>
      <w:r>
        <w:rPr>
          <w:color w:val="0000FF"/>
          <w:lang w:val="fr-FR"/>
        </w:rPr>
        <w:t>Address</w:t>
      </w:r>
      <w:proofErr w:type="spellEnd"/>
      <w:r>
        <w:rPr>
          <w:color w:val="0000FF"/>
          <w:lang w:val="fr-FR"/>
        </w:rPr>
        <w:t>:</w:t>
      </w:r>
      <w:proofErr w:type="gramEnd"/>
      <w:r>
        <w:rPr>
          <w:bCs/>
          <w:color w:val="0000FF"/>
          <w:lang w:val="fr-FR"/>
        </w:rPr>
        <w:tab/>
      </w:r>
      <w:proofErr w:type="spellStart"/>
      <w:r>
        <w:rPr>
          <w:bCs/>
          <w:color w:val="0000FF"/>
          <w:lang w:val="fr-FR"/>
        </w:rPr>
        <w:t>pierre.courbon</w:t>
      </w:r>
      <w:proofErr w:type="spellEnd"/>
      <w:r>
        <w:rPr>
          <w:bCs/>
          <w:color w:val="0000FF"/>
          <w:lang w:val="fr-FR"/>
        </w:rPr>
        <w:t>[@]finances.gouv.fr</w:t>
      </w:r>
    </w:p>
    <w:p>
      <w:pPr>
        <w:spacing w:after="60"/>
        <w:ind w:left="1985" w:hanging="1985"/>
        <w:rPr>
          <w:rFonts w:ascii="Arial" w:hAnsi="Arial" w:cs="Arial"/>
          <w:b/>
          <w:bCs/>
          <w:sz w:val="20"/>
        </w:rPr>
      </w:pPr>
      <w:r>
        <w:rPr>
          <w:rFonts w:ascii="Arial" w:hAnsi="Arial" w:cs="Arial"/>
          <w:b/>
          <w:bCs/>
          <w:sz w:val="20"/>
        </w:rPr>
        <w:tab/>
      </w:r>
    </w:p>
    <w:p>
      <w:pPr>
        <w:spacing w:after="60"/>
        <w:ind w:left="1985" w:hanging="1985"/>
        <w:rPr>
          <w:rFonts w:ascii="Arial" w:hAnsi="Arial" w:cs="Arial"/>
          <w:b/>
          <w:sz w:val="20"/>
          <w:lang w:val="en-US"/>
        </w:rPr>
      </w:pPr>
      <w:r>
        <w:rPr>
          <w:rFonts w:ascii="Arial" w:hAnsi="Arial" w:cs="Arial"/>
          <w:b/>
          <w:sz w:val="20"/>
          <w:lang w:val="en-US"/>
        </w:rPr>
        <w:t>Send any reply LS to:</w:t>
      </w:r>
      <w:r>
        <w:rPr>
          <w:rFonts w:ascii="Arial" w:hAnsi="Arial" w:cs="Arial"/>
          <w:b/>
          <w:sz w:val="20"/>
          <w:lang w:val="en-US"/>
        </w:rPr>
        <w:tab/>
        <w:t xml:space="preserve">3GPP Liaisons Coordinator, </w:t>
      </w:r>
      <w:hyperlink r:id="rId8" w:history="1">
        <w:r>
          <w:rPr>
            <w:rStyle w:val="Lienhypertexte"/>
            <w:rFonts w:ascii="Arial" w:hAnsi="Arial" w:cs="Arial"/>
            <w:b/>
            <w:sz w:val="20"/>
            <w:lang w:val="en-US"/>
          </w:rPr>
          <w:t>mailto:3GPPLiaison@etsi.org</w:t>
        </w:r>
      </w:hyperlink>
    </w:p>
    <w:p>
      <w:pPr>
        <w:spacing w:after="60"/>
        <w:ind w:left="1985" w:hanging="1985"/>
        <w:rPr>
          <w:rFonts w:ascii="Arial" w:hAnsi="Arial" w:cs="Arial"/>
          <w:b/>
          <w:sz w:val="20"/>
          <w:lang w:val="en-US"/>
        </w:rPr>
      </w:pPr>
    </w:p>
    <w:p>
      <w:pPr>
        <w:spacing w:after="60"/>
        <w:ind w:left="1985" w:hanging="1985"/>
        <w:rPr>
          <w:rFonts w:ascii="Arial" w:hAnsi="Arial" w:cs="Arial"/>
          <w:bCs/>
          <w:sz w:val="20"/>
        </w:rPr>
      </w:pPr>
      <w:proofErr w:type="spellStart"/>
      <w:proofErr w:type="gramStart"/>
      <w:r>
        <w:rPr>
          <w:rFonts w:ascii="Arial" w:hAnsi="Arial" w:cs="Arial"/>
          <w:b/>
          <w:sz w:val="20"/>
        </w:rPr>
        <w:t>Attachments</w:t>
      </w:r>
      <w:proofErr w:type="spellEnd"/>
      <w:r>
        <w:rPr>
          <w:rFonts w:ascii="Arial" w:hAnsi="Arial" w:cs="Arial"/>
          <w:b/>
          <w:sz w:val="20"/>
        </w:rPr>
        <w:t>:</w:t>
      </w:r>
      <w:proofErr w:type="gramEnd"/>
      <w:r>
        <w:rPr>
          <w:rFonts w:ascii="Arial" w:hAnsi="Arial" w:cs="Arial"/>
          <w:bCs/>
          <w:sz w:val="20"/>
        </w:rPr>
        <w:tab/>
        <w:t>None</w:t>
      </w:r>
    </w:p>
    <w:p>
      <w:pPr>
        <w:pStyle w:val="Titre1"/>
        <w:numPr>
          <w:ilvl w:val="0"/>
          <w:numId w:val="5"/>
        </w:numPr>
        <w:spacing w:after="0"/>
        <w:ind w:left="993" w:hanging="993"/>
        <w:rPr>
          <w:rFonts w:ascii="Arial" w:hAnsi="Arial" w:cs="Arial"/>
          <w:b w:val="0"/>
          <w:sz w:val="36"/>
          <w:szCs w:val="36"/>
          <w:lang w:val="en-US"/>
        </w:rPr>
      </w:pPr>
      <w:r>
        <w:rPr>
          <w:rFonts w:ascii="Arial" w:hAnsi="Arial" w:cs="Arial"/>
          <w:b w:val="0"/>
          <w:sz w:val="36"/>
          <w:szCs w:val="36"/>
          <w:lang w:val="en-US"/>
        </w:rPr>
        <w:t>Overall description</w:t>
      </w:r>
    </w:p>
    <w:p>
      <w:pPr>
        <w:tabs>
          <w:tab w:val="left" w:pos="5103"/>
        </w:tabs>
        <w:spacing w:after="120"/>
        <w:rPr>
          <w:rStyle w:val="IvDbodytextChar"/>
          <w:sz w:val="20"/>
          <w:lang w:val="en-US"/>
        </w:rPr>
      </w:pPr>
      <w:r>
        <w:rPr>
          <w:rStyle w:val="IvDbodytextChar"/>
          <w:sz w:val="20"/>
          <w:lang w:val="en-US"/>
        </w:rPr>
        <w:t>SA3-LI understands that GSMA is specifying use of end-to-end encryption (E2EE) for a carrier grade solution(s) in its Rich Communication Services (RCS), that may have to take LI regulations into account. SA3-LI requests support from GSMA to enhance 3GPP SA3-LI specifications.</w:t>
      </w:r>
    </w:p>
    <w:p>
      <w:pPr>
        <w:tabs>
          <w:tab w:val="left" w:pos="5103"/>
        </w:tabs>
        <w:spacing w:after="120"/>
        <w:rPr>
          <w:rStyle w:val="IvDbodytextChar"/>
          <w:sz w:val="20"/>
          <w:lang w:val="en-US"/>
        </w:rPr>
      </w:pPr>
    </w:p>
    <w:p>
      <w:pPr>
        <w:tabs>
          <w:tab w:val="left" w:pos="5103"/>
        </w:tabs>
        <w:spacing w:after="120"/>
        <w:rPr>
          <w:rStyle w:val="IvDbodytextChar"/>
          <w:sz w:val="20"/>
          <w:lang w:val="en-US"/>
        </w:rPr>
      </w:pPr>
      <w:r>
        <w:rPr>
          <w:rStyle w:val="IvDbodytextChar"/>
          <w:sz w:val="20"/>
          <w:lang w:val="en-US"/>
        </w:rPr>
        <w:t>The main requirements on LI related to encryption are in 3GPP TS 33.126:</w:t>
      </w:r>
    </w:p>
    <w:p>
      <w:pPr>
        <w:pStyle w:val="Paragraphedeliste"/>
        <w:numPr>
          <w:ilvl w:val="0"/>
          <w:numId w:val="18"/>
        </w:numPr>
        <w:tabs>
          <w:tab w:val="left" w:pos="1134"/>
        </w:tabs>
        <w:ind w:firstLineChars="0"/>
        <w:rPr>
          <w:lang w:val="en-US"/>
        </w:rPr>
      </w:pPr>
      <w:r>
        <w:rPr>
          <w:b/>
          <w:lang w:val="en-US"/>
        </w:rPr>
        <w:t>R6.4 - 160</w:t>
      </w:r>
      <w:r>
        <w:rPr>
          <w:b/>
          <w:lang w:val="en-US"/>
        </w:rPr>
        <w:tab/>
        <w:t xml:space="preserve">Encryption - </w:t>
      </w:r>
      <w:r>
        <w:rPr>
          <w:lang w:val="en-US"/>
        </w:rPr>
        <w:t>The CSP shall remove any encryption it provides or manages before delivery of the Interception Product to the LEA, or shall provide the LEA the information necessary to decrypt the intercepted communications (</w:t>
      </w:r>
      <w:proofErr w:type="gramStart"/>
      <w:r>
        <w:rPr>
          <w:lang w:val="en-US"/>
        </w:rPr>
        <w:t>e.g.</w:t>
      </w:r>
      <w:proofErr w:type="gramEnd"/>
      <w:r>
        <w:rPr>
          <w:lang w:val="en-US"/>
        </w:rPr>
        <w:t xml:space="preserve"> keys, algorithms, parameters) included with the Interception Product.</w:t>
      </w:r>
    </w:p>
    <w:p>
      <w:pPr>
        <w:pStyle w:val="Paragraphedeliste"/>
        <w:numPr>
          <w:ilvl w:val="0"/>
          <w:numId w:val="18"/>
        </w:numPr>
        <w:tabs>
          <w:tab w:val="left" w:pos="1134"/>
        </w:tabs>
        <w:ind w:firstLineChars="0"/>
        <w:rPr>
          <w:lang w:val="en-US"/>
        </w:rPr>
      </w:pPr>
      <w:r>
        <w:rPr>
          <w:b/>
          <w:lang w:val="en-US"/>
        </w:rPr>
        <w:t>R6.4 - 170</w:t>
      </w:r>
      <w:r>
        <w:rPr>
          <w:b/>
          <w:lang w:val="en-US"/>
        </w:rPr>
        <w:tab/>
        <w:t xml:space="preserve">CSP provided Encryption Keys - </w:t>
      </w:r>
      <w:r>
        <w:rPr>
          <w:lang w:val="en-US"/>
        </w:rPr>
        <w:t>If the CSP provides encryption keys to the target, but is not involved in the encryption service, the CSP shall provide the keys to the LEA.</w:t>
      </w:r>
    </w:p>
    <w:p>
      <w:pPr>
        <w:pStyle w:val="Paragraphedeliste"/>
        <w:numPr>
          <w:ilvl w:val="0"/>
          <w:numId w:val="18"/>
        </w:numPr>
        <w:tabs>
          <w:tab w:val="left" w:pos="1134"/>
        </w:tabs>
        <w:ind w:firstLineChars="0"/>
        <w:rPr>
          <w:lang w:val="en-US"/>
        </w:rPr>
      </w:pPr>
      <w:r>
        <w:rPr>
          <w:b/>
          <w:lang w:val="en-US"/>
        </w:rPr>
        <w:t>R6.4 - 175</w:t>
      </w:r>
      <w:r>
        <w:rPr>
          <w:lang w:val="en-US"/>
        </w:rPr>
        <w:tab/>
      </w:r>
      <w:r>
        <w:rPr>
          <w:b/>
          <w:lang w:val="en-US"/>
        </w:rPr>
        <w:t xml:space="preserve">CSP provided cryptographic parameters in roaming </w:t>
      </w:r>
      <w:r>
        <w:rPr>
          <w:lang w:val="en-US"/>
        </w:rPr>
        <w:t>- When a home CSP’s subscriber is roaming, independently of whether or not the subscriber is an LI Target in the VPLMN, the home CSP shall provide to the visited CSP the means to decrypt user services which are encrypted between the ME and an entity outside the visited CSP and using cryptographic parameters established in the home CSP.</w:t>
      </w:r>
    </w:p>
    <w:p>
      <w:pPr>
        <w:pStyle w:val="Paragraphedeliste"/>
        <w:numPr>
          <w:ilvl w:val="0"/>
          <w:numId w:val="18"/>
        </w:numPr>
        <w:tabs>
          <w:tab w:val="left" w:pos="1134"/>
        </w:tabs>
        <w:ind w:firstLineChars="0"/>
        <w:rPr>
          <w:lang w:val="en-US"/>
        </w:rPr>
      </w:pPr>
      <w:r>
        <w:rPr>
          <w:b/>
          <w:lang w:val="en-US"/>
        </w:rPr>
        <w:t>R6.4 - 180</w:t>
      </w:r>
      <w:r>
        <w:rPr>
          <w:b/>
          <w:lang w:val="en-US"/>
        </w:rPr>
        <w:tab/>
        <w:t xml:space="preserve">Retroactive Decryption - </w:t>
      </w:r>
      <w:r>
        <w:rPr>
          <w:lang w:val="en-US"/>
        </w:rPr>
        <w:t>The CSP shall ensure that the crypto keys, algorithm and parameters delivered to the LEA enable the LEA to decrypt encrypted Target Communications retroactively.</w:t>
      </w:r>
    </w:p>
    <w:p>
      <w:pPr>
        <w:pStyle w:val="Paragraphedeliste"/>
        <w:numPr>
          <w:ilvl w:val="0"/>
          <w:numId w:val="18"/>
        </w:numPr>
        <w:tabs>
          <w:tab w:val="left" w:pos="1134"/>
        </w:tabs>
        <w:ind w:firstLineChars="0"/>
        <w:rPr>
          <w:lang w:val="en-US"/>
        </w:rPr>
      </w:pPr>
      <w:r>
        <w:rPr>
          <w:b/>
          <w:lang w:val="en-US"/>
        </w:rPr>
        <w:t>R6.4 - 190</w:t>
      </w:r>
      <w:r>
        <w:rPr>
          <w:b/>
          <w:lang w:val="en-US"/>
        </w:rPr>
        <w:tab/>
        <w:t xml:space="preserve">Mid Communication Interception - </w:t>
      </w:r>
      <w:r>
        <w:rPr>
          <w:lang w:val="en-US"/>
        </w:rPr>
        <w:t>The CSP shall retain sufficient key material for the duration of any communications such that it is possible to decrypt already ongoing communications, when using CSP provided or managed encryption.</w:t>
      </w:r>
    </w:p>
    <w:p>
      <w:pPr>
        <w:pStyle w:val="Paragraphedeliste"/>
        <w:numPr>
          <w:ilvl w:val="0"/>
          <w:numId w:val="18"/>
        </w:numPr>
        <w:tabs>
          <w:tab w:val="left" w:pos="1134"/>
        </w:tabs>
        <w:ind w:firstLineChars="0"/>
        <w:rPr>
          <w:rStyle w:val="IvDbodytextChar"/>
          <w:rFonts w:asciiTheme="minorHAnsi" w:hAnsiTheme="minorHAnsi" w:cstheme="minorBidi"/>
          <w:spacing w:val="0"/>
          <w:lang w:val="en-US"/>
        </w:rPr>
      </w:pPr>
      <w:r>
        <w:rPr>
          <w:b/>
          <w:lang w:val="en-US"/>
        </w:rPr>
        <w:lastRenderedPageBreak/>
        <w:t>R6.4 - 200</w:t>
      </w:r>
      <w:r>
        <w:rPr>
          <w:b/>
          <w:lang w:val="en-US"/>
        </w:rPr>
        <w:tab/>
        <w:t xml:space="preserve">Encryption Key Material Lifecycle Destruction </w:t>
      </w:r>
      <w:r>
        <w:rPr>
          <w:lang w:val="en-US"/>
        </w:rPr>
        <w:t>- Once key material specifically retained for LI purposes is no longer required, the CSP shall securely delete this key material.</w:t>
      </w:r>
    </w:p>
    <w:p>
      <w:pPr>
        <w:tabs>
          <w:tab w:val="left" w:pos="5103"/>
        </w:tabs>
        <w:spacing w:after="120"/>
        <w:rPr>
          <w:rStyle w:val="IvDbodytextChar"/>
          <w:sz w:val="20"/>
          <w:lang w:val="en-US"/>
        </w:rPr>
      </w:pPr>
    </w:p>
    <w:p>
      <w:pPr>
        <w:tabs>
          <w:tab w:val="left" w:pos="5103"/>
        </w:tabs>
        <w:spacing w:after="120"/>
        <w:rPr>
          <w:rStyle w:val="IvDbodytextChar"/>
          <w:sz w:val="20"/>
          <w:lang w:val="en-US"/>
        </w:rPr>
      </w:pPr>
      <w:r>
        <w:rPr>
          <w:rStyle w:val="IvDbodytextChar"/>
          <w:sz w:val="20"/>
          <w:lang w:val="en-US"/>
        </w:rPr>
        <w:t xml:space="preserve">SA3-LI is kindly requesting GSMA to confirm how LI requirements above can be met when E2EE with the highest-level security is used on any communications. </w:t>
      </w:r>
    </w:p>
    <w:p>
      <w:pPr>
        <w:tabs>
          <w:tab w:val="left" w:pos="5103"/>
        </w:tabs>
        <w:spacing w:after="120"/>
        <w:rPr>
          <w:rFonts w:ascii="Arial" w:hAnsi="Arial" w:cs="Arial"/>
          <w:sz w:val="36"/>
          <w:szCs w:val="36"/>
          <w:lang w:val="en-US"/>
        </w:rPr>
      </w:pPr>
    </w:p>
    <w:p>
      <w:pPr>
        <w:tabs>
          <w:tab w:val="left" w:pos="5103"/>
        </w:tabs>
        <w:spacing w:after="120"/>
        <w:rPr>
          <w:b/>
          <w:sz w:val="36"/>
          <w:szCs w:val="36"/>
          <w:lang w:val="en-US"/>
        </w:rPr>
      </w:pPr>
      <w:r>
        <w:rPr>
          <w:rFonts w:ascii="Arial" w:hAnsi="Arial" w:cs="Arial"/>
          <w:sz w:val="36"/>
          <w:szCs w:val="36"/>
          <w:lang w:val="en-US"/>
        </w:rPr>
        <w:t>Actions</w:t>
      </w:r>
    </w:p>
    <w:p>
      <w:pPr>
        <w:spacing w:after="120"/>
        <w:ind w:left="1985" w:hanging="1985"/>
        <w:rPr>
          <w:rFonts w:ascii="Arial" w:hAnsi="Arial" w:cs="Arial"/>
          <w:b/>
          <w:sz w:val="20"/>
          <w:lang w:val="en-US"/>
        </w:rPr>
      </w:pPr>
      <w:r>
        <w:rPr>
          <w:rFonts w:ascii="Arial" w:hAnsi="Arial" w:cs="Arial"/>
          <w:b/>
          <w:sz w:val="20"/>
          <w:lang w:val="en-US"/>
        </w:rPr>
        <w:t xml:space="preserve">To </w:t>
      </w:r>
      <w:r>
        <w:rPr>
          <w:rFonts w:ascii="Arial" w:eastAsia="SimSun" w:hAnsi="Arial" w:cs="Arial"/>
          <w:b/>
          <w:sz w:val="20"/>
          <w:lang w:val="en-US"/>
        </w:rPr>
        <w:t>GSMA</w:t>
      </w:r>
      <w:r>
        <w:rPr>
          <w:rFonts w:ascii="Arial" w:hAnsi="Arial" w:cs="Arial"/>
          <w:b/>
          <w:sz w:val="20"/>
          <w:lang w:val="en-US"/>
        </w:rPr>
        <w:t>:</w:t>
      </w:r>
    </w:p>
    <w:p>
      <w:pPr>
        <w:spacing w:after="120"/>
        <w:ind w:left="993" w:hanging="993"/>
        <w:rPr>
          <w:rStyle w:val="IvDbodytextChar"/>
          <w:rFonts w:ascii="Times New Roman" w:hAnsi="Times New Roman" w:cs="Times New Roman"/>
          <w:sz w:val="20"/>
          <w:lang w:val="en-US"/>
        </w:rPr>
      </w:pPr>
      <w:r>
        <w:rPr>
          <w:rFonts w:ascii="Arial" w:hAnsi="Arial" w:cs="Arial"/>
          <w:b/>
          <w:sz w:val="20"/>
          <w:lang w:val="en-US"/>
        </w:rPr>
        <w:t>ACTION:</w:t>
      </w:r>
      <w:r>
        <w:rPr>
          <w:sz w:val="20"/>
          <w:lang w:val="en-US"/>
        </w:rPr>
        <w:t xml:space="preserve"> </w:t>
      </w:r>
      <w:r>
        <w:rPr>
          <w:sz w:val="20"/>
          <w:lang w:val="en-US"/>
        </w:rPr>
        <w:tab/>
      </w:r>
      <w:r>
        <w:rPr>
          <w:rFonts w:ascii="Arial" w:eastAsia="DengXian" w:hAnsi="Arial" w:cs="Arial"/>
          <w:szCs w:val="20"/>
          <w:lang w:val="en-US" w:eastAsia="en-GB"/>
        </w:rPr>
        <w:t>SA3-LI kindly requests GSMA to liaise on LI requirements related to its E2EE in RCS (future specification) and to inform SA3-LI on related developments.</w:t>
      </w:r>
    </w:p>
    <w:p>
      <w:pPr>
        <w:spacing w:after="120"/>
        <w:rPr>
          <w:rStyle w:val="IvDbodytextChar"/>
          <w:rFonts w:eastAsia="Calibri" w:cs="Calibri"/>
          <w:sz w:val="20"/>
          <w:lang w:val="en-US"/>
        </w:rPr>
      </w:pPr>
    </w:p>
    <w:p>
      <w:pPr>
        <w:pStyle w:val="Titre1"/>
        <w:spacing w:after="0"/>
        <w:rPr>
          <w:rFonts w:ascii="Arial" w:hAnsi="Arial" w:cs="Arial"/>
          <w:b w:val="0"/>
          <w:sz w:val="36"/>
          <w:szCs w:val="36"/>
          <w:lang w:val="en-US"/>
        </w:rPr>
      </w:pPr>
      <w:r>
        <w:rPr>
          <w:rFonts w:ascii="Arial" w:hAnsi="Arial" w:cs="Arial"/>
          <w:b w:val="0"/>
          <w:sz w:val="36"/>
          <w:szCs w:val="36"/>
          <w:lang w:val="en-US"/>
        </w:rPr>
        <w:t>3</w:t>
      </w:r>
      <w:r>
        <w:rPr>
          <w:rFonts w:ascii="Arial" w:hAnsi="Arial" w:cs="Arial"/>
          <w:b w:val="0"/>
          <w:sz w:val="36"/>
          <w:szCs w:val="36"/>
          <w:lang w:val="en-US"/>
        </w:rPr>
        <w:tab/>
        <w:t>Dates of next SA3-LI meetings</w:t>
      </w:r>
    </w:p>
    <w:p>
      <w:pPr>
        <w:rPr>
          <w:rFonts w:ascii="Arial" w:eastAsia="DengXian" w:hAnsi="Arial" w:cs="Arial"/>
          <w:szCs w:val="20"/>
          <w:lang w:val="en-US" w:eastAsia="en-GB"/>
        </w:rPr>
      </w:pPr>
      <w:r>
        <w:rPr>
          <w:rFonts w:ascii="Arial" w:eastAsia="DengXian" w:hAnsi="Arial" w:cs="Arial"/>
          <w:szCs w:val="20"/>
          <w:lang w:val="en-US" w:eastAsia="en-GB"/>
        </w:rPr>
        <w:t>SA3#96-LI</w:t>
      </w:r>
      <w:r>
        <w:rPr>
          <w:rFonts w:ascii="Arial" w:eastAsia="DengXian" w:hAnsi="Arial" w:cs="Arial"/>
          <w:szCs w:val="20"/>
          <w:lang w:val="en-US" w:eastAsia="en-GB"/>
        </w:rPr>
        <w:tab/>
        <w:t>28 – 31 January 2025</w:t>
      </w:r>
      <w:r>
        <w:rPr>
          <w:rFonts w:ascii="Arial" w:eastAsia="DengXian" w:hAnsi="Arial" w:cs="Arial"/>
          <w:szCs w:val="20"/>
          <w:lang w:val="en-US" w:eastAsia="en-GB"/>
        </w:rPr>
        <w:tab/>
      </w:r>
      <w:r>
        <w:rPr>
          <w:rFonts w:ascii="Arial" w:eastAsia="DengXian" w:hAnsi="Arial" w:cs="Arial"/>
          <w:szCs w:val="20"/>
          <w:lang w:val="en-US" w:eastAsia="en-GB"/>
        </w:rPr>
        <w:tab/>
      </w:r>
      <w:r>
        <w:rPr>
          <w:rFonts w:ascii="Arial" w:eastAsia="DengXian" w:hAnsi="Arial" w:cs="Arial"/>
          <w:szCs w:val="20"/>
          <w:lang w:val="en-US" w:eastAsia="en-GB"/>
        </w:rPr>
        <w:tab/>
        <w:t>Sophia Antipolis, France</w:t>
      </w:r>
    </w:p>
    <w:p>
      <w:pPr>
        <w:rPr>
          <w:rFonts w:ascii="Arial" w:eastAsia="DengXian" w:hAnsi="Arial" w:cs="Arial"/>
          <w:szCs w:val="20"/>
          <w:lang w:val="en-US" w:eastAsia="en-GB"/>
        </w:rPr>
      </w:pPr>
      <w:r>
        <w:rPr>
          <w:rFonts w:ascii="Arial" w:eastAsia="DengXian" w:hAnsi="Arial" w:cs="Arial"/>
          <w:szCs w:val="20"/>
          <w:lang w:val="en-US" w:eastAsia="en-GB"/>
        </w:rPr>
        <w:t>SA3#97-LI</w:t>
      </w:r>
      <w:r>
        <w:rPr>
          <w:rFonts w:ascii="Arial" w:eastAsia="DengXian" w:hAnsi="Arial" w:cs="Arial"/>
          <w:szCs w:val="20"/>
          <w:lang w:val="en-US" w:eastAsia="en-GB"/>
        </w:rPr>
        <w:tab/>
        <w:t xml:space="preserve">29 Apr – 02 May 2025 </w:t>
      </w:r>
      <w:r>
        <w:rPr>
          <w:rFonts w:ascii="Arial" w:eastAsia="DengXian" w:hAnsi="Arial" w:cs="Arial"/>
          <w:szCs w:val="20"/>
          <w:lang w:val="en-US" w:eastAsia="en-GB"/>
        </w:rPr>
        <w:tab/>
      </w:r>
      <w:r>
        <w:rPr>
          <w:rFonts w:ascii="Arial" w:eastAsia="DengXian" w:hAnsi="Arial" w:cs="Arial"/>
          <w:szCs w:val="20"/>
          <w:lang w:val="en-US" w:eastAsia="en-GB"/>
        </w:rPr>
        <w:tab/>
        <w:t>Washington DC, US</w:t>
      </w:r>
    </w:p>
    <w:sectPr>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3479"/>
    <w:multiLevelType w:val="hybridMultilevel"/>
    <w:tmpl w:val="EB469D66"/>
    <w:lvl w:ilvl="0" w:tplc="5694E668">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44EC7"/>
    <w:multiLevelType w:val="hybridMultilevel"/>
    <w:tmpl w:val="DB420F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471E7F"/>
    <w:multiLevelType w:val="multilevel"/>
    <w:tmpl w:val="14471E7F"/>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B766BB"/>
    <w:multiLevelType w:val="hybridMultilevel"/>
    <w:tmpl w:val="60FAD26A"/>
    <w:lvl w:ilvl="0" w:tplc="96AE25CC">
      <w:start w:val="1"/>
      <w:numFmt w:val="bullet"/>
      <w:suff w:val="space"/>
      <w:lvlText w:val=""/>
      <w:lvlJc w:val="left"/>
      <w:pPr>
        <w:ind w:left="284" w:firstLine="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31157"/>
    <w:multiLevelType w:val="hybridMultilevel"/>
    <w:tmpl w:val="F5BA7C6E"/>
    <w:lvl w:ilvl="0" w:tplc="04090001">
      <w:start w:val="1"/>
      <w:numFmt w:val="bullet"/>
      <w:lvlText w:val=""/>
      <w:lvlJc w:val="left"/>
      <w:pPr>
        <w:ind w:left="1294" w:hanging="360"/>
      </w:pPr>
      <w:rPr>
        <w:rFonts w:ascii="Symbol" w:hAnsi="Symbol" w:hint="default"/>
      </w:rPr>
    </w:lvl>
    <w:lvl w:ilvl="1" w:tplc="04090003" w:tentative="1">
      <w:start w:val="1"/>
      <w:numFmt w:val="bullet"/>
      <w:lvlText w:val="o"/>
      <w:lvlJc w:val="left"/>
      <w:pPr>
        <w:ind w:left="2014" w:hanging="360"/>
      </w:pPr>
      <w:rPr>
        <w:rFonts w:ascii="Courier New" w:hAnsi="Courier New" w:cs="Courier New" w:hint="default"/>
      </w:rPr>
    </w:lvl>
    <w:lvl w:ilvl="2" w:tplc="04090005" w:tentative="1">
      <w:start w:val="1"/>
      <w:numFmt w:val="bullet"/>
      <w:lvlText w:val=""/>
      <w:lvlJc w:val="left"/>
      <w:pPr>
        <w:ind w:left="2734" w:hanging="360"/>
      </w:pPr>
      <w:rPr>
        <w:rFonts w:ascii="Wingdings" w:hAnsi="Wingdings" w:hint="default"/>
      </w:rPr>
    </w:lvl>
    <w:lvl w:ilvl="3" w:tplc="04090001" w:tentative="1">
      <w:start w:val="1"/>
      <w:numFmt w:val="bullet"/>
      <w:lvlText w:val=""/>
      <w:lvlJc w:val="left"/>
      <w:pPr>
        <w:ind w:left="3454" w:hanging="360"/>
      </w:pPr>
      <w:rPr>
        <w:rFonts w:ascii="Symbol" w:hAnsi="Symbol" w:hint="default"/>
      </w:rPr>
    </w:lvl>
    <w:lvl w:ilvl="4" w:tplc="04090003" w:tentative="1">
      <w:start w:val="1"/>
      <w:numFmt w:val="bullet"/>
      <w:lvlText w:val="o"/>
      <w:lvlJc w:val="left"/>
      <w:pPr>
        <w:ind w:left="4174" w:hanging="360"/>
      </w:pPr>
      <w:rPr>
        <w:rFonts w:ascii="Courier New" w:hAnsi="Courier New" w:cs="Courier New" w:hint="default"/>
      </w:rPr>
    </w:lvl>
    <w:lvl w:ilvl="5" w:tplc="04090005" w:tentative="1">
      <w:start w:val="1"/>
      <w:numFmt w:val="bullet"/>
      <w:lvlText w:val=""/>
      <w:lvlJc w:val="left"/>
      <w:pPr>
        <w:ind w:left="4894" w:hanging="360"/>
      </w:pPr>
      <w:rPr>
        <w:rFonts w:ascii="Wingdings" w:hAnsi="Wingdings" w:hint="default"/>
      </w:rPr>
    </w:lvl>
    <w:lvl w:ilvl="6" w:tplc="04090001" w:tentative="1">
      <w:start w:val="1"/>
      <w:numFmt w:val="bullet"/>
      <w:lvlText w:val=""/>
      <w:lvlJc w:val="left"/>
      <w:pPr>
        <w:ind w:left="5614" w:hanging="360"/>
      </w:pPr>
      <w:rPr>
        <w:rFonts w:ascii="Symbol" w:hAnsi="Symbol" w:hint="default"/>
      </w:rPr>
    </w:lvl>
    <w:lvl w:ilvl="7" w:tplc="04090003" w:tentative="1">
      <w:start w:val="1"/>
      <w:numFmt w:val="bullet"/>
      <w:lvlText w:val="o"/>
      <w:lvlJc w:val="left"/>
      <w:pPr>
        <w:ind w:left="6334" w:hanging="360"/>
      </w:pPr>
      <w:rPr>
        <w:rFonts w:ascii="Courier New" w:hAnsi="Courier New" w:cs="Courier New" w:hint="default"/>
      </w:rPr>
    </w:lvl>
    <w:lvl w:ilvl="8" w:tplc="04090005" w:tentative="1">
      <w:start w:val="1"/>
      <w:numFmt w:val="bullet"/>
      <w:lvlText w:val=""/>
      <w:lvlJc w:val="left"/>
      <w:pPr>
        <w:ind w:left="7054" w:hanging="360"/>
      </w:pPr>
      <w:rPr>
        <w:rFonts w:ascii="Wingdings" w:hAnsi="Wingdings" w:hint="default"/>
      </w:rPr>
    </w:lvl>
  </w:abstractNum>
  <w:abstractNum w:abstractNumId="5"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6" w15:restartNumberingAfterBreak="0">
    <w:nsid w:val="37FD3517"/>
    <w:multiLevelType w:val="hybridMultilevel"/>
    <w:tmpl w:val="BE9C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026C1B"/>
    <w:multiLevelType w:val="hybridMultilevel"/>
    <w:tmpl w:val="3CA4C5DE"/>
    <w:lvl w:ilvl="0" w:tplc="04090001">
      <w:start w:val="1"/>
      <w:numFmt w:val="bullet"/>
      <w:lvlText w:val=""/>
      <w:lvlJc w:val="left"/>
      <w:pPr>
        <w:ind w:left="741" w:hanging="360"/>
      </w:pPr>
      <w:rPr>
        <w:rFonts w:ascii="Symbol" w:hAnsi="Symbol"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8" w15:restartNumberingAfterBreak="0">
    <w:nsid w:val="402630F2"/>
    <w:multiLevelType w:val="hybridMultilevel"/>
    <w:tmpl w:val="C54A34CC"/>
    <w:lvl w:ilvl="0" w:tplc="0C881012">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10" w15:restartNumberingAfterBreak="0">
    <w:nsid w:val="4BFA743F"/>
    <w:multiLevelType w:val="hybridMultilevel"/>
    <w:tmpl w:val="2814D0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5B9C2895"/>
    <w:multiLevelType w:val="hybridMultilevel"/>
    <w:tmpl w:val="FEF46856"/>
    <w:lvl w:ilvl="0" w:tplc="25D47C4C">
      <w:start w:val="4"/>
      <w:numFmt w:val="bullet"/>
      <w:suff w:val="space"/>
      <w:lvlText w:val="-"/>
      <w:lvlJc w:val="left"/>
      <w:pPr>
        <w:ind w:left="72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1C56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5" w15:restartNumberingAfterBreak="0">
    <w:nsid w:val="6A911344"/>
    <w:multiLevelType w:val="hybridMultilevel"/>
    <w:tmpl w:val="BB564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48611F0"/>
    <w:multiLevelType w:val="hybridMultilevel"/>
    <w:tmpl w:val="3E56E7FE"/>
    <w:lvl w:ilvl="0" w:tplc="0C881012">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826939"/>
    <w:multiLevelType w:val="hybridMultilevel"/>
    <w:tmpl w:val="913E98A0"/>
    <w:lvl w:ilvl="0" w:tplc="0C88101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1"/>
  </w:num>
  <w:num w:numId="4">
    <w:abstractNumId w:val="5"/>
  </w:num>
  <w:num w:numId="5">
    <w:abstractNumId w:val="2"/>
  </w:num>
  <w:num w:numId="6">
    <w:abstractNumId w:val="7"/>
  </w:num>
  <w:num w:numId="7">
    <w:abstractNumId w:val="4"/>
  </w:num>
  <w:num w:numId="8">
    <w:abstractNumId w:val="3"/>
  </w:num>
  <w:num w:numId="9">
    <w:abstractNumId w:val="6"/>
  </w:num>
  <w:num w:numId="10">
    <w:abstractNumId w:val="15"/>
  </w:num>
  <w:num w:numId="11">
    <w:abstractNumId w:val="0"/>
  </w:num>
  <w:num w:numId="12">
    <w:abstractNumId w:val="12"/>
  </w:num>
  <w:num w:numId="13">
    <w:abstractNumId w:val="16"/>
  </w:num>
  <w:num w:numId="14">
    <w:abstractNumId w:val="17"/>
  </w:num>
  <w:num w:numId="15">
    <w:abstractNumId w:val="8"/>
  </w:num>
  <w:num w:numId="16">
    <w:abstractNumId w:val="13"/>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20"/>
  <w:hyphenationZone w:val="425"/>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159B52-DA37-41D7-96B4-22B791C3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fr-FR" w:eastAsia="en-US"/>
    </w:rPr>
  </w:style>
  <w:style w:type="paragraph" w:styleId="Titre1">
    <w:name w:val="heading 1"/>
    <w:basedOn w:val="Normal"/>
    <w:next w:val="Normal"/>
    <w:link w:val="Titre1Car"/>
    <w:uiPriority w:val="9"/>
    <w:qFormat/>
    <w:pPr>
      <w:keepNext/>
      <w:keepLines/>
      <w:spacing w:before="340" w:after="330" w:line="578" w:lineRule="auto"/>
      <w:outlineLvl w:val="0"/>
    </w:pPr>
    <w:rPr>
      <w:rFonts w:eastAsia="SimSun"/>
      <w:b/>
      <w:bCs/>
      <w:kern w:val="44"/>
      <w:sz w:val="32"/>
      <w:szCs w:val="44"/>
    </w:rPr>
  </w:style>
  <w:style w:type="paragraph" w:styleId="Titre2">
    <w:name w:val="heading 2"/>
    <w:basedOn w:val="Titre1"/>
    <w:next w:val="Normal"/>
    <w:qFormat/>
    <w:pPr>
      <w:spacing w:before="180"/>
      <w:outlineLvl w:val="1"/>
    </w:p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Liste3">
    <w:name w:val="List 3"/>
    <w:basedOn w:val="Liste2"/>
    <w:semiHidden/>
    <w:qFormat/>
    <w:pPr>
      <w:ind w:left="1135"/>
    </w:pPr>
  </w:style>
  <w:style w:type="paragraph" w:styleId="Liste2">
    <w:name w:val="List 2"/>
    <w:basedOn w:val="Liste"/>
    <w:semiHidden/>
    <w:qFormat/>
    <w:pPr>
      <w:ind w:left="851"/>
    </w:pPr>
  </w:style>
  <w:style w:type="paragraph" w:styleId="Liste">
    <w:name w:val="List"/>
    <w:basedOn w:val="Normal"/>
    <w:semiHidden/>
    <w:qFormat/>
    <w:pPr>
      <w:ind w:left="568" w:hanging="284"/>
    </w:pPr>
  </w:style>
  <w:style w:type="paragraph" w:styleId="TM7">
    <w:name w:val="toc 7"/>
    <w:basedOn w:val="TM6"/>
    <w:next w:val="Normal"/>
    <w:semiHidden/>
    <w:qFormat/>
    <w:pPr>
      <w:ind w:left="2268" w:hanging="2268"/>
    </w:pPr>
  </w:style>
  <w:style w:type="paragraph" w:styleId="TM6">
    <w:name w:val="toc 6"/>
    <w:basedOn w:val="TM5"/>
    <w:next w:val="Normal"/>
    <w:semiHidden/>
    <w:qFormat/>
    <w:pPr>
      <w:ind w:left="1985" w:hanging="1985"/>
    </w:pPr>
  </w:style>
  <w:style w:type="paragraph" w:styleId="TM5">
    <w:name w:val="toc 5"/>
    <w:basedOn w:val="TM4"/>
    <w:next w:val="Normal"/>
    <w:semiHidden/>
    <w:qFormat/>
    <w:pPr>
      <w:ind w:left="1701" w:hanging="1701"/>
    </w:pPr>
  </w:style>
  <w:style w:type="paragraph" w:styleId="TM4">
    <w:name w:val="toc 4"/>
    <w:basedOn w:val="TM3"/>
    <w:next w:val="Normal"/>
    <w:semiHidden/>
    <w:qFormat/>
    <w:pPr>
      <w:ind w:left="1418" w:hanging="1418"/>
    </w:pPr>
  </w:style>
  <w:style w:type="paragraph" w:styleId="TM3">
    <w:name w:val="toc 3"/>
    <w:basedOn w:val="TM2"/>
    <w:next w:val="Normal"/>
    <w:semiHidden/>
    <w:qFormat/>
    <w:pPr>
      <w:ind w:left="1134" w:hanging="1134"/>
    </w:pPr>
  </w:style>
  <w:style w:type="paragraph" w:styleId="TM2">
    <w:name w:val="toc 2"/>
    <w:basedOn w:val="TM1"/>
    <w:next w:val="Normal"/>
    <w:semiHidden/>
    <w:qFormat/>
    <w:pPr>
      <w:keepNext w:val="0"/>
      <w:spacing w:before="0"/>
      <w:ind w:left="851" w:hanging="851"/>
    </w:pPr>
    <w:rPr>
      <w:sz w:val="20"/>
    </w:rPr>
  </w:style>
  <w:style w:type="paragraph" w:styleId="TM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enumros2">
    <w:name w:val="List Number 2"/>
    <w:basedOn w:val="Listenumros"/>
    <w:semiHidden/>
    <w:qFormat/>
    <w:pPr>
      <w:ind w:left="851"/>
    </w:pPr>
  </w:style>
  <w:style w:type="paragraph" w:styleId="Listenumros">
    <w:name w:val="List Number"/>
    <w:basedOn w:val="Liste"/>
    <w:semiHidden/>
    <w:qFormat/>
  </w:style>
  <w:style w:type="paragraph" w:styleId="Listepuces4">
    <w:name w:val="List Bullet 4"/>
    <w:basedOn w:val="Listepuces3"/>
    <w:semiHidden/>
    <w:qFormat/>
    <w:pPr>
      <w:ind w:left="1418"/>
    </w:pPr>
  </w:style>
  <w:style w:type="paragraph" w:styleId="Listepuces3">
    <w:name w:val="List Bullet 3"/>
    <w:basedOn w:val="Listepuces2"/>
    <w:semiHidden/>
    <w:qFormat/>
    <w:pPr>
      <w:ind w:left="1135"/>
    </w:pPr>
  </w:style>
  <w:style w:type="paragraph" w:styleId="Listepuces2">
    <w:name w:val="List Bullet 2"/>
    <w:basedOn w:val="Listepuces"/>
    <w:semiHidden/>
    <w:qFormat/>
    <w:pPr>
      <w:ind w:left="851"/>
    </w:pPr>
  </w:style>
  <w:style w:type="paragraph" w:styleId="Listepuces">
    <w:name w:val="List Bullet"/>
    <w:basedOn w:val="Liste"/>
    <w:semiHidden/>
    <w:qFormat/>
  </w:style>
  <w:style w:type="paragraph" w:styleId="Commentaire">
    <w:name w:val="annotation text"/>
    <w:basedOn w:val="Normal"/>
    <w:semiHidden/>
    <w:qFormat/>
    <w:pPr>
      <w:tabs>
        <w:tab w:val="left" w:pos="1418"/>
        <w:tab w:val="left" w:pos="4678"/>
        <w:tab w:val="left" w:pos="5954"/>
        <w:tab w:val="left" w:pos="7088"/>
      </w:tabs>
      <w:spacing w:after="240"/>
    </w:pPr>
    <w:rPr>
      <w:rFonts w:ascii="Arial" w:hAnsi="Arial"/>
    </w:rPr>
  </w:style>
  <w:style w:type="paragraph" w:styleId="Corpsdetexte">
    <w:name w:val="Body Text"/>
    <w:basedOn w:val="Normal"/>
    <w:semiHidden/>
    <w:qFormat/>
    <w:rPr>
      <w:rFonts w:ascii="Arial" w:hAnsi="Arial" w:cs="Arial"/>
      <w:color w:val="FF0000"/>
    </w:rPr>
  </w:style>
  <w:style w:type="paragraph" w:styleId="Listepuces5">
    <w:name w:val="List Bullet 5"/>
    <w:basedOn w:val="Listepuces4"/>
    <w:semiHidden/>
    <w:qFormat/>
    <w:pPr>
      <w:ind w:left="1702"/>
    </w:pPr>
  </w:style>
  <w:style w:type="paragraph" w:styleId="TM8">
    <w:name w:val="toc 8"/>
    <w:basedOn w:val="TM1"/>
    <w:next w:val="Normal"/>
    <w:semiHidden/>
    <w:qFormat/>
    <w:pPr>
      <w:spacing w:before="180"/>
      <w:ind w:left="2693" w:hanging="2693"/>
    </w:pPr>
    <w:rPr>
      <w:b/>
    </w:rPr>
  </w:style>
  <w:style w:type="paragraph" w:styleId="Textedebulles">
    <w:name w:val="Balloon Text"/>
    <w:basedOn w:val="Normal"/>
    <w:link w:val="TextedebullesCar"/>
    <w:uiPriority w:val="99"/>
    <w:semiHidden/>
    <w:unhideWhenUsed/>
    <w:qFormat/>
    <w:rPr>
      <w:rFonts w:ascii="Tahoma" w:hAnsi="Tahoma" w:cs="Tahoma"/>
      <w:sz w:val="16"/>
      <w:szCs w:val="16"/>
    </w:rPr>
  </w:style>
  <w:style w:type="paragraph" w:styleId="Pieddepage">
    <w:name w:val="footer"/>
    <w:basedOn w:val="En-tte"/>
    <w:semiHidden/>
    <w:qFormat/>
    <w:pPr>
      <w:jc w:val="center"/>
    </w:pPr>
    <w:rPr>
      <w:i/>
    </w:rPr>
  </w:style>
  <w:style w:type="paragraph" w:styleId="En-tte">
    <w:name w:val="header"/>
    <w:link w:val="En-tteC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Notedebasdepage">
    <w:name w:val="footnote text"/>
    <w:basedOn w:val="Normal"/>
    <w:link w:val="NotedebasdepageCar"/>
    <w:semiHidden/>
    <w:qFormat/>
    <w:pPr>
      <w:keepLines/>
      <w:ind w:left="454" w:hanging="454"/>
    </w:pPr>
    <w:rPr>
      <w:sz w:val="16"/>
    </w:rPr>
  </w:style>
  <w:style w:type="paragraph" w:styleId="Liste5">
    <w:name w:val="List 5"/>
    <w:basedOn w:val="Liste4"/>
    <w:semiHidden/>
    <w:qFormat/>
    <w:pPr>
      <w:ind w:left="1702"/>
    </w:pPr>
  </w:style>
  <w:style w:type="paragraph" w:styleId="Liste4">
    <w:name w:val="List 4"/>
    <w:basedOn w:val="Liste3"/>
    <w:semiHidden/>
    <w:qFormat/>
    <w:pPr>
      <w:ind w:left="1418"/>
    </w:pPr>
  </w:style>
  <w:style w:type="paragraph" w:styleId="TM9">
    <w:name w:val="toc 9"/>
    <w:basedOn w:val="TM8"/>
    <w:next w:val="Normal"/>
    <w:semiHidden/>
    <w:qFormat/>
    <w:pPr>
      <w:ind w:left="1418" w:hanging="1418"/>
    </w:pPr>
  </w:style>
  <w:style w:type="paragraph" w:styleId="NormalWeb">
    <w:name w:val="Normal (Web)"/>
    <w:basedOn w:val="Normal"/>
    <w:uiPriority w:val="99"/>
    <w:semiHidden/>
    <w:unhideWhenUsed/>
    <w:qFormat/>
    <w:pPr>
      <w:spacing w:beforeAutospacing="1" w:afterAutospacing="1"/>
    </w:pPr>
    <w:rPr>
      <w:rFonts w:cs="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re">
    <w:name w:val="Title"/>
    <w:basedOn w:val="Normal"/>
    <w:next w:val="Normal"/>
    <w:link w:val="TitreCar"/>
    <w:uiPriority w:val="10"/>
    <w:qFormat/>
    <w:pPr>
      <w:spacing w:before="240" w:after="60"/>
      <w:ind w:left="1701" w:hanging="1701"/>
      <w:outlineLvl w:val="0"/>
    </w:pPr>
    <w:rPr>
      <w:rFonts w:ascii="Arial" w:eastAsia="DengXian" w:hAnsi="Arial" w:cs="Arial"/>
      <w:b/>
      <w:bCs/>
      <w:kern w:val="28"/>
    </w:rPr>
  </w:style>
  <w:style w:type="character" w:styleId="Numrodepage">
    <w:name w:val="page number"/>
    <w:basedOn w:val="Policepardfaut"/>
    <w:semiHidden/>
    <w:qFormat/>
  </w:style>
  <w:style w:type="character" w:styleId="Lienhypertexte">
    <w:name w:val="Hyperlink"/>
    <w:uiPriority w:val="99"/>
    <w:unhideWhenUsed/>
    <w:qFormat/>
    <w:rPr>
      <w:color w:val="0000FF"/>
      <w:u w:val="single"/>
    </w:rPr>
  </w:style>
  <w:style w:type="character" w:styleId="Marquedecommentaire">
    <w:name w:val="annotation reference"/>
    <w:semiHidden/>
    <w:qFormat/>
    <w:rPr>
      <w:sz w:val="16"/>
    </w:rPr>
  </w:style>
  <w:style w:type="character" w:styleId="Appelnotedebasdep">
    <w:name w:val="footnote reference"/>
    <w:semiHidden/>
    <w:qFormat/>
    <w:rPr>
      <w:b/>
      <w:position w:val="6"/>
      <w:sz w:val="16"/>
    </w:rPr>
  </w:style>
  <w:style w:type="paragraph" w:customStyle="1" w:styleId="B1">
    <w:name w:val="B1"/>
    <w:basedOn w:val="Liste"/>
    <w:link w:val="B1Char"/>
    <w:qFormat/>
  </w:style>
  <w:style w:type="paragraph" w:customStyle="1" w:styleId="00BodyText">
    <w:name w:val="00 BodyText"/>
    <w:basedOn w:val="Normal"/>
    <w:qFormat/>
    <w:pPr>
      <w:spacing w:after="220"/>
    </w:pPr>
    <w:rPr>
      <w:rFonts w:ascii="Arial" w:hAnsi="Arial"/>
    </w:rPr>
  </w:style>
  <w:style w:type="paragraph" w:customStyle="1" w:styleId="a">
    <w:name w:val="??"/>
    <w:qFormat/>
    <w:pPr>
      <w:widowControl w:val="0"/>
    </w:pPr>
    <w:rPr>
      <w:rFonts w:eastAsiaTheme="minorEastAsia"/>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numPr>
        <w:numId w:val="1"/>
      </w:numPr>
      <w:spacing w:before="120" w:after="120"/>
    </w:pPr>
    <w:rPr>
      <w:rFonts w:ascii="Arial" w:hAnsi="Arial"/>
      <w:b/>
      <w:color w:val="0000FF"/>
      <w:u w:val="single"/>
    </w:rPr>
  </w:style>
  <w:style w:type="paragraph" w:customStyle="1" w:styleId="ACTION">
    <w:name w:val="ACTION"/>
    <w:basedOn w:val="Normal"/>
    <w:qFormat/>
    <w:pPr>
      <w:keepNext/>
      <w:keepLines/>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TextedebullesCar">
    <w:name w:val="Texte de bulles Car"/>
    <w:link w:val="Textedebulles"/>
    <w:uiPriority w:val="99"/>
    <w:semiHidden/>
    <w:qFormat/>
    <w:rPr>
      <w:rFonts w:ascii="Tahoma" w:hAnsi="Tahoma" w:cs="Tahoma"/>
      <w:sz w:val="16"/>
      <w:szCs w:val="16"/>
      <w:lang w:val="en-GB"/>
    </w:rPr>
  </w:style>
  <w:style w:type="character" w:customStyle="1" w:styleId="En-tteCar">
    <w:name w:val="En-tête Car"/>
    <w:link w:val="En-tte"/>
    <w:qFormat/>
    <w:rPr>
      <w:rFonts w:ascii="Arial" w:eastAsia="Times New Roman" w:hAnsi="Arial"/>
      <w:b/>
      <w:sz w:val="18"/>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T">
    <w:name w:val="TT"/>
    <w:basedOn w:val="Titre1"/>
    <w:next w:val="Normal"/>
    <w:qFormat/>
    <w:pPr>
      <w:outlineLvl w:val="9"/>
    </w:pPr>
  </w:style>
  <w:style w:type="character" w:customStyle="1" w:styleId="NotedebasdepageCar">
    <w:name w:val="Note de bas de page Car"/>
    <w:link w:val="Notedebasdepage"/>
    <w:semiHidden/>
    <w:qFormat/>
    <w:rPr>
      <w:rFonts w:eastAsia="Times New Roman"/>
      <w:sz w:val="16"/>
      <w:lang w:val="en-GB" w:eastAsia="en-GB"/>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B2">
    <w:name w:val="B2"/>
    <w:basedOn w:val="Liste2"/>
    <w:link w:val="B2Char"/>
    <w:qFormat/>
  </w:style>
  <w:style w:type="paragraph" w:customStyle="1" w:styleId="B3">
    <w:name w:val="B3"/>
    <w:basedOn w:val="Liste3"/>
    <w:qFormat/>
  </w:style>
  <w:style w:type="paragraph" w:customStyle="1" w:styleId="B4">
    <w:name w:val="B4"/>
    <w:basedOn w:val="Liste4"/>
    <w:qFormat/>
  </w:style>
  <w:style w:type="paragraph" w:customStyle="1" w:styleId="B5">
    <w:name w:val="B5"/>
    <w:basedOn w:val="Liste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styleId="Paragraphedeliste">
    <w:name w:val="List Paragraph"/>
    <w:basedOn w:val="Normal"/>
    <w:uiPriority w:val="34"/>
    <w:qFormat/>
    <w:pPr>
      <w:ind w:firstLineChars="200" w:firstLine="420"/>
    </w:pPr>
  </w:style>
  <w:style w:type="character" w:customStyle="1" w:styleId="NOChar">
    <w:name w:val="NO Char"/>
    <w:link w:val="NO"/>
    <w:qFormat/>
    <w:rPr>
      <w:rFonts w:eastAsia="Times New Roman"/>
      <w:lang w:val="en-GB" w:eastAsia="en-GB"/>
    </w:rPr>
  </w:style>
  <w:style w:type="character" w:customStyle="1" w:styleId="B1Char">
    <w:name w:val="B1 Char"/>
    <w:link w:val="B1"/>
    <w:qFormat/>
    <w:rPr>
      <w:rFonts w:eastAsia="Times New Roman"/>
      <w:lang w:val="en-GB" w:eastAsia="en-GB"/>
    </w:rPr>
  </w:style>
  <w:style w:type="character" w:customStyle="1" w:styleId="NOZchn">
    <w:name w:val="NO Zchn"/>
    <w:qFormat/>
    <w:rPr>
      <w:lang w:eastAsia="en-US"/>
    </w:rPr>
  </w:style>
  <w:style w:type="character" w:customStyle="1" w:styleId="B2Char">
    <w:name w:val="B2 Char"/>
    <w:link w:val="B2"/>
    <w:qFormat/>
    <w:rPr>
      <w:rFonts w:eastAsia="Times New Roman"/>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LChar">
    <w:name w:val="TAL Char"/>
    <w:link w:val="TAL"/>
    <w:qFormat/>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TANChar">
    <w:name w:val="TAN Char"/>
    <w:link w:val="TAN"/>
    <w:qFormat/>
    <w:rPr>
      <w:rFonts w:ascii="Arial" w:eastAsia="Times New Roman" w:hAnsi="Arial"/>
      <w:sz w:val="18"/>
      <w:lang w:val="en-GB" w:eastAsia="en-GB"/>
    </w:rPr>
  </w:style>
  <w:style w:type="character" w:customStyle="1" w:styleId="TitreCar">
    <w:name w:val="Titre Car"/>
    <w:basedOn w:val="Policepardfaut"/>
    <w:link w:val="Titre"/>
    <w:uiPriority w:val="10"/>
    <w:qFormat/>
    <w:rPr>
      <w:rFonts w:ascii="Arial" w:eastAsia="DengXian" w:hAnsi="Arial" w:cs="Arial"/>
      <w:b/>
      <w:bCs/>
      <w:kern w:val="28"/>
      <w:lang w:val="en-GB"/>
    </w:rPr>
  </w:style>
  <w:style w:type="character" w:customStyle="1" w:styleId="IvDbodytextChar">
    <w:name w:val="IvD bodytext Char"/>
    <w:link w:val="IvDbodytext"/>
    <w:qFormat/>
    <w:locked/>
    <w:rPr>
      <w:rFonts w:ascii="Arial" w:hAnsi="Arial" w:cs="Arial"/>
      <w:spacing w:val="2"/>
    </w:rPr>
  </w:style>
  <w:style w:type="paragraph" w:customStyle="1" w:styleId="IvDbodytext">
    <w:name w:val="IvD bodytext"/>
    <w:basedOn w:val="Corpsdetexte"/>
    <w:link w:val="IvDbodytextChar"/>
    <w:qFormat/>
    <w:pPr>
      <w:keepLines/>
      <w:tabs>
        <w:tab w:val="left" w:pos="2552"/>
        <w:tab w:val="left" w:pos="3856"/>
        <w:tab w:val="left" w:pos="5216"/>
        <w:tab w:val="left" w:pos="6464"/>
        <w:tab w:val="left" w:pos="7768"/>
        <w:tab w:val="left" w:pos="9072"/>
        <w:tab w:val="left" w:pos="9639"/>
      </w:tabs>
      <w:spacing w:before="240"/>
    </w:pPr>
    <w:rPr>
      <w:color w:val="auto"/>
      <w:spacing w:val="2"/>
    </w:rPr>
  </w:style>
  <w:style w:type="paragraph" w:customStyle="1" w:styleId="1">
    <w:name w:val="修订1"/>
    <w:hidden/>
    <w:uiPriority w:val="99"/>
    <w:semiHidden/>
    <w:qFormat/>
    <w:rPr>
      <w:rFonts w:eastAsiaTheme="minorEastAsia"/>
      <w:lang w:val="en-GB"/>
    </w:rPr>
  </w:style>
  <w:style w:type="character" w:customStyle="1" w:styleId="Titre1Car">
    <w:name w:val="Titre 1 Car"/>
    <w:basedOn w:val="Policepardfaut"/>
    <w:link w:val="Titre1"/>
    <w:uiPriority w:val="9"/>
    <w:rPr>
      <w:rFonts w:asciiTheme="minorHAnsi" w:hAnsiTheme="minorHAnsi" w:cstheme="minorBidi"/>
      <w:b/>
      <w:bCs/>
      <w:kern w:val="44"/>
      <w:sz w:val="32"/>
      <w:szCs w:val="44"/>
    </w:rPr>
  </w:style>
  <w:style w:type="paragraph" w:styleId="Rvision">
    <w:name w:val="Revision"/>
    <w:hidden/>
    <w:uiPriority w:val="99"/>
    <w:semiHidden/>
    <w:rPr>
      <w:rFonts w:asciiTheme="minorHAnsi" w:eastAsiaTheme="minorEastAsia" w:hAnsiTheme="minorHAnsi" w:cstheme="minorBidi"/>
      <w:kern w:val="2"/>
      <w:sz w:val="24"/>
      <w:szCs w:val="24"/>
      <w:lang w:val="en-CA"/>
      <w14:ligatures w14:val="standardContextual"/>
    </w:rPr>
  </w:style>
  <w:style w:type="character" w:customStyle="1" w:styleId="CRCoverPageZchn">
    <w:name w:val="CR Cover Page Zchn"/>
    <w:link w:val="CRCoverPage"/>
    <w:qFormat/>
    <w:locked/>
    <w:rPr>
      <w:rFonts w:ascii="Arial" w:hAnsi="Arial"/>
      <w:lang w:val="en-GB" w:eastAsia="en-US"/>
    </w:rPr>
  </w:style>
  <w:style w:type="paragraph" w:customStyle="1" w:styleId="Contact">
    <w:name w:val="Contact"/>
    <w:basedOn w:val="Titre4"/>
    <w:pPr>
      <w:keepLines w:val="0"/>
      <w:tabs>
        <w:tab w:val="left" w:pos="2268"/>
        <w:tab w:val="left" w:pos="2694"/>
      </w:tabs>
      <w:spacing w:before="0" w:after="0" w:line="240" w:lineRule="auto"/>
      <w:ind w:left="567" w:firstLine="0"/>
    </w:pPr>
    <w:rPr>
      <w:rFonts w:ascii="Arial" w:eastAsia="Times New Roman" w:hAnsi="Arial" w:cs="Arial"/>
      <w:bCs w:val="0"/>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838613">
      <w:bodyDiv w:val="1"/>
      <w:marLeft w:val="0"/>
      <w:marRight w:val="0"/>
      <w:marTop w:val="0"/>
      <w:marBottom w:val="0"/>
      <w:divBdr>
        <w:top w:val="none" w:sz="0" w:space="0" w:color="auto"/>
        <w:left w:val="none" w:sz="0" w:space="0" w:color="auto"/>
        <w:bottom w:val="none" w:sz="0" w:space="0" w:color="auto"/>
        <w:right w:val="none" w:sz="0" w:space="0" w:color="auto"/>
      </w:divBdr>
    </w:div>
    <w:div w:id="1586573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1564E-A0B6-4803-813B-2981FEA30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428</Words>
  <Characters>2357</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COURBON Pierre</cp:lastModifiedBy>
  <cp:revision>2</cp:revision>
  <cp:lastPrinted>2002-04-23T15:10:00Z</cp:lastPrinted>
  <dcterms:created xsi:type="dcterms:W3CDTF">2024-11-01T04:21:00Z</dcterms:created>
  <dcterms:modified xsi:type="dcterms:W3CDTF">2024-11-01T04:21:00Z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(3)TTEHNYRxgGL8bJX/0Bfw8gBi8RG+UHh+2v72qY8gviC/r7GXa68hYNGz/5xuWkZd4hI66E+L
hx3WQoYUcm7Gyl3bofp1rb1R2Nm0MezDCHp6Rq8yV4lC+4ZIjq6ZOKAsA0snDdBjfhqtbp29
LE12dDc/5GS8Jj6Vdt9Fq4/Wrvmv0b7JD/j7qHKllkBwRqxZIdHQHXBdPs7OhSqErVLFrgb2
ZT1pCjjKnYkTLz1rcF</vt:lpwstr>
  </property>
  <property fmtid="{D5CDD505-2E9C-101B-9397-08002B2CF9AE}" pid="3" name="_2015_ms_pID_7253431">
    <vt:lpwstr>0zPCntwRuB83mbwAu94oZXHBfEo/OzFHLaSMDDXeANZamfd9UJkDDF
hy5V8DD+00V+H4EKUFr6UaMkNNLwfHrE/Sv86RUQc4UaUANOGmS1r/k1aeXgRHLFE5oI1oVq
orQ9RpPONMM64S/3R+0H7La/pEBZuq1rVxANUNSwDddTCmoGGQfRyAR0LsySaz1xHvX+HZD8
L9mHY3Fxj8zZbllpllitQtXtNa0SQm7n+KGV</vt:lpwstr>
  </property>
  <property fmtid="{D5CDD505-2E9C-101B-9397-08002B2CF9AE}" pid="4" name="_2015_ms_pID_7253432">
    <vt:lpwstr>5Q==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1661415205</vt:lpwstr>
  </property>
  <property fmtid="{D5CDD505-2E9C-101B-9397-08002B2CF9AE}" pid="9" name="KSOProductBuildVer">
    <vt:lpwstr>2052-11.8.2.11483</vt:lpwstr>
  </property>
  <property fmtid="{D5CDD505-2E9C-101B-9397-08002B2CF9AE}" pid="10" name="ICV">
    <vt:lpwstr>5E18427454EE42D39B3F290673BA596C</vt:lpwstr>
  </property>
</Properties>
</file>