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A29814E"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90</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917632">
        <w:rPr>
          <w:b/>
          <w:noProof/>
          <w:sz w:val="24"/>
        </w:rPr>
        <w:t>367</w:t>
      </w:r>
    </w:p>
    <w:p w14:paraId="7CB45193" w14:textId="15869BC4" w:rsidR="001E41F3" w:rsidRDefault="001F7F8E" w:rsidP="005E2C44">
      <w:pPr>
        <w:pStyle w:val="CRCoverPage"/>
        <w:outlineLvl w:val="0"/>
        <w:rPr>
          <w:b/>
          <w:noProof/>
          <w:sz w:val="24"/>
        </w:rPr>
      </w:pPr>
      <w:r>
        <w:rPr>
          <w:b/>
          <w:noProof/>
          <w:sz w:val="24"/>
        </w:rPr>
        <w:t>Prague</w:t>
      </w:r>
      <w:r w:rsidR="00534448">
        <w:rPr>
          <w:b/>
          <w:noProof/>
          <w:sz w:val="24"/>
        </w:rPr>
        <w:t xml:space="preserve">; </w:t>
      </w:r>
      <w:r>
        <w:rPr>
          <w:b/>
          <w:noProof/>
          <w:sz w:val="24"/>
        </w:rPr>
        <w:t>June 27-30</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753273" w:rsidR="001E41F3" w:rsidRPr="00410371" w:rsidRDefault="00091514" w:rsidP="00091514">
            <w:pPr>
              <w:pStyle w:val="CRCoverPage"/>
              <w:spacing w:after="0"/>
              <w:jc w:val="center"/>
              <w:rPr>
                <w:b/>
                <w:noProof/>
                <w:sz w:val="28"/>
              </w:rPr>
            </w:pPr>
            <w:r w:rsidRPr="00091514">
              <w:rPr>
                <w:b/>
                <w:noProof/>
                <w:sz w:val="28"/>
              </w:rPr>
              <w:t>33.</w:t>
            </w:r>
            <w:r w:rsidR="00A161FF">
              <w:rPr>
                <w:b/>
                <w:noProof/>
                <w:sz w:val="28"/>
              </w:rPr>
              <w:t>9</w:t>
            </w:r>
            <w:r w:rsidRPr="00091514">
              <w:rPr>
                <w:b/>
                <w:noProof/>
                <w:sz w:val="28"/>
              </w:rPr>
              <w:t>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57CC76" w:rsidR="001E41F3" w:rsidRPr="00410371" w:rsidRDefault="00A161FF" w:rsidP="00091514">
            <w:pPr>
              <w:pStyle w:val="CRCoverPage"/>
              <w:spacing w:after="0"/>
              <w:jc w:val="center"/>
              <w:rPr>
                <w:noProof/>
              </w:rPr>
            </w:pPr>
            <w:r>
              <w:rPr>
                <w:b/>
                <w:noProof/>
                <w:sz w:val="28"/>
              </w:rPr>
              <w:t>000</w:t>
            </w:r>
            <w:r w:rsidR="00917632">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5C88D0" w:rsidR="001E41F3" w:rsidRPr="00410371" w:rsidRDefault="00C20319"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5A38F" w:rsidR="001E41F3" w:rsidRPr="00410371" w:rsidRDefault="00091514" w:rsidP="00091514">
            <w:pPr>
              <w:pStyle w:val="CRCoverPage"/>
              <w:spacing w:after="0"/>
              <w:jc w:val="right"/>
              <w:rPr>
                <w:noProof/>
                <w:sz w:val="28"/>
              </w:rPr>
            </w:pPr>
            <w:r w:rsidRPr="00091514">
              <w:rPr>
                <w:b/>
                <w:noProof/>
                <w:sz w:val="28"/>
              </w:rPr>
              <w:t>1</w:t>
            </w:r>
            <w:r w:rsidR="00D46B66">
              <w:rPr>
                <w:b/>
                <w:noProof/>
                <w:sz w:val="28"/>
              </w:rPr>
              <w:t>8</w:t>
            </w:r>
            <w:r w:rsidRPr="00091514">
              <w:rPr>
                <w:b/>
                <w:noProof/>
                <w:sz w:val="28"/>
              </w:rPr>
              <w:t>.</w:t>
            </w:r>
            <w:r w:rsidR="00A161FF">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19A551" w:rsidR="001E41F3" w:rsidRDefault="00D9378E">
            <w:pPr>
              <w:pStyle w:val="CRCoverPage"/>
              <w:spacing w:after="0"/>
              <w:ind w:left="100"/>
              <w:rPr>
                <w:noProof/>
              </w:rPr>
            </w:pPr>
            <w:r>
              <w:rPr>
                <w:noProof/>
              </w:rPr>
              <w:t>More on LIPF logic diagrams</w:t>
            </w:r>
            <w:r w:rsidR="00E13EDC">
              <w:rPr>
                <w:noProof/>
              </w:rPr>
              <w:t>: Updates to the top-level and introductor clauses</w:t>
            </w:r>
            <w:r>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7E24B1" w:rsidR="001E41F3" w:rsidRPr="00867249" w:rsidRDefault="00091514" w:rsidP="008715D3">
            <w:pPr>
              <w:pStyle w:val="CRCoverPage"/>
              <w:spacing w:after="0"/>
              <w:ind w:left="100"/>
              <w:rPr>
                <w:noProof/>
                <w:lang w:val="fr-FR"/>
              </w:rPr>
            </w:pPr>
            <w:r w:rsidRPr="00867249">
              <w:rPr>
                <w:noProof/>
                <w:lang w:val="fr-FR"/>
              </w:rPr>
              <w:t>SA3-LI (Nokia, Nokia Shanghai Bell</w:t>
            </w:r>
            <w:r w:rsidR="00A161FF">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5434B8" w:rsidR="001E41F3" w:rsidRDefault="00B33D16" w:rsidP="00B33D16">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E1BE23" w:rsidR="001E41F3" w:rsidRDefault="00706D40" w:rsidP="008715D3">
            <w:pPr>
              <w:pStyle w:val="CRCoverPage"/>
              <w:spacing w:after="0"/>
              <w:ind w:left="100"/>
              <w:rPr>
                <w:noProof/>
              </w:rPr>
            </w:pPr>
            <w:r>
              <w:t>202</w:t>
            </w:r>
            <w:r w:rsidR="00C12ABC">
              <w:t>3</w:t>
            </w:r>
            <w:r>
              <w:t>-</w:t>
            </w:r>
            <w:r w:rsidR="008715D3">
              <w:t>0</w:t>
            </w:r>
            <w:r w:rsidR="00A161FF">
              <w:t>6</w:t>
            </w:r>
            <w:r>
              <w:t>-</w:t>
            </w:r>
            <w:r w:rsidR="008715D3">
              <w:t>2</w:t>
            </w:r>
            <w:r w:rsidR="00A161F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18712" w:rsidR="001E41F3" w:rsidRDefault="00A161FF"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375452" w:rsidR="001E41F3" w:rsidRDefault="00091514">
            <w:pPr>
              <w:pStyle w:val="CRCoverPage"/>
              <w:spacing w:after="0"/>
              <w:ind w:left="100"/>
              <w:rPr>
                <w:noProof/>
              </w:rPr>
            </w:pPr>
            <w:r>
              <w:t>Rel-1</w:t>
            </w:r>
            <w:r w:rsidR="00D46B6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94230" w:rsidR="001E41F3" w:rsidRDefault="00D9378E" w:rsidP="008D0BCE">
            <w:pPr>
              <w:pStyle w:val="CRCoverPage"/>
              <w:spacing w:after="0"/>
              <w:rPr>
                <w:noProof/>
              </w:rPr>
            </w:pPr>
            <w:r w:rsidRPr="00E13EDC">
              <w:rPr>
                <w:noProof/>
              </w:rPr>
              <w:t xml:space="preserve">More services were introduced to the TS 33.128 after the initial set of LIPF logic diagrams were created. The </w:t>
            </w:r>
            <w:r w:rsidR="00A161FF" w:rsidRPr="00E13EDC">
              <w:rPr>
                <w:noProof/>
              </w:rPr>
              <w:t xml:space="preserve">TR 33.928 </w:t>
            </w:r>
            <w:r w:rsidRPr="00E13EDC">
              <w:rPr>
                <w:noProof/>
              </w:rPr>
              <w:t xml:space="preserve">should accommodate those aspects as well. </w:t>
            </w:r>
            <w:r w:rsidR="00E13EDC">
              <w:rPr>
                <w:noProof/>
              </w:rPr>
              <w:t>This CR provides updates to the introductory clauses to accommodate the changes in the LIPF logic, most importantly, a new branch for RCS.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406316" w:rsidR="001E41F3" w:rsidRDefault="00E13EDC" w:rsidP="008D0BCE">
            <w:pPr>
              <w:pStyle w:val="CRCoverPage"/>
              <w:spacing w:after="0"/>
              <w:rPr>
                <w:noProof/>
              </w:rPr>
            </w:pPr>
            <w:r>
              <w:rPr>
                <w:noProof/>
              </w:rPr>
              <w:t>Existing clauses are updated to accommodate the new LIPF logic. RCS is included in the top-level view of Service-based LI provisioning logic.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37B1A6" w:rsidR="001E41F3" w:rsidRDefault="0025125C" w:rsidP="008D0BCE">
            <w:pPr>
              <w:pStyle w:val="CRCoverPage"/>
              <w:spacing w:after="0"/>
              <w:rPr>
                <w:noProof/>
              </w:rPr>
            </w:pPr>
            <w:r>
              <w:rPr>
                <w:noProof/>
              </w:rPr>
              <w:t xml:space="preserve">The </w:t>
            </w:r>
            <w:r w:rsidR="00A161FF">
              <w:rPr>
                <w:noProof/>
              </w:rPr>
              <w:t>LIPF logic will not be aligned to the TS 33.128.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51F40C" w:rsidR="001E41F3" w:rsidRDefault="007065F2" w:rsidP="00706D40">
            <w:pPr>
              <w:pStyle w:val="CRCoverPage"/>
              <w:spacing w:after="0"/>
              <w:rPr>
                <w:noProof/>
              </w:rPr>
            </w:pPr>
            <w:r>
              <w:t>5.1, 5.3</w:t>
            </w:r>
            <w:r w:rsidR="00604206">
              <w:t>. 5.4.1, 5.6.1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F0420E" w:rsidR="008863B9" w:rsidRDefault="00886263">
            <w:pPr>
              <w:pStyle w:val="CRCoverPage"/>
              <w:spacing w:after="0"/>
              <w:ind w:left="100"/>
              <w:rPr>
                <w:noProof/>
              </w:rPr>
            </w:pP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36AEC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50B14DC1" w14:textId="77777777" w:rsidR="00A161FF" w:rsidRDefault="00A161FF" w:rsidP="00A161FF">
      <w:pPr>
        <w:pStyle w:val="Heading2"/>
      </w:pPr>
      <w:bookmarkStart w:id="2" w:name="_Toc120296881"/>
      <w:bookmarkStart w:id="3" w:name="_Toc133591884"/>
      <w:r>
        <w:t>5.1</w:t>
      </w:r>
      <w:r>
        <w:tab/>
        <w:t>Background</w:t>
      </w:r>
      <w:bookmarkEnd w:id="2"/>
      <w:bookmarkEnd w:id="3"/>
    </w:p>
    <w:p w14:paraId="3D00B523" w14:textId="29FD7A47" w:rsidR="00A161FF" w:rsidRDefault="00A161FF" w:rsidP="00A161FF">
      <w:r>
        <w:t xml:space="preserve">According to TS 33.126 [2] clause 6.4, the </w:t>
      </w:r>
      <w:r w:rsidRPr="0082414A">
        <w:t xml:space="preserve">CSP </w:t>
      </w:r>
      <w:r>
        <w:t xml:space="preserve">is expected to only </w:t>
      </w:r>
      <w:r w:rsidRPr="0082414A">
        <w:t>deliver Interception Product relating to specific CSP services which are specified implicitly or explicitly in the warrant.</w:t>
      </w:r>
      <w:r>
        <w:t xml:space="preserve"> In other words, the CSP is expected to perform the interception only for the services indicated in the warrant.</w:t>
      </w:r>
      <w:r w:rsidR="00920FBD">
        <w:t xml:space="preserve"> </w:t>
      </w:r>
      <w:bookmarkStart w:id="4" w:name="_Hlk137644911"/>
      <w:ins w:id="5" w:author="Nagaraja Rao (Nokia)" w:date="2023-06-08T14:47:00Z">
        <w:r w:rsidR="0070551D">
          <w:t xml:space="preserve">The interception may be performed for more than one services when specified so in the warrant. </w:t>
        </w:r>
      </w:ins>
      <w:ins w:id="6" w:author="Nagaraja Rao (Nokia)" w:date="2023-06-08T14:48:00Z">
        <w:r w:rsidR="0070551D">
          <w:t>When no service</w:t>
        </w:r>
      </w:ins>
      <w:ins w:id="7" w:author="Nagaraja Rao (Nokia)" w:date="2023-06-08T14:49:00Z">
        <w:r w:rsidR="0070551D">
          <w:t xml:space="preserve"> type</w:t>
        </w:r>
      </w:ins>
      <w:ins w:id="8" w:author="Nagaraja Rao (Nokia)" w:date="2023-06-08T14:48:00Z">
        <w:r w:rsidR="0070551D">
          <w:t xml:space="preserve">s are indicated </w:t>
        </w:r>
      </w:ins>
      <w:ins w:id="9" w:author="Nagaraja Rao (Nokia)" w:date="2023-06-09T12:21:00Z">
        <w:r w:rsidR="00782988">
          <w:t>explicitly</w:t>
        </w:r>
      </w:ins>
      <w:ins w:id="10" w:author="Nagaraja Rao (Nokia)" w:date="2023-06-09T10:34:00Z">
        <w:r w:rsidR="008F75C9">
          <w:t xml:space="preserve"> </w:t>
        </w:r>
      </w:ins>
      <w:ins w:id="11" w:author="Nagaraja Rao (Nokia)" w:date="2023-06-08T14:48:00Z">
        <w:r w:rsidR="0070551D">
          <w:t xml:space="preserve">in the warrant, the interception is done for all services applicable to the target. </w:t>
        </w:r>
      </w:ins>
    </w:p>
    <w:bookmarkEnd w:id="4"/>
    <w:p w14:paraId="5F31D941" w14:textId="2FEECF09" w:rsidR="00A161FF" w:rsidRDefault="00A161FF" w:rsidP="00A161FF">
      <w:pPr>
        <w:pStyle w:val="NO"/>
      </w:pPr>
      <w:r>
        <w:t>NOTE:</w:t>
      </w:r>
      <w:r>
        <w:tab/>
        <w:t>The term "interception" used in the present document refers to the step that involves actual capturing and then delivery of the Intercept Product to the LEMF.</w:t>
      </w:r>
    </w:p>
    <w:p w14:paraId="16686EC7" w14:textId="77777777" w:rsidR="00A161FF" w:rsidRDefault="00A161FF" w:rsidP="00A161FF">
      <w:r>
        <w:t>This clause considers the following possibilities in the analysis:</w:t>
      </w:r>
    </w:p>
    <w:p w14:paraId="3F6E8BCE" w14:textId="77777777" w:rsidR="00A161FF" w:rsidRPr="008602A2" w:rsidRDefault="00A161FF" w:rsidP="00A161FF">
      <w:pPr>
        <w:pStyle w:val="B1"/>
      </w:pPr>
      <w:r w:rsidRPr="00092CF5">
        <w:t>-</w:t>
      </w:r>
      <w:r w:rsidRPr="00092CF5">
        <w:tab/>
        <w:t xml:space="preserve">The intended target </w:t>
      </w:r>
      <w:r w:rsidRPr="00896252">
        <w:t>may have subscribed to</w:t>
      </w:r>
      <w:r w:rsidRPr="00981B56">
        <w:t xml:space="preserve"> only a specific service and in this case, by default, the inte</w:t>
      </w:r>
      <w:r w:rsidRPr="008F0C9D">
        <w:t>rception wo</w:t>
      </w:r>
      <w:r w:rsidRPr="0079259C">
        <w:t>uld apply only to such service when speci</w:t>
      </w:r>
      <w:r w:rsidRPr="00247137">
        <w:t>fie</w:t>
      </w:r>
      <w:r w:rsidRPr="002F1209">
        <w:t>d in the warrant</w:t>
      </w:r>
      <w:r w:rsidRPr="00497124">
        <w:t>.</w:t>
      </w:r>
      <w:r w:rsidRPr="005B4705">
        <w:t xml:space="preserve"> Th</w:t>
      </w:r>
      <w:r w:rsidRPr="00830588">
        <w:t>e CSP net</w:t>
      </w:r>
      <w:r w:rsidRPr="00AC0E3B">
        <w:t>work would provide</w:t>
      </w:r>
      <w:r w:rsidRPr="00893AE0">
        <w:t xml:space="preserve"> the interceptio</w:t>
      </w:r>
      <w:r w:rsidRPr="00EB145B">
        <w:t xml:space="preserve">n as and when </w:t>
      </w:r>
      <w:r w:rsidRPr="008602A2">
        <w:t>the service is accessed by the target.</w:t>
      </w:r>
    </w:p>
    <w:p w14:paraId="0EF62A91" w14:textId="77777777" w:rsidR="00A161FF" w:rsidRPr="00AD5A49" w:rsidRDefault="00A161FF" w:rsidP="00A161FF">
      <w:pPr>
        <w:pStyle w:val="B1"/>
      </w:pPr>
      <w:r w:rsidRPr="008602A2">
        <w:t>-</w:t>
      </w:r>
      <w:r w:rsidRPr="008602A2">
        <w:tab/>
        <w:t>The intended target may have subscribed to multiple service</w:t>
      </w:r>
      <w:r w:rsidRPr="0070713E">
        <w:t>s and in this case, the int</w:t>
      </w:r>
      <w:r w:rsidRPr="00EA4B58">
        <w:t xml:space="preserve">erception would have to be done based on the </w:t>
      </w:r>
      <w:r w:rsidRPr="00AD5A49">
        <w:t>service type(s) specified in the warrant as and when CSP network detects that such services are accessed by the target.</w:t>
      </w:r>
    </w:p>
    <w:p w14:paraId="14CBB028" w14:textId="77777777" w:rsidR="00A161FF" w:rsidRPr="00AD5A49" w:rsidRDefault="00A161FF" w:rsidP="00A161FF">
      <w:pPr>
        <w:pStyle w:val="B1"/>
      </w:pPr>
      <w:r w:rsidRPr="00AD5A49">
        <w:t>-</w:t>
      </w:r>
      <w:r w:rsidRPr="00AD5A49">
        <w:tab/>
        <w:t>A NF may be involved in providing only a particular service and in this case, by default, the interception performed by the POI present in that NF would apply to such service when specified in the warrant.</w:t>
      </w:r>
    </w:p>
    <w:p w14:paraId="653199D6" w14:textId="77777777" w:rsidR="00A161FF" w:rsidRPr="00AD5A49" w:rsidRDefault="00A161FF" w:rsidP="00A161FF">
      <w:pPr>
        <w:pStyle w:val="B1"/>
      </w:pPr>
      <w:r w:rsidRPr="00AD5A49">
        <w:t>-</w:t>
      </w:r>
      <w:r w:rsidRPr="00AD5A49">
        <w:tab/>
        <w:t>A NF may be involved in providing multiple services and in this case, the interception performed by the POI present in that NF would have to be based on the service type applicable to the warrant.</w:t>
      </w:r>
    </w:p>
    <w:p w14:paraId="3AE7A67F" w14:textId="77777777" w:rsidR="00A161FF" w:rsidRDefault="00A161FF" w:rsidP="00A161FF">
      <w:pPr>
        <w:pStyle w:val="B1"/>
      </w:pPr>
      <w:r w:rsidRPr="00AD5A49">
        <w:t>-</w:t>
      </w:r>
      <w:r w:rsidRPr="00AD5A49">
        <w:tab/>
        <w:t>There may be multiple warrants with differing service types active on a target, in this case, all applicable services would have to be intercepted at the POIs, and the MDFs would have to then deliver Interception Product based on the service type (s) applicable to</w:t>
      </w:r>
      <w:r>
        <w:t xml:space="preserve"> the warrant.</w:t>
      </w:r>
    </w:p>
    <w:p w14:paraId="63EB245C" w14:textId="77777777" w:rsidR="00A161FF" w:rsidRDefault="00A161FF" w:rsidP="00A161FF">
      <w:r>
        <w:t>In supporting the above scenarios, as per clause 4.4 of TS 33.128 [4], t</w:t>
      </w:r>
      <w:r w:rsidRPr="00760004">
        <w:t xml:space="preserve">he LIPF </w:t>
      </w:r>
      <w:r>
        <w:t xml:space="preserve">will have </w:t>
      </w:r>
      <w:r w:rsidRPr="00760004">
        <w:t>to provision the POI</w:t>
      </w:r>
      <w:r>
        <w:t>s</w:t>
      </w:r>
      <w:r w:rsidRPr="00760004">
        <w:t xml:space="preserve">, TFs and the MDF2/MDF3 according to the CSP </w:t>
      </w:r>
      <w:r>
        <w:t>s</w:t>
      </w:r>
      <w:r w:rsidRPr="00760004">
        <w:t>ervice type(s) applicable to a warrant.</w:t>
      </w:r>
    </w:p>
    <w:p w14:paraId="4EDECF89" w14:textId="77777777" w:rsidR="00A161FF" w:rsidRDefault="00A161FF" w:rsidP="00A161FF">
      <w:r>
        <w:t>To cover all the scenarios mentioned above, the service type may have to be part of LI provisioning data sent to the MDFs. Whether a service type will have to be provisioned to the POIs and TFs as an indication will depend on the services provided by the NFs that have such POIs and TFs.</w:t>
      </w:r>
    </w:p>
    <w:p w14:paraId="54CCAD1C" w14:textId="77777777" w:rsidR="00A161FF" w:rsidRDefault="00A161FF" w:rsidP="00A161FF">
      <w:r>
        <w:t>In addition to the CSP service type, a few other factors present in the warrant may influence the LIPF logic in provisioning the POIs, TFs and MDF2/MDF3. Few examples are:</w:t>
      </w:r>
    </w:p>
    <w:p w14:paraId="4B19EC0E" w14:textId="77777777" w:rsidR="00A161FF" w:rsidRDefault="00A161FF" w:rsidP="00A161FF">
      <w:pPr>
        <w:pStyle w:val="B1"/>
      </w:pPr>
      <w:r>
        <w:t>-</w:t>
      </w:r>
      <w:r>
        <w:tab/>
        <w:t>Delivery type.</w:t>
      </w:r>
    </w:p>
    <w:p w14:paraId="3C81A99B" w14:textId="77777777" w:rsidR="00A161FF" w:rsidRDefault="00A161FF" w:rsidP="00A161FF">
      <w:pPr>
        <w:pStyle w:val="B1"/>
      </w:pPr>
      <w:r>
        <w:t>-</w:t>
      </w:r>
      <w:r>
        <w:tab/>
        <w:t>LALS triggering.</w:t>
      </w:r>
    </w:p>
    <w:p w14:paraId="555474F3" w14:textId="77777777" w:rsidR="00A161FF" w:rsidRDefault="00A161FF" w:rsidP="00A161FF">
      <w:pPr>
        <w:pStyle w:val="B1"/>
      </w:pPr>
      <w:r>
        <w:t>-</w:t>
      </w:r>
      <w:r>
        <w:tab/>
        <w:t>CSP deployment options.</w:t>
      </w:r>
    </w:p>
    <w:p w14:paraId="24177FB9" w14:textId="77777777" w:rsidR="00A161FF" w:rsidRDefault="00A161FF" w:rsidP="00A161FF">
      <w:pPr>
        <w:pStyle w:val="B1"/>
      </w:pPr>
      <w:r>
        <w:t>-</w:t>
      </w:r>
      <w:r>
        <w:tab/>
        <w:t>The target type (local Vs non-local ID).</w:t>
      </w:r>
    </w:p>
    <w:p w14:paraId="348B8FD5" w14:textId="420CAEE1" w:rsidR="00A161FF" w:rsidRDefault="00A161FF" w:rsidP="00A161FF">
      <w:r>
        <w:t>For the target non-local ID, Voice</w:t>
      </w:r>
      <w:ins w:id="12" w:author="Nagaraja Rao (Nokia)" w:date="2023-06-08T14:35:00Z">
        <w:r w:rsidR="00AE680E">
          <w:t>, RCS</w:t>
        </w:r>
      </w:ins>
      <w:r>
        <w:t xml:space="preserve"> and Messaging type of services are supported in the present document. In this case, the other party communicating with the target non-local ID happens to access the service provided by the CSP.</w:t>
      </w:r>
    </w:p>
    <w:p w14:paraId="6919BDFC" w14:textId="016D1215" w:rsidR="00A161FF" w:rsidRDefault="00A161FF" w:rsidP="00A161FF">
      <w:r>
        <w:t>This clause illustrates the LIPF logic through a series of flow-charts in provisioning the POIs and the TFs. The provisioning aspect of MDF2/MDF3 are not shown</w:t>
      </w:r>
      <w:ins w:id="13" w:author="Nagaraja Rao (Nokia)" w:date="2023-06-08T14:35:00Z">
        <w:r w:rsidR="00AE680E">
          <w:t xml:space="preserve"> unless such </w:t>
        </w:r>
      </w:ins>
      <w:ins w:id="14" w:author="Nagaraja Rao (Nokia)" w:date="2023-06-08T14:36:00Z">
        <w:r w:rsidR="00AE680E">
          <w:t>details provide additional clarity</w:t>
        </w:r>
      </w:ins>
      <w:r>
        <w:t>.</w:t>
      </w:r>
    </w:p>
    <w:p w14:paraId="5DC498F5" w14:textId="77777777" w:rsidR="0048788E" w:rsidRPr="00D8739D" w:rsidRDefault="0048788E" w:rsidP="00D8739D"/>
    <w:p w14:paraId="10A26B61" w14:textId="7CA7FDC7" w:rsidR="0070551D" w:rsidRDefault="0070551D" w:rsidP="0070551D">
      <w:pPr>
        <w:pStyle w:val="Heading3"/>
        <w:ind w:left="0" w:firstLine="0"/>
        <w:jc w:val="center"/>
        <w:rPr>
          <w:noProof/>
          <w:color w:val="7030A0"/>
          <w:sz w:val="36"/>
          <w:szCs w:val="36"/>
        </w:rPr>
      </w:pPr>
      <w:r>
        <w:rPr>
          <w:noProof/>
          <w:color w:val="7030A0"/>
          <w:sz w:val="36"/>
          <w:szCs w:val="36"/>
        </w:rPr>
        <w:lastRenderedPageBreak/>
        <w:t>** Next Change **</w:t>
      </w:r>
    </w:p>
    <w:p w14:paraId="413EF47D" w14:textId="5B60C7C5" w:rsidR="006C45B9" w:rsidRPr="0082414A" w:rsidRDefault="006C45B9" w:rsidP="006C45B9">
      <w:pPr>
        <w:pStyle w:val="Heading2"/>
      </w:pPr>
      <w:bookmarkStart w:id="15" w:name="_Toc120296883"/>
      <w:bookmarkStart w:id="16" w:name="_Toc133591886"/>
      <w:r>
        <w:t>5.3</w:t>
      </w:r>
      <w:r>
        <w:tab/>
        <w:t xml:space="preserve">Top-level </w:t>
      </w:r>
      <w:ins w:id="17" w:author="Nagaraja Rao (Nokia)" w:date="2023-06-08T19:53:00Z">
        <w:r w:rsidR="0048788E">
          <w:t xml:space="preserve">view </w:t>
        </w:r>
      </w:ins>
      <w:ins w:id="18" w:author="Nagaraja Rao (Nokia)" w:date="2023-06-08T19:57:00Z">
        <w:r w:rsidR="0048788E">
          <w:t xml:space="preserve">of </w:t>
        </w:r>
      </w:ins>
      <w:ins w:id="19" w:author="Nagaraja Rao (Nokia)" w:date="2023-06-08T19:53:00Z">
        <w:r w:rsidR="0048788E">
          <w:t xml:space="preserve">service-based </w:t>
        </w:r>
      </w:ins>
      <w:del w:id="20" w:author="Nagaraja Rao (Nokia)" w:date="2023-06-08T19:57:00Z">
        <w:r w:rsidDel="0048788E">
          <w:delText xml:space="preserve">LIPF </w:delText>
        </w:r>
      </w:del>
      <w:ins w:id="21" w:author="Nagaraja Rao (Nokia)" w:date="2023-06-09T10:45:00Z">
        <w:r w:rsidR="00E577F6">
          <w:t xml:space="preserve">LI </w:t>
        </w:r>
      </w:ins>
      <w:r>
        <w:t>provisioning logic</w:t>
      </w:r>
      <w:bookmarkEnd w:id="15"/>
      <w:bookmarkEnd w:id="16"/>
      <w:ins w:id="22" w:author="Nagaraja Rao (Nokia)" w:date="2023-06-08T19:57:00Z">
        <w:r w:rsidR="0048788E">
          <w:t xml:space="preserve"> in LIPF</w:t>
        </w:r>
      </w:ins>
    </w:p>
    <w:p w14:paraId="27363AC0" w14:textId="55963F54" w:rsidR="006C45B9" w:rsidRPr="00386C80" w:rsidRDefault="006C45B9" w:rsidP="006C45B9">
      <w:r>
        <w:t>The flow-chart in figure 5.3-1 shows a top-level logic within the LIPF to branch off into separate processes according to the service type defined in the present document.</w:t>
      </w:r>
    </w:p>
    <w:p w14:paraId="66789B55" w14:textId="21AAB607" w:rsidR="006C45B9" w:rsidRDefault="006C45B9" w:rsidP="006C45B9">
      <w:pPr>
        <w:pStyle w:val="TH"/>
      </w:pPr>
      <w:del w:id="23" w:author="Nagaraja Rao (Nokia)" w:date="2023-06-08T15:01:00Z">
        <w:r w:rsidDel="006C45B9">
          <w:object w:dxaOrig="22008" w:dyaOrig="9409" w14:anchorId="44FD3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03pt" o:ole="">
              <v:imagedata r:id="rId18" o:title=""/>
            </v:shape>
            <o:OLEObject Type="Embed" ProgID="Visio.Drawing.15" ShapeID="_x0000_i1025" DrawAspect="Content" ObjectID="_1749346258" r:id="rId19"/>
          </w:object>
        </w:r>
      </w:del>
    </w:p>
    <w:p w14:paraId="3BEC05F0" w14:textId="2198FBB4" w:rsidR="006C45B9" w:rsidRPr="00386C80" w:rsidRDefault="00B320F5" w:rsidP="006C45B9">
      <w:pPr>
        <w:pStyle w:val="TF"/>
      </w:pPr>
      <w:ins w:id="24" w:author="Nagaraja Rao (Nokia)" w:date="2023-06-08T18:52:00Z">
        <w:r>
          <w:object w:dxaOrig="27108" w:dyaOrig="10140" w14:anchorId="559638F1">
            <v:shape id="_x0000_i1026" type="#_x0000_t75" style="width:481pt;height:180pt" o:ole="">
              <v:imagedata r:id="rId20" o:title=""/>
            </v:shape>
            <o:OLEObject Type="Embed" ProgID="Visio.Drawing.15" ShapeID="_x0000_i1026" DrawAspect="Content" ObjectID="_1749346259" r:id="rId21"/>
          </w:object>
        </w:r>
      </w:ins>
      <w:r w:rsidR="006C45B9">
        <w:t>Figure 5.3-1: Top-level view of LIPF logic in handling the service type</w:t>
      </w:r>
    </w:p>
    <w:p w14:paraId="68AC9DE7" w14:textId="3D87A57B" w:rsidR="006C45B9" w:rsidRDefault="006C45B9" w:rsidP="00E577F6">
      <w:r>
        <w:t>Based on the LI functionality defined in the present document:</w:t>
      </w:r>
    </w:p>
    <w:p w14:paraId="41329F54" w14:textId="77777777" w:rsidR="006C45B9" w:rsidRDefault="006C45B9" w:rsidP="006C45B9">
      <w:pPr>
        <w:pStyle w:val="B1"/>
      </w:pPr>
      <w:r>
        <w:t>-</w:t>
      </w:r>
      <w:r>
        <w:tab/>
        <w:t>For the service type of Data, it is assumed that the NFs in the packet core network are involved and hence, provide the IRI and CC interception.</w:t>
      </w:r>
    </w:p>
    <w:p w14:paraId="4E172F62" w14:textId="6F714A28" w:rsidR="006C45B9" w:rsidRDefault="006C45B9" w:rsidP="006C45B9">
      <w:pPr>
        <w:pStyle w:val="B1"/>
      </w:pPr>
      <w:r>
        <w:t>-</w:t>
      </w:r>
      <w:r>
        <w:tab/>
        <w:t xml:space="preserve">For the service type of Voice, it is assumed that the NFs in the IMS domain </w:t>
      </w:r>
      <w:proofErr w:type="gramStart"/>
      <w:r>
        <w:t>are</w:t>
      </w:r>
      <w:proofErr w:type="gramEnd"/>
      <w:r>
        <w:t xml:space="preserve"> involved and hence, provide the IRI and CC interception.</w:t>
      </w:r>
    </w:p>
    <w:p w14:paraId="6A81A295" w14:textId="1C6E99D9" w:rsidR="006C45B9" w:rsidRDefault="006C45B9" w:rsidP="006C45B9">
      <w:pPr>
        <w:pStyle w:val="B1"/>
      </w:pPr>
      <w:r>
        <w:t>-</w:t>
      </w:r>
      <w:r>
        <w:tab/>
        <w:t>For the service type of Messaging (that includes SMS and MMS), the NFs in the packet core network, IMS or MMS Proxy Relay are involved and hence, provide the IRI and CC interception. The interception of SMS has only the IRIs.</w:t>
      </w:r>
      <w:ins w:id="25" w:author="Nagaraja Rao (Nokia)" w:date="2023-06-09T10:49:00Z">
        <w:r w:rsidR="00E577F6">
          <w:t xml:space="preserve"> </w:t>
        </w:r>
      </w:ins>
      <w:ins w:id="26" w:author="Nagaraja Rao (Nokia)" w:date="2023-06-13T17:27:00Z">
        <w:r w:rsidR="007065F2">
          <w:t>For,</w:t>
        </w:r>
      </w:ins>
      <w:ins w:id="27" w:author="Nagaraja Rao (Nokia)" w:date="2023-06-09T10:49:00Z">
        <w:r w:rsidR="00E577F6">
          <w:t xml:space="preserve"> the service type of Messaging, the LI provisioning for the service type RCS is also done</w:t>
        </w:r>
      </w:ins>
      <w:ins w:id="28" w:author="Nagaraja Rao (Nokia)" w:date="2023-06-09T10:50:00Z">
        <w:r w:rsidR="00E577F6">
          <w:t xml:space="preserve"> (see below)</w:t>
        </w:r>
      </w:ins>
      <w:ins w:id="29" w:author="Nagaraja Rao (Nokia)" w:date="2023-06-09T11:37:00Z">
        <w:r w:rsidR="00C22012">
          <w:t xml:space="preserve"> if supported and applicable to the target</w:t>
        </w:r>
      </w:ins>
      <w:ins w:id="30" w:author="Nagaraja Rao (Nokia)" w:date="2023-06-09T10:49:00Z">
        <w:r w:rsidR="00E577F6">
          <w:t xml:space="preserve">. </w:t>
        </w:r>
      </w:ins>
    </w:p>
    <w:p w14:paraId="0A47221F" w14:textId="77777777" w:rsidR="006C45B9" w:rsidRDefault="006C45B9" w:rsidP="006C45B9">
      <w:pPr>
        <w:pStyle w:val="B1"/>
      </w:pPr>
      <w:r>
        <w:t>-</w:t>
      </w:r>
      <w:r>
        <w:tab/>
        <w:t>For the service type of PTC, the PTC Server is involved and hence, provides the IRI and CC interception.</w:t>
      </w:r>
    </w:p>
    <w:p w14:paraId="65F4B9A1" w14:textId="13B8E6BB" w:rsidR="006C45B9" w:rsidRDefault="006C45B9" w:rsidP="006C45B9">
      <w:pPr>
        <w:pStyle w:val="B1"/>
        <w:rPr>
          <w:ins w:id="31" w:author="Nagaraja Rao (Nokia)" w:date="2023-06-08T15:06:00Z"/>
        </w:rPr>
      </w:pPr>
      <w:r>
        <w:t>-</w:t>
      </w:r>
      <w:r>
        <w:tab/>
        <w:t>For the service type of LALS, the LI-LCS Client provides the IRI interception, and the CC interception does not apply to LALS.</w:t>
      </w:r>
    </w:p>
    <w:p w14:paraId="37784204" w14:textId="4E975196" w:rsidR="004962AA" w:rsidRDefault="004962AA" w:rsidP="006C45B9">
      <w:pPr>
        <w:pStyle w:val="B1"/>
      </w:pPr>
      <w:ins w:id="32" w:author="Nagaraja Rao (Nokia)" w:date="2023-06-08T15:06:00Z">
        <w:r>
          <w:lastRenderedPageBreak/>
          <w:t>-</w:t>
        </w:r>
        <w:r>
          <w:tab/>
          <w:t>For the servic</w:t>
        </w:r>
      </w:ins>
      <w:ins w:id="33" w:author="Nagaraja Rao (Nokia)" w:date="2023-06-08T15:07:00Z">
        <w:r>
          <w:t>e type RCS, the RCS Server,</w:t>
        </w:r>
      </w:ins>
      <w:r w:rsidR="00920FBD">
        <w:t xml:space="preserve"> </w:t>
      </w:r>
      <w:ins w:id="34" w:author="Nagaraja Rao (Nokia)" w:date="2023-06-08T15:07:00Z">
        <w:r>
          <w:t>the HTTP Content Server, the File Transfer Localization Function</w:t>
        </w:r>
      </w:ins>
      <w:r w:rsidR="00920FBD">
        <w:t xml:space="preserve"> </w:t>
      </w:r>
      <w:ins w:id="35" w:author="Nagaraja Rao (Nokia)" w:date="2023-06-08T15:07:00Z">
        <w:r>
          <w:t>are involved and hence, provide the IRI and CC interception.</w:t>
        </w:r>
      </w:ins>
    </w:p>
    <w:p w14:paraId="3370D61C" w14:textId="1E6B779D" w:rsidR="007065F2" w:rsidRDefault="007065F2" w:rsidP="007065F2">
      <w:pPr>
        <w:rPr>
          <w:ins w:id="36" w:author="Nagaraja Rao (Nokia)" w:date="2023-06-13T17:28:00Z"/>
        </w:rPr>
      </w:pPr>
      <w:bookmarkStart w:id="37" w:name="_Hlk137644953"/>
      <w:ins w:id="38" w:author="Nagaraja Rao (Nokia)" w:date="2023-06-13T17:28:00Z">
        <w:r>
          <w:t>When the service type</w:t>
        </w:r>
      </w:ins>
      <w:r w:rsidR="00920FBD">
        <w:t xml:space="preserve"> </w:t>
      </w:r>
      <w:ins w:id="39" w:author="Nagaraja Rao (Nokia)" w:date="2023-06-16T13:10:00Z">
        <w:r w:rsidR="00920FBD">
          <w:t>"</w:t>
        </w:r>
      </w:ins>
      <w:ins w:id="40" w:author="Nagaraja Rao (Nokia)" w:date="2023-06-13T17:28:00Z">
        <w:r>
          <w:t>Messaging</w:t>
        </w:r>
      </w:ins>
      <w:ins w:id="41" w:author="Nagaraja Rao (Nokia)" w:date="2023-06-16T13:10:00Z">
        <w:r w:rsidR="00920FBD">
          <w:t>"</w:t>
        </w:r>
      </w:ins>
      <w:ins w:id="42" w:author="Nagaraja Rao (Nokia)" w:date="2023-06-13T17:28:00Z">
        <w:r>
          <w:t xml:space="preserve"> is explicitly specified in a warrant, the provisioning for the service type RCS is also performed by the LIPF, if the latter is supported and applicable to the target.</w:t>
        </w:r>
      </w:ins>
      <w:r w:rsidR="00920FBD">
        <w:t xml:space="preserve"> </w:t>
      </w:r>
      <w:ins w:id="43" w:author="Nagaraja Rao (Nokia)" w:date="2023-06-13T17:28:00Z">
        <w:r>
          <w:t xml:space="preserve">If the warrant explicitly includes both </w:t>
        </w:r>
      </w:ins>
      <w:ins w:id="44" w:author="Nagaraja Rao (Nokia)" w:date="2023-06-16T13:10:00Z">
        <w:r w:rsidR="00920FBD">
          <w:t>"</w:t>
        </w:r>
      </w:ins>
      <w:ins w:id="45" w:author="Nagaraja Rao (Nokia)" w:date="2023-06-13T17:28:00Z">
        <w:r>
          <w:t>Messaging</w:t>
        </w:r>
      </w:ins>
      <w:ins w:id="46" w:author="Nagaraja Rao (Nokia)" w:date="2023-06-16T13:11:00Z">
        <w:r w:rsidR="00920FBD">
          <w:t>"</w:t>
        </w:r>
      </w:ins>
      <w:ins w:id="47" w:author="Nagaraja Rao (Nokia)" w:date="2023-06-13T17:28:00Z">
        <w:r>
          <w:t xml:space="preserve"> and </w:t>
        </w:r>
      </w:ins>
      <w:ins w:id="48" w:author="Nagaraja Rao (Nokia)" w:date="2023-06-16T13:10:00Z">
        <w:r w:rsidR="00920FBD">
          <w:t>"</w:t>
        </w:r>
      </w:ins>
      <w:ins w:id="49" w:author="Nagaraja Rao (Nokia)" w:date="2023-06-13T17:28:00Z">
        <w:r>
          <w:t>RCS</w:t>
        </w:r>
      </w:ins>
      <w:ins w:id="50" w:author="Nagaraja Rao (Nokia)" w:date="2023-06-16T13:10:00Z">
        <w:r w:rsidR="00920FBD">
          <w:t>"</w:t>
        </w:r>
      </w:ins>
      <w:ins w:id="51" w:author="Nagaraja Rao (Nokia)" w:date="2023-06-13T17:28:00Z">
        <w:r>
          <w:t xml:space="preserve"> as the service types, the LI provisioning for</w:t>
        </w:r>
      </w:ins>
      <w:r w:rsidR="00920FBD">
        <w:t xml:space="preserve"> </w:t>
      </w:r>
      <w:ins w:id="52" w:author="Nagaraja Rao (Nokia)" w:date="2023-06-13T17:28:00Z">
        <w:r>
          <w:t xml:space="preserve">the service type RCS is done only once. </w:t>
        </w:r>
      </w:ins>
    </w:p>
    <w:bookmarkEnd w:id="37"/>
    <w:p w14:paraId="1B145BC5" w14:textId="58B56DE3" w:rsidR="00C22012" w:rsidRDefault="006C45B9" w:rsidP="00C22012">
      <w:pPr>
        <w:rPr>
          <w:ins w:id="53" w:author="Nagaraja Rao (Nokia)" w:date="2023-06-13T17:27:00Z"/>
        </w:rPr>
      </w:pPr>
      <w:r>
        <w:t>The UDM and HSS are also the NFs that have the IRI-POI and the provisioning of IRI-POI in UDM and HSS is independent of the service type indicated in the warrant as long as the target is not indicated as a non-local ID.</w:t>
      </w:r>
      <w:ins w:id="54" w:author="Nagaraja Rao (Nokia)" w:date="2023-06-09T10:54:00Z">
        <w:r w:rsidR="00DF35AC">
          <w:t xml:space="preserve"> The provisioning of IRI-POI in the UDM and HSS for a target identifier is done only once. </w:t>
        </w:r>
      </w:ins>
    </w:p>
    <w:p w14:paraId="6E49B3BD" w14:textId="5CA4D74B" w:rsidR="007065F2" w:rsidRDefault="007065F2" w:rsidP="007065F2">
      <w:pPr>
        <w:rPr>
          <w:ins w:id="55" w:author="Nagaraja Rao (Nokia)" w:date="2023-06-13T17:28:00Z"/>
        </w:rPr>
      </w:pPr>
      <w:bookmarkStart w:id="56" w:name="_Hlk137644985"/>
      <w:ins w:id="57" w:author="Nagaraja Rao (Nokia)" w:date="2023-06-13T17:28:00Z">
        <w:r>
          <w:t>In general, one or more service types may be explicitly specified in a warrant. When no service type is specified explicitly in a warrant, the LIPF assumes that provisioning for all service types that are applicable to the target will have to be made.</w:t>
        </w:r>
      </w:ins>
      <w:r w:rsidR="003D0045">
        <w:t xml:space="preserve">  </w:t>
      </w:r>
      <w:ins w:id="58" w:author="Nagaraja Rao (Nokia)" w:date="2023-06-13T17:28:00Z">
        <w:r>
          <w:t xml:space="preserve">When multiple service types are applicable for a target identifier, the LIPF may provision the LI function in a NF only once including all the applicable service types. </w:t>
        </w:r>
      </w:ins>
      <w:ins w:id="59" w:author="Nagaraja Rao (Nokia)" w:date="2023-06-13T17:29:00Z">
        <w:r>
          <w:t>Alternatively, the LIPF may determine the services that need to be intercepted at the LI function</w:t>
        </w:r>
      </w:ins>
      <w:ins w:id="60" w:author="Nagaraja Rao (Nokia)" w:date="2023-06-13T17:30:00Z">
        <w:r>
          <w:t xml:space="preserve"> present in a NF and then provision that LI function for all services together. </w:t>
        </w:r>
      </w:ins>
    </w:p>
    <w:p w14:paraId="6ADEE161" w14:textId="123DF7DA" w:rsidR="007065F2" w:rsidRDefault="007065F2" w:rsidP="007065F2">
      <w:pPr>
        <w:rPr>
          <w:ins w:id="61" w:author="Nagaraja Rao (Nokia)" w:date="2023-06-16T13:14:00Z"/>
        </w:rPr>
      </w:pPr>
      <w:ins w:id="62" w:author="Nagaraja Rao (Nokia)" w:date="2023-06-13T17:27:00Z">
        <w:r>
          <w:t xml:space="preserve">It is presumed that the appropriate target identifiers are provided in the warrant that go with the service type. LIPF may use other means to determine the target identifier values to aid the provisioning process. However, </w:t>
        </w:r>
      </w:ins>
      <w:ins w:id="63" w:author="Nagaraja Rao (Nokia)" w:date="2023-06-14T14:15:00Z">
        <w:r w:rsidR="003137F2">
          <w:t>i</w:t>
        </w:r>
      </w:ins>
      <w:ins w:id="64" w:author="Nagaraja Rao (Nokia)" w:date="2023-06-13T17:27:00Z">
        <w:r>
          <w:t xml:space="preserve">f the target identifier values required for a service are not available, then the provisioning of the LI functions for that service types cannot be made. </w:t>
        </w:r>
      </w:ins>
    </w:p>
    <w:p w14:paraId="7D93FCC5" w14:textId="77777777" w:rsidR="00DF015D" w:rsidRDefault="00DF015D" w:rsidP="00DF015D">
      <w:pPr>
        <w:pStyle w:val="Heading3"/>
        <w:ind w:left="0" w:firstLine="0"/>
        <w:jc w:val="center"/>
        <w:rPr>
          <w:noProof/>
          <w:color w:val="7030A0"/>
          <w:sz w:val="36"/>
          <w:szCs w:val="36"/>
        </w:rPr>
      </w:pPr>
      <w:bookmarkStart w:id="65" w:name="_Toc120296885"/>
      <w:bookmarkStart w:id="66" w:name="_Toc133591888"/>
      <w:r>
        <w:rPr>
          <w:noProof/>
          <w:color w:val="7030A0"/>
          <w:sz w:val="36"/>
          <w:szCs w:val="36"/>
        </w:rPr>
        <w:t>** Next Change **</w:t>
      </w:r>
    </w:p>
    <w:p w14:paraId="0A9DA9B5" w14:textId="3090AF3C" w:rsidR="00DF015D" w:rsidRDefault="00DF015D" w:rsidP="00DF015D">
      <w:pPr>
        <w:pStyle w:val="Heading3"/>
      </w:pPr>
      <w:r>
        <w:t>5.4.1</w:t>
      </w:r>
      <w:r>
        <w:tab/>
        <w:t>Scope of interception</w:t>
      </w:r>
      <w:bookmarkEnd w:id="65"/>
      <w:bookmarkEnd w:id="66"/>
    </w:p>
    <w:p w14:paraId="5D8441E5" w14:textId="032A1AE8" w:rsidR="00DF015D" w:rsidRDefault="00DF015D" w:rsidP="00DF015D">
      <w:r>
        <w:t xml:space="preserve">For the service type of Data, the NFs present in the packet core network provide the LI functions. This </w:t>
      </w:r>
      <w:del w:id="67" w:author="Nagaraja Rao (Nokia)" w:date="2023-06-16T13:15:00Z">
        <w:r w:rsidDel="00DF015D">
          <w:delText xml:space="preserve">annex </w:delText>
        </w:r>
      </w:del>
      <w:ins w:id="68" w:author="Nagaraja Rao (Nokia)" w:date="2023-06-16T13:15:00Z">
        <w:r>
          <w:t xml:space="preserve">clause </w:t>
        </w:r>
      </w:ins>
      <w:r>
        <w:t>illustrates the LIPF logic for 5GC and EPC as the two packet core networks.</w:t>
      </w:r>
    </w:p>
    <w:p w14:paraId="35E0D06C" w14:textId="77777777" w:rsidR="00DF015D" w:rsidRDefault="00DF015D" w:rsidP="00DF015D">
      <w:r>
        <w:t>The interception of service type of Data includes:</w:t>
      </w:r>
    </w:p>
    <w:p w14:paraId="0CA89E19" w14:textId="77777777" w:rsidR="00DF015D" w:rsidRDefault="00DF015D" w:rsidP="00DF015D">
      <w:pPr>
        <w:pStyle w:val="B1"/>
      </w:pPr>
      <w:r>
        <w:t>-</w:t>
      </w:r>
      <w:r>
        <w:tab/>
        <w:t>Delivery of IRI, or CC based on the delivery type indicated in the warrant.</w:t>
      </w:r>
    </w:p>
    <w:p w14:paraId="3BC5D6E9" w14:textId="77777777" w:rsidR="00DF015D" w:rsidRDefault="00DF015D" w:rsidP="00DF015D">
      <w:pPr>
        <w:pStyle w:val="B1"/>
      </w:pPr>
      <w:r>
        <w:t>-</w:t>
      </w:r>
      <w:r>
        <w:tab/>
        <w:t>When required, the delivery of packet data header reporting.</w:t>
      </w:r>
    </w:p>
    <w:p w14:paraId="2FD27A78" w14:textId="77777777" w:rsidR="00DF015D" w:rsidRDefault="00DF015D" w:rsidP="00DF015D">
      <w:pPr>
        <w:pStyle w:val="B1"/>
      </w:pPr>
      <w:r>
        <w:t>-</w:t>
      </w:r>
      <w:r>
        <w:tab/>
        <w:t>When required, the delivery of LALS reports based on the LALS triggering.</w:t>
      </w:r>
    </w:p>
    <w:p w14:paraId="38B10E8F" w14:textId="77777777" w:rsidR="00DF015D" w:rsidRDefault="00DF015D" w:rsidP="00DF015D">
      <w:r>
        <w:t>The CSP may have differing implementation options for the packet data header reporting and LALS triggering.</w:t>
      </w:r>
    </w:p>
    <w:p w14:paraId="7B8849EE" w14:textId="77777777" w:rsidR="00DF015D" w:rsidRDefault="00DF015D" w:rsidP="00DF015D">
      <w:r>
        <w:t>In the case of EPC, the CSP may also have differing deployment options in choosing the NFs (SGW-based Vs PGW-based) that provide the interception.</w:t>
      </w:r>
    </w:p>
    <w:p w14:paraId="6119DAC8" w14:textId="77777777" w:rsidR="00DF015D" w:rsidRDefault="00DF015D" w:rsidP="00DF015D">
      <w:pPr>
        <w:pStyle w:val="Heading3"/>
        <w:ind w:left="0" w:firstLine="0"/>
        <w:jc w:val="center"/>
        <w:rPr>
          <w:noProof/>
          <w:color w:val="7030A0"/>
          <w:sz w:val="36"/>
          <w:szCs w:val="36"/>
        </w:rPr>
      </w:pPr>
      <w:r>
        <w:rPr>
          <w:noProof/>
          <w:color w:val="7030A0"/>
          <w:sz w:val="36"/>
          <w:szCs w:val="36"/>
        </w:rPr>
        <w:t>** Next Change **</w:t>
      </w:r>
    </w:p>
    <w:p w14:paraId="05F1E145" w14:textId="77777777" w:rsidR="00DF015D" w:rsidRDefault="00DF015D" w:rsidP="00DF015D">
      <w:pPr>
        <w:pStyle w:val="Heading3"/>
      </w:pPr>
      <w:bookmarkStart w:id="69" w:name="_Toc120296920"/>
      <w:bookmarkStart w:id="70" w:name="_Toc133591923"/>
      <w:bookmarkStart w:id="71" w:name="_Hlk68442184"/>
      <w:r>
        <w:t>5.6.1</w:t>
      </w:r>
      <w:r>
        <w:tab/>
        <w:t>Scope of interception</w:t>
      </w:r>
      <w:bookmarkEnd w:id="69"/>
      <w:bookmarkEnd w:id="70"/>
    </w:p>
    <w:p w14:paraId="2B5BBE67" w14:textId="340BD8CB" w:rsidR="00DF015D" w:rsidRDefault="00DF015D" w:rsidP="00DF015D">
      <w:r>
        <w:t xml:space="preserve">The illustrations shown in </w:t>
      </w:r>
      <w:del w:id="72" w:author="Nagaraja Rao (Nokia)" w:date="2023-06-16T13:16:00Z">
        <w:r w:rsidDel="00DF015D">
          <w:delText>the annex</w:delText>
        </w:r>
      </w:del>
      <w:ins w:id="73" w:author="Nagaraja Rao (Nokia)" w:date="2023-06-16T13:16:00Z">
        <w:r>
          <w:t>this clause</w:t>
        </w:r>
      </w:ins>
      <w:r>
        <w:t xml:space="preserve"> for the service type Messaging includes:</w:t>
      </w:r>
    </w:p>
    <w:p w14:paraId="79A440F1" w14:textId="77777777" w:rsidR="00DF015D" w:rsidRDefault="00DF015D" w:rsidP="00DF015D">
      <w:pPr>
        <w:pStyle w:val="B1"/>
      </w:pPr>
      <w:r>
        <w:t>-</w:t>
      </w:r>
      <w:r>
        <w:tab/>
        <w:t>MMS.</w:t>
      </w:r>
    </w:p>
    <w:p w14:paraId="2D5C615A" w14:textId="77777777" w:rsidR="00DF015D" w:rsidRDefault="00DF015D" w:rsidP="00DF015D">
      <w:pPr>
        <w:pStyle w:val="B1"/>
      </w:pPr>
      <w:r>
        <w:t>-</w:t>
      </w:r>
      <w:r>
        <w:tab/>
        <w:t>SMS.</w:t>
      </w:r>
    </w:p>
    <w:p w14:paraId="4C0F80A7" w14:textId="77777777" w:rsidR="00DF015D" w:rsidRDefault="00DF015D" w:rsidP="00DF015D">
      <w:r>
        <w:t>The interception for the MMS is done by the IRI-POI and CC-POI present in the MMS Proxy Relay. The interception for the SMS is done by the IRI-POI present in the SMSF and the MME (when MME provides the SMS service) and the IMS domain for SMS over IMS.</w:t>
      </w:r>
    </w:p>
    <w:p w14:paraId="09C76109" w14:textId="77777777" w:rsidR="00DF015D" w:rsidRDefault="00DF015D" w:rsidP="00DF015D">
      <w:r>
        <w:t>A target can be a subscriber of the CSP, an inbound roamer or a non-local ID. In the case where a target is a non-local ID, the party communicating with the target can be non-roaming, inbound roamer or outbound roamer. When a target is non-local ID, provisioning of HSS and LTF are not applicable.</w:t>
      </w:r>
    </w:p>
    <w:p w14:paraId="40E24BFE" w14:textId="77777777" w:rsidR="00DF015D" w:rsidRDefault="00DF015D" w:rsidP="00DF015D">
      <w:r>
        <w:t>For N9HR/S8HR, the LI functions for the inbound roamers are provided in the LMISF-IRI. To support the interception in LMISF-IRI, the initial configuration for N9HR/S8HR will have to be done as illustrated in clause 5.5.2.</w:t>
      </w:r>
    </w:p>
    <w:p w14:paraId="448A322E" w14:textId="77777777" w:rsidR="00DF015D" w:rsidRDefault="00DF015D" w:rsidP="00DF015D">
      <w:r>
        <w:t>The interception of service type of Messaging includes:</w:t>
      </w:r>
    </w:p>
    <w:p w14:paraId="04B3DF90" w14:textId="77777777" w:rsidR="00DF015D" w:rsidRDefault="00DF015D" w:rsidP="00DF015D">
      <w:pPr>
        <w:pStyle w:val="B1"/>
      </w:pPr>
      <w:r>
        <w:lastRenderedPageBreak/>
        <w:t>-</w:t>
      </w:r>
      <w:r>
        <w:tab/>
        <w:t>Delivery of IRI or CC based on the delivery type indicated in the warrant (the delivery of CC is applicable to MMS only).</w:t>
      </w:r>
    </w:p>
    <w:p w14:paraId="03944A6B" w14:textId="77777777" w:rsidR="00DF015D" w:rsidRDefault="00DF015D" w:rsidP="00DF015D">
      <w:pPr>
        <w:pStyle w:val="B1"/>
      </w:pPr>
      <w:r>
        <w:t>-</w:t>
      </w:r>
      <w:r>
        <w:tab/>
        <w:t>Whether a target is non-local ID.</w:t>
      </w:r>
    </w:p>
    <w:p w14:paraId="6AF799B3" w14:textId="77777777" w:rsidR="00DF015D" w:rsidRDefault="00DF015D" w:rsidP="00DF015D">
      <w:pPr>
        <w:pStyle w:val="B1"/>
      </w:pPr>
      <w:r>
        <w:t>-</w:t>
      </w:r>
      <w:r>
        <w:tab/>
        <w:t>When required, the delivery of LALS reports based on the LALS triggering (applicable to SMS only).</w:t>
      </w:r>
    </w:p>
    <w:bookmarkEnd w:id="71"/>
    <w:p w14:paraId="37D05606" w14:textId="77777777" w:rsidR="00DF015D" w:rsidRDefault="00DF015D" w:rsidP="00DF015D">
      <w:r>
        <w:t>In view of SMS over IMS, the CSP may have either an LBO based roaming architecture or a home-routed based roaming architecture. The CSP may have differing implementation options for LALS triggering.</w:t>
      </w:r>
    </w:p>
    <w:p w14:paraId="4E80F088" w14:textId="77777777" w:rsidR="00DF015D" w:rsidRDefault="00DF015D" w:rsidP="00DF015D">
      <w:r>
        <w:t>Table 5.6.1-1 shows the target identities that are applicable to different type of SMS use.</w:t>
      </w:r>
    </w:p>
    <w:p w14:paraId="43986EC4" w14:textId="77777777" w:rsidR="00DF015D" w:rsidRDefault="00DF015D" w:rsidP="00DF015D">
      <w:pPr>
        <w:pStyle w:val="TH"/>
      </w:pPr>
      <w:r>
        <w:t>Table 5.6.1-1: Target IDs as applicable to the interception of service type Messaging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
        <w:gridCol w:w="851"/>
        <w:gridCol w:w="850"/>
        <w:gridCol w:w="993"/>
        <w:gridCol w:w="992"/>
        <w:gridCol w:w="850"/>
        <w:gridCol w:w="709"/>
        <w:gridCol w:w="709"/>
      </w:tblGrid>
      <w:tr w:rsidR="00DF015D" w:rsidRPr="001036D5" w14:paraId="27E10C11" w14:textId="77777777" w:rsidTr="00D24EEC">
        <w:tc>
          <w:tcPr>
            <w:tcW w:w="3085" w:type="dxa"/>
            <w:shd w:val="clear" w:color="auto" w:fill="D9D9D9"/>
          </w:tcPr>
          <w:p w14:paraId="49DE3B7B" w14:textId="77777777" w:rsidR="00DF015D" w:rsidRPr="001036D5" w:rsidRDefault="00DF015D" w:rsidP="00D24EEC">
            <w:pPr>
              <w:pStyle w:val="TAH"/>
            </w:pPr>
            <w:r w:rsidRPr="001036D5">
              <w:t>SMS method</w:t>
            </w:r>
          </w:p>
        </w:tc>
        <w:tc>
          <w:tcPr>
            <w:tcW w:w="992" w:type="dxa"/>
            <w:shd w:val="clear" w:color="auto" w:fill="D9D9D9"/>
          </w:tcPr>
          <w:p w14:paraId="6D9CB533" w14:textId="77777777" w:rsidR="00DF015D" w:rsidRPr="001036D5" w:rsidRDefault="00DF015D" w:rsidP="00D24EEC">
            <w:pPr>
              <w:pStyle w:val="TAH"/>
            </w:pPr>
            <w:r w:rsidRPr="001036D5">
              <w:t>GPSI</w:t>
            </w:r>
          </w:p>
        </w:tc>
        <w:tc>
          <w:tcPr>
            <w:tcW w:w="851" w:type="dxa"/>
            <w:shd w:val="clear" w:color="auto" w:fill="D9D9D9"/>
          </w:tcPr>
          <w:p w14:paraId="2FE0455D" w14:textId="77777777" w:rsidR="00DF015D" w:rsidRPr="001036D5" w:rsidRDefault="00DF015D" w:rsidP="00D24EEC">
            <w:pPr>
              <w:pStyle w:val="TAH"/>
            </w:pPr>
            <w:r w:rsidRPr="001036D5">
              <w:t>SUPI</w:t>
            </w:r>
          </w:p>
        </w:tc>
        <w:tc>
          <w:tcPr>
            <w:tcW w:w="850" w:type="dxa"/>
            <w:shd w:val="clear" w:color="auto" w:fill="D9D9D9"/>
          </w:tcPr>
          <w:p w14:paraId="49D1C08D" w14:textId="77777777" w:rsidR="00DF015D" w:rsidRPr="001036D5" w:rsidRDefault="00DF015D" w:rsidP="00D24EEC">
            <w:pPr>
              <w:pStyle w:val="TAH"/>
            </w:pPr>
            <w:r w:rsidRPr="001036D5">
              <w:t>PEI</w:t>
            </w:r>
          </w:p>
        </w:tc>
        <w:tc>
          <w:tcPr>
            <w:tcW w:w="993" w:type="dxa"/>
            <w:shd w:val="clear" w:color="auto" w:fill="D9D9D9"/>
          </w:tcPr>
          <w:p w14:paraId="0ED4AACE" w14:textId="77777777" w:rsidR="00DF015D" w:rsidRPr="001036D5" w:rsidRDefault="00DF015D" w:rsidP="00D24EEC">
            <w:pPr>
              <w:pStyle w:val="TAH"/>
            </w:pPr>
            <w:r w:rsidRPr="001036D5">
              <w:t>MSISDN</w:t>
            </w:r>
          </w:p>
        </w:tc>
        <w:tc>
          <w:tcPr>
            <w:tcW w:w="992" w:type="dxa"/>
            <w:shd w:val="clear" w:color="auto" w:fill="D9D9D9"/>
          </w:tcPr>
          <w:p w14:paraId="0FA9628D" w14:textId="77777777" w:rsidR="00DF015D" w:rsidRPr="001036D5" w:rsidRDefault="00DF015D" w:rsidP="00D24EEC">
            <w:pPr>
              <w:pStyle w:val="TAH"/>
            </w:pPr>
            <w:r w:rsidRPr="001036D5">
              <w:t>IMSI</w:t>
            </w:r>
          </w:p>
        </w:tc>
        <w:tc>
          <w:tcPr>
            <w:tcW w:w="850" w:type="dxa"/>
            <w:shd w:val="clear" w:color="auto" w:fill="D9D9D9"/>
          </w:tcPr>
          <w:p w14:paraId="70367A29" w14:textId="77777777" w:rsidR="00DF015D" w:rsidRPr="001036D5" w:rsidRDefault="00DF015D" w:rsidP="00D24EEC">
            <w:pPr>
              <w:pStyle w:val="TAH"/>
            </w:pPr>
            <w:r w:rsidRPr="001036D5">
              <w:t>IMEI</w:t>
            </w:r>
          </w:p>
        </w:tc>
        <w:tc>
          <w:tcPr>
            <w:tcW w:w="709" w:type="dxa"/>
            <w:shd w:val="clear" w:color="auto" w:fill="D9D9D9"/>
          </w:tcPr>
          <w:p w14:paraId="74F966E9" w14:textId="77777777" w:rsidR="00DF015D" w:rsidRPr="001036D5" w:rsidRDefault="00DF015D" w:rsidP="00D24EEC">
            <w:pPr>
              <w:pStyle w:val="TAH"/>
            </w:pPr>
            <w:r w:rsidRPr="001036D5">
              <w:t>IMPU</w:t>
            </w:r>
          </w:p>
        </w:tc>
        <w:tc>
          <w:tcPr>
            <w:tcW w:w="709" w:type="dxa"/>
            <w:shd w:val="clear" w:color="auto" w:fill="D9D9D9"/>
          </w:tcPr>
          <w:p w14:paraId="1EEDE7C4" w14:textId="77777777" w:rsidR="00DF015D" w:rsidRPr="001036D5" w:rsidRDefault="00DF015D" w:rsidP="00D24EEC">
            <w:pPr>
              <w:pStyle w:val="TAH"/>
            </w:pPr>
            <w:r w:rsidRPr="001036D5">
              <w:t>IMPI</w:t>
            </w:r>
          </w:p>
        </w:tc>
      </w:tr>
      <w:tr w:rsidR="00DF015D" w:rsidRPr="001036D5" w14:paraId="7B99EF4D" w14:textId="77777777" w:rsidTr="00D24EEC">
        <w:tc>
          <w:tcPr>
            <w:tcW w:w="3085" w:type="dxa"/>
            <w:shd w:val="clear" w:color="auto" w:fill="auto"/>
          </w:tcPr>
          <w:p w14:paraId="7F98B50C" w14:textId="77777777" w:rsidR="00DF015D" w:rsidRPr="001036D5" w:rsidRDefault="00DF015D" w:rsidP="00D24EEC">
            <w:pPr>
              <w:pStyle w:val="TAL"/>
            </w:pPr>
            <w:r w:rsidRPr="001036D5">
              <w:t>MMS</w:t>
            </w:r>
          </w:p>
        </w:tc>
        <w:tc>
          <w:tcPr>
            <w:tcW w:w="992" w:type="dxa"/>
            <w:shd w:val="clear" w:color="auto" w:fill="auto"/>
          </w:tcPr>
          <w:p w14:paraId="20669B80" w14:textId="77777777" w:rsidR="00DF015D" w:rsidRPr="001036D5" w:rsidRDefault="00DF015D" w:rsidP="00D24EEC">
            <w:pPr>
              <w:pStyle w:val="TAL"/>
            </w:pPr>
            <w:r w:rsidRPr="001036D5">
              <w:t>YES</w:t>
            </w:r>
          </w:p>
        </w:tc>
        <w:tc>
          <w:tcPr>
            <w:tcW w:w="851" w:type="dxa"/>
            <w:shd w:val="clear" w:color="auto" w:fill="auto"/>
          </w:tcPr>
          <w:p w14:paraId="1B684702" w14:textId="77777777" w:rsidR="00DF015D" w:rsidRPr="001036D5" w:rsidRDefault="00DF015D" w:rsidP="00D24EEC">
            <w:pPr>
              <w:pStyle w:val="TAL"/>
            </w:pPr>
            <w:r w:rsidRPr="001036D5">
              <w:t>n/a</w:t>
            </w:r>
          </w:p>
        </w:tc>
        <w:tc>
          <w:tcPr>
            <w:tcW w:w="850" w:type="dxa"/>
            <w:shd w:val="clear" w:color="auto" w:fill="auto"/>
          </w:tcPr>
          <w:p w14:paraId="0A78D279" w14:textId="77777777" w:rsidR="00DF015D" w:rsidRPr="001036D5" w:rsidRDefault="00DF015D" w:rsidP="00D24EEC">
            <w:pPr>
              <w:pStyle w:val="TAL"/>
            </w:pPr>
            <w:r w:rsidRPr="001036D5">
              <w:t>n/a</w:t>
            </w:r>
          </w:p>
        </w:tc>
        <w:tc>
          <w:tcPr>
            <w:tcW w:w="993" w:type="dxa"/>
            <w:shd w:val="clear" w:color="auto" w:fill="auto"/>
          </w:tcPr>
          <w:p w14:paraId="582F2F04" w14:textId="77777777" w:rsidR="00DF015D" w:rsidRPr="001036D5" w:rsidRDefault="00DF015D" w:rsidP="00D24EEC">
            <w:pPr>
              <w:pStyle w:val="TAL"/>
            </w:pPr>
            <w:r w:rsidRPr="001036D5">
              <w:t>YES</w:t>
            </w:r>
          </w:p>
        </w:tc>
        <w:tc>
          <w:tcPr>
            <w:tcW w:w="992" w:type="dxa"/>
            <w:shd w:val="clear" w:color="auto" w:fill="auto"/>
          </w:tcPr>
          <w:p w14:paraId="252B9C19" w14:textId="77777777" w:rsidR="00DF015D" w:rsidRPr="001036D5" w:rsidRDefault="00DF015D" w:rsidP="00D24EEC">
            <w:pPr>
              <w:pStyle w:val="TAL"/>
            </w:pPr>
            <w:r w:rsidRPr="001036D5">
              <w:t>n/a</w:t>
            </w:r>
          </w:p>
        </w:tc>
        <w:tc>
          <w:tcPr>
            <w:tcW w:w="850" w:type="dxa"/>
            <w:shd w:val="clear" w:color="auto" w:fill="auto"/>
          </w:tcPr>
          <w:p w14:paraId="15103749" w14:textId="77777777" w:rsidR="00DF015D" w:rsidRPr="001036D5" w:rsidRDefault="00DF015D" w:rsidP="00D24EEC">
            <w:pPr>
              <w:pStyle w:val="TAL"/>
            </w:pPr>
            <w:r w:rsidRPr="001036D5">
              <w:t>n/a</w:t>
            </w:r>
          </w:p>
        </w:tc>
        <w:tc>
          <w:tcPr>
            <w:tcW w:w="709" w:type="dxa"/>
            <w:shd w:val="clear" w:color="auto" w:fill="auto"/>
          </w:tcPr>
          <w:p w14:paraId="2A25BAF2" w14:textId="77777777" w:rsidR="00DF015D" w:rsidRPr="001036D5" w:rsidRDefault="00DF015D" w:rsidP="00D24EEC">
            <w:pPr>
              <w:pStyle w:val="TAL"/>
            </w:pPr>
            <w:r w:rsidRPr="001036D5">
              <w:t>n/a</w:t>
            </w:r>
          </w:p>
        </w:tc>
        <w:tc>
          <w:tcPr>
            <w:tcW w:w="709" w:type="dxa"/>
            <w:shd w:val="clear" w:color="auto" w:fill="auto"/>
          </w:tcPr>
          <w:p w14:paraId="04819E13" w14:textId="77777777" w:rsidR="00DF015D" w:rsidRPr="001036D5" w:rsidRDefault="00DF015D" w:rsidP="00D24EEC">
            <w:pPr>
              <w:pStyle w:val="TAL"/>
            </w:pPr>
            <w:r w:rsidRPr="001036D5">
              <w:t>n/a</w:t>
            </w:r>
          </w:p>
        </w:tc>
      </w:tr>
      <w:tr w:rsidR="00DF015D" w:rsidRPr="001036D5" w14:paraId="4ED9FAC7" w14:textId="77777777" w:rsidTr="00D24EEC">
        <w:tc>
          <w:tcPr>
            <w:tcW w:w="3085" w:type="dxa"/>
            <w:shd w:val="clear" w:color="auto" w:fill="auto"/>
          </w:tcPr>
          <w:p w14:paraId="5B7E6A36" w14:textId="77777777" w:rsidR="00DF015D" w:rsidRPr="001036D5" w:rsidRDefault="00DF015D" w:rsidP="00D24EEC">
            <w:pPr>
              <w:pStyle w:val="TAL"/>
            </w:pPr>
            <w:r w:rsidRPr="001036D5">
              <w:t>MMS (target non-local ID)</w:t>
            </w:r>
          </w:p>
        </w:tc>
        <w:tc>
          <w:tcPr>
            <w:tcW w:w="992" w:type="dxa"/>
            <w:shd w:val="clear" w:color="auto" w:fill="auto"/>
          </w:tcPr>
          <w:p w14:paraId="1BBD8298" w14:textId="77777777" w:rsidR="00DF015D" w:rsidRPr="001036D5" w:rsidRDefault="00DF015D" w:rsidP="00D24EEC">
            <w:pPr>
              <w:pStyle w:val="TAL"/>
            </w:pPr>
            <w:r w:rsidRPr="001036D5">
              <w:t>YES</w:t>
            </w:r>
          </w:p>
        </w:tc>
        <w:tc>
          <w:tcPr>
            <w:tcW w:w="851" w:type="dxa"/>
            <w:shd w:val="clear" w:color="auto" w:fill="auto"/>
          </w:tcPr>
          <w:p w14:paraId="5047C70D" w14:textId="77777777" w:rsidR="00DF015D" w:rsidRPr="001036D5" w:rsidRDefault="00DF015D" w:rsidP="00D24EEC">
            <w:pPr>
              <w:pStyle w:val="TAL"/>
            </w:pPr>
            <w:r w:rsidRPr="001036D5">
              <w:t>n/a</w:t>
            </w:r>
          </w:p>
        </w:tc>
        <w:tc>
          <w:tcPr>
            <w:tcW w:w="850" w:type="dxa"/>
            <w:shd w:val="clear" w:color="auto" w:fill="auto"/>
          </w:tcPr>
          <w:p w14:paraId="6CAC22A6" w14:textId="77777777" w:rsidR="00DF015D" w:rsidRPr="001036D5" w:rsidRDefault="00DF015D" w:rsidP="00D24EEC">
            <w:pPr>
              <w:pStyle w:val="TAL"/>
            </w:pPr>
            <w:r w:rsidRPr="001036D5">
              <w:t>n/a</w:t>
            </w:r>
          </w:p>
        </w:tc>
        <w:tc>
          <w:tcPr>
            <w:tcW w:w="993" w:type="dxa"/>
            <w:shd w:val="clear" w:color="auto" w:fill="auto"/>
          </w:tcPr>
          <w:p w14:paraId="22BA2DD9" w14:textId="77777777" w:rsidR="00DF015D" w:rsidRPr="001036D5" w:rsidRDefault="00DF015D" w:rsidP="00D24EEC">
            <w:pPr>
              <w:pStyle w:val="TAL"/>
            </w:pPr>
            <w:r w:rsidRPr="001036D5">
              <w:t>YES</w:t>
            </w:r>
          </w:p>
        </w:tc>
        <w:tc>
          <w:tcPr>
            <w:tcW w:w="992" w:type="dxa"/>
            <w:shd w:val="clear" w:color="auto" w:fill="auto"/>
          </w:tcPr>
          <w:p w14:paraId="5B7D94E7" w14:textId="77777777" w:rsidR="00DF015D" w:rsidRPr="001036D5" w:rsidRDefault="00DF015D" w:rsidP="00D24EEC">
            <w:pPr>
              <w:pStyle w:val="TAL"/>
            </w:pPr>
            <w:r w:rsidRPr="001036D5">
              <w:t>n/a</w:t>
            </w:r>
          </w:p>
        </w:tc>
        <w:tc>
          <w:tcPr>
            <w:tcW w:w="850" w:type="dxa"/>
            <w:shd w:val="clear" w:color="auto" w:fill="auto"/>
          </w:tcPr>
          <w:p w14:paraId="7BC64F29" w14:textId="77777777" w:rsidR="00DF015D" w:rsidRPr="001036D5" w:rsidRDefault="00DF015D" w:rsidP="00D24EEC">
            <w:pPr>
              <w:pStyle w:val="TAL"/>
            </w:pPr>
            <w:r w:rsidRPr="001036D5">
              <w:t>n/a</w:t>
            </w:r>
          </w:p>
        </w:tc>
        <w:tc>
          <w:tcPr>
            <w:tcW w:w="709" w:type="dxa"/>
            <w:shd w:val="clear" w:color="auto" w:fill="auto"/>
          </w:tcPr>
          <w:p w14:paraId="01D7D1A8" w14:textId="77777777" w:rsidR="00DF015D" w:rsidRPr="001036D5" w:rsidRDefault="00DF015D" w:rsidP="00D24EEC">
            <w:pPr>
              <w:pStyle w:val="TAL"/>
            </w:pPr>
            <w:r w:rsidRPr="001036D5">
              <w:t>n/a</w:t>
            </w:r>
          </w:p>
        </w:tc>
        <w:tc>
          <w:tcPr>
            <w:tcW w:w="709" w:type="dxa"/>
            <w:shd w:val="clear" w:color="auto" w:fill="auto"/>
          </w:tcPr>
          <w:p w14:paraId="4F92D3F3" w14:textId="77777777" w:rsidR="00DF015D" w:rsidRPr="001036D5" w:rsidRDefault="00DF015D" w:rsidP="00D24EEC">
            <w:pPr>
              <w:pStyle w:val="TAL"/>
            </w:pPr>
            <w:r w:rsidRPr="001036D5">
              <w:t>n/a</w:t>
            </w:r>
          </w:p>
        </w:tc>
      </w:tr>
      <w:tr w:rsidR="00DF015D" w:rsidRPr="001036D5" w14:paraId="09A6100F" w14:textId="77777777" w:rsidTr="00D24EEC">
        <w:tc>
          <w:tcPr>
            <w:tcW w:w="3085" w:type="dxa"/>
            <w:shd w:val="clear" w:color="auto" w:fill="auto"/>
          </w:tcPr>
          <w:p w14:paraId="1B768B8C" w14:textId="77777777" w:rsidR="00DF015D" w:rsidRPr="001036D5" w:rsidRDefault="00DF015D" w:rsidP="00D24EEC">
            <w:pPr>
              <w:pStyle w:val="TAL"/>
            </w:pPr>
            <w:r w:rsidRPr="001036D5">
              <w:t>SMS over IMS (local)</w:t>
            </w:r>
          </w:p>
        </w:tc>
        <w:tc>
          <w:tcPr>
            <w:tcW w:w="992" w:type="dxa"/>
            <w:shd w:val="clear" w:color="auto" w:fill="auto"/>
          </w:tcPr>
          <w:p w14:paraId="2DD438E0" w14:textId="77777777" w:rsidR="00DF015D" w:rsidRDefault="00DF015D" w:rsidP="00D24EEC">
            <w:pPr>
              <w:pStyle w:val="TAL"/>
            </w:pPr>
            <w:r>
              <w:t>YES</w:t>
            </w:r>
          </w:p>
          <w:p w14:paraId="4196BA00" w14:textId="77777777" w:rsidR="00DF015D" w:rsidRPr="001036D5" w:rsidRDefault="00DF015D" w:rsidP="00D24EEC">
            <w:pPr>
              <w:pStyle w:val="TAL"/>
            </w:pPr>
            <w:r>
              <w:t>(NOTE)</w:t>
            </w:r>
          </w:p>
        </w:tc>
        <w:tc>
          <w:tcPr>
            <w:tcW w:w="851" w:type="dxa"/>
            <w:shd w:val="clear" w:color="auto" w:fill="auto"/>
          </w:tcPr>
          <w:p w14:paraId="4E6A568F" w14:textId="77777777" w:rsidR="00DF015D" w:rsidRPr="001036D5" w:rsidRDefault="00DF015D" w:rsidP="00D24EEC">
            <w:pPr>
              <w:pStyle w:val="TAL"/>
            </w:pPr>
            <w:r w:rsidRPr="001036D5">
              <w:t>As IMPI</w:t>
            </w:r>
          </w:p>
        </w:tc>
        <w:tc>
          <w:tcPr>
            <w:tcW w:w="850" w:type="dxa"/>
            <w:shd w:val="clear" w:color="auto" w:fill="auto"/>
          </w:tcPr>
          <w:p w14:paraId="60878D81" w14:textId="77777777" w:rsidR="00DF015D" w:rsidRPr="001036D5" w:rsidRDefault="00DF015D" w:rsidP="00D24EEC">
            <w:pPr>
              <w:pStyle w:val="TAL"/>
            </w:pPr>
            <w:r w:rsidRPr="001036D5">
              <w:t>As IMEI</w:t>
            </w:r>
          </w:p>
        </w:tc>
        <w:tc>
          <w:tcPr>
            <w:tcW w:w="993" w:type="dxa"/>
            <w:shd w:val="clear" w:color="auto" w:fill="auto"/>
          </w:tcPr>
          <w:p w14:paraId="4B4C7ABC" w14:textId="77777777" w:rsidR="00DF015D" w:rsidRDefault="00DF015D" w:rsidP="00D24EEC">
            <w:pPr>
              <w:pStyle w:val="TAL"/>
            </w:pPr>
          </w:p>
          <w:p w14:paraId="500D5537" w14:textId="77777777" w:rsidR="00DF015D" w:rsidRPr="001036D5" w:rsidRDefault="00DF015D" w:rsidP="00D24EEC">
            <w:pPr>
              <w:pStyle w:val="TAL"/>
            </w:pPr>
            <w:r>
              <w:t>YES (NOTE)</w:t>
            </w:r>
          </w:p>
        </w:tc>
        <w:tc>
          <w:tcPr>
            <w:tcW w:w="992" w:type="dxa"/>
            <w:shd w:val="clear" w:color="auto" w:fill="auto"/>
          </w:tcPr>
          <w:p w14:paraId="2A8AED6F" w14:textId="77777777" w:rsidR="00DF015D" w:rsidRPr="001036D5" w:rsidRDefault="00DF015D" w:rsidP="00D24EEC">
            <w:pPr>
              <w:pStyle w:val="TAL"/>
            </w:pPr>
            <w:r w:rsidRPr="001036D5">
              <w:t>As IMPI</w:t>
            </w:r>
          </w:p>
        </w:tc>
        <w:tc>
          <w:tcPr>
            <w:tcW w:w="850" w:type="dxa"/>
            <w:shd w:val="clear" w:color="auto" w:fill="auto"/>
          </w:tcPr>
          <w:p w14:paraId="2EC3759F" w14:textId="77777777" w:rsidR="00DF015D" w:rsidRPr="001036D5" w:rsidRDefault="00DF015D" w:rsidP="00D24EEC">
            <w:pPr>
              <w:pStyle w:val="TAL"/>
            </w:pPr>
            <w:r w:rsidRPr="001036D5">
              <w:t>YES</w:t>
            </w:r>
          </w:p>
        </w:tc>
        <w:tc>
          <w:tcPr>
            <w:tcW w:w="709" w:type="dxa"/>
            <w:shd w:val="clear" w:color="auto" w:fill="auto"/>
          </w:tcPr>
          <w:p w14:paraId="1B841461" w14:textId="77777777" w:rsidR="00DF015D" w:rsidRPr="001036D5" w:rsidRDefault="00DF015D" w:rsidP="00D24EEC">
            <w:pPr>
              <w:pStyle w:val="TAL"/>
            </w:pPr>
            <w:r w:rsidRPr="001036D5">
              <w:t>YES</w:t>
            </w:r>
          </w:p>
        </w:tc>
        <w:tc>
          <w:tcPr>
            <w:tcW w:w="709" w:type="dxa"/>
            <w:shd w:val="clear" w:color="auto" w:fill="auto"/>
          </w:tcPr>
          <w:p w14:paraId="350E88E2" w14:textId="77777777" w:rsidR="00DF015D" w:rsidRPr="001036D5" w:rsidRDefault="00DF015D" w:rsidP="00D24EEC">
            <w:pPr>
              <w:pStyle w:val="TAL"/>
            </w:pPr>
            <w:r w:rsidRPr="001036D5">
              <w:t>YES</w:t>
            </w:r>
          </w:p>
        </w:tc>
      </w:tr>
      <w:tr w:rsidR="00DF015D" w:rsidRPr="001036D5" w14:paraId="49AA7262" w14:textId="77777777" w:rsidTr="00D24EEC">
        <w:tc>
          <w:tcPr>
            <w:tcW w:w="3085" w:type="dxa"/>
            <w:shd w:val="clear" w:color="auto" w:fill="auto"/>
          </w:tcPr>
          <w:p w14:paraId="42C2CDA4" w14:textId="77777777" w:rsidR="00DF015D" w:rsidRPr="001036D5" w:rsidRDefault="00DF015D" w:rsidP="00D24EEC">
            <w:pPr>
              <w:pStyle w:val="TAL"/>
            </w:pPr>
            <w:r w:rsidRPr="001036D5">
              <w:t>SMS over IMS (non-local ID)</w:t>
            </w:r>
          </w:p>
        </w:tc>
        <w:tc>
          <w:tcPr>
            <w:tcW w:w="992" w:type="dxa"/>
            <w:shd w:val="clear" w:color="auto" w:fill="auto"/>
          </w:tcPr>
          <w:p w14:paraId="4657DD47" w14:textId="77777777" w:rsidR="00DF015D" w:rsidRPr="001036D5" w:rsidRDefault="00DF015D" w:rsidP="00D24EEC">
            <w:pPr>
              <w:pStyle w:val="TAL"/>
            </w:pPr>
            <w:r>
              <w:t>YES</w:t>
            </w:r>
          </w:p>
        </w:tc>
        <w:tc>
          <w:tcPr>
            <w:tcW w:w="851" w:type="dxa"/>
            <w:shd w:val="clear" w:color="auto" w:fill="auto"/>
          </w:tcPr>
          <w:p w14:paraId="33D0B852" w14:textId="77777777" w:rsidR="00DF015D" w:rsidRPr="001036D5" w:rsidRDefault="00DF015D" w:rsidP="00D24EEC">
            <w:pPr>
              <w:pStyle w:val="TAL"/>
            </w:pPr>
            <w:r w:rsidRPr="001036D5">
              <w:t>n/a</w:t>
            </w:r>
          </w:p>
        </w:tc>
        <w:tc>
          <w:tcPr>
            <w:tcW w:w="850" w:type="dxa"/>
            <w:shd w:val="clear" w:color="auto" w:fill="auto"/>
          </w:tcPr>
          <w:p w14:paraId="693BFF39" w14:textId="77777777" w:rsidR="00DF015D" w:rsidRPr="001036D5" w:rsidRDefault="00DF015D" w:rsidP="00D24EEC">
            <w:pPr>
              <w:pStyle w:val="TAL"/>
            </w:pPr>
            <w:r w:rsidRPr="001036D5">
              <w:t>n/a</w:t>
            </w:r>
          </w:p>
        </w:tc>
        <w:tc>
          <w:tcPr>
            <w:tcW w:w="993" w:type="dxa"/>
            <w:shd w:val="clear" w:color="auto" w:fill="auto"/>
          </w:tcPr>
          <w:p w14:paraId="3DBB1AF4" w14:textId="77777777" w:rsidR="00DF015D" w:rsidRPr="001036D5" w:rsidRDefault="00DF015D" w:rsidP="00D24EEC">
            <w:pPr>
              <w:pStyle w:val="TAL"/>
            </w:pPr>
            <w:r>
              <w:t>YES</w:t>
            </w:r>
          </w:p>
        </w:tc>
        <w:tc>
          <w:tcPr>
            <w:tcW w:w="992" w:type="dxa"/>
            <w:shd w:val="clear" w:color="auto" w:fill="auto"/>
          </w:tcPr>
          <w:p w14:paraId="4E05D609" w14:textId="77777777" w:rsidR="00DF015D" w:rsidRPr="001036D5" w:rsidRDefault="00DF015D" w:rsidP="00D24EEC">
            <w:pPr>
              <w:pStyle w:val="TAL"/>
            </w:pPr>
            <w:r w:rsidRPr="001036D5">
              <w:t>n/a</w:t>
            </w:r>
          </w:p>
        </w:tc>
        <w:tc>
          <w:tcPr>
            <w:tcW w:w="850" w:type="dxa"/>
            <w:shd w:val="clear" w:color="auto" w:fill="auto"/>
          </w:tcPr>
          <w:p w14:paraId="50F0F77A" w14:textId="77777777" w:rsidR="00DF015D" w:rsidRPr="001036D5" w:rsidRDefault="00DF015D" w:rsidP="00D24EEC">
            <w:pPr>
              <w:pStyle w:val="TAL"/>
            </w:pPr>
            <w:r w:rsidRPr="001036D5">
              <w:t>n/a</w:t>
            </w:r>
          </w:p>
        </w:tc>
        <w:tc>
          <w:tcPr>
            <w:tcW w:w="709" w:type="dxa"/>
            <w:shd w:val="clear" w:color="auto" w:fill="auto"/>
          </w:tcPr>
          <w:p w14:paraId="4752E5DA" w14:textId="77777777" w:rsidR="00DF015D" w:rsidRPr="001036D5" w:rsidRDefault="00DF015D" w:rsidP="00D24EEC">
            <w:pPr>
              <w:pStyle w:val="TAL"/>
            </w:pPr>
            <w:r w:rsidRPr="001036D5">
              <w:t>YES</w:t>
            </w:r>
          </w:p>
        </w:tc>
        <w:tc>
          <w:tcPr>
            <w:tcW w:w="709" w:type="dxa"/>
            <w:shd w:val="clear" w:color="auto" w:fill="auto"/>
          </w:tcPr>
          <w:p w14:paraId="5248B090" w14:textId="77777777" w:rsidR="00DF015D" w:rsidRPr="001036D5" w:rsidRDefault="00DF015D" w:rsidP="00D24EEC">
            <w:pPr>
              <w:pStyle w:val="TAL"/>
            </w:pPr>
            <w:r w:rsidRPr="001036D5">
              <w:t>n/a</w:t>
            </w:r>
          </w:p>
        </w:tc>
      </w:tr>
      <w:tr w:rsidR="00DF015D" w:rsidRPr="001036D5" w14:paraId="6E84DD6F" w14:textId="77777777" w:rsidTr="00D24EEC">
        <w:tc>
          <w:tcPr>
            <w:tcW w:w="3085" w:type="dxa"/>
            <w:shd w:val="clear" w:color="auto" w:fill="auto"/>
          </w:tcPr>
          <w:p w14:paraId="2AF2ECEC" w14:textId="77777777" w:rsidR="00DF015D" w:rsidRPr="001036D5" w:rsidRDefault="00DF015D" w:rsidP="00D24EEC">
            <w:pPr>
              <w:pStyle w:val="TAL"/>
            </w:pPr>
            <w:r w:rsidRPr="001036D5">
              <w:t>SMS over 5GS</w:t>
            </w:r>
          </w:p>
        </w:tc>
        <w:tc>
          <w:tcPr>
            <w:tcW w:w="992" w:type="dxa"/>
            <w:shd w:val="clear" w:color="auto" w:fill="auto"/>
          </w:tcPr>
          <w:p w14:paraId="4477F2F9" w14:textId="77777777" w:rsidR="00DF015D" w:rsidRPr="001036D5" w:rsidRDefault="00DF015D" w:rsidP="00D24EEC">
            <w:pPr>
              <w:pStyle w:val="TAL"/>
            </w:pPr>
            <w:r w:rsidRPr="001036D5">
              <w:t>YES</w:t>
            </w:r>
          </w:p>
        </w:tc>
        <w:tc>
          <w:tcPr>
            <w:tcW w:w="851" w:type="dxa"/>
            <w:shd w:val="clear" w:color="auto" w:fill="auto"/>
          </w:tcPr>
          <w:p w14:paraId="48B1211C" w14:textId="77777777" w:rsidR="00DF015D" w:rsidRPr="001036D5" w:rsidRDefault="00DF015D" w:rsidP="00D24EEC">
            <w:pPr>
              <w:pStyle w:val="TAL"/>
            </w:pPr>
            <w:r w:rsidRPr="001036D5">
              <w:t>YES</w:t>
            </w:r>
          </w:p>
        </w:tc>
        <w:tc>
          <w:tcPr>
            <w:tcW w:w="850" w:type="dxa"/>
            <w:shd w:val="clear" w:color="auto" w:fill="auto"/>
          </w:tcPr>
          <w:p w14:paraId="4E50032A" w14:textId="77777777" w:rsidR="00DF015D" w:rsidRPr="001036D5" w:rsidRDefault="00DF015D" w:rsidP="00D24EEC">
            <w:pPr>
              <w:pStyle w:val="TAL"/>
            </w:pPr>
            <w:r w:rsidRPr="001036D5">
              <w:t>YES</w:t>
            </w:r>
          </w:p>
        </w:tc>
        <w:tc>
          <w:tcPr>
            <w:tcW w:w="993" w:type="dxa"/>
            <w:shd w:val="clear" w:color="auto" w:fill="auto"/>
          </w:tcPr>
          <w:p w14:paraId="6E9653D9" w14:textId="77777777" w:rsidR="00DF015D" w:rsidRPr="001036D5" w:rsidRDefault="00DF015D" w:rsidP="00D24EEC">
            <w:pPr>
              <w:pStyle w:val="TAL"/>
            </w:pPr>
            <w:r w:rsidRPr="001036D5">
              <w:t>As GPSI</w:t>
            </w:r>
          </w:p>
        </w:tc>
        <w:tc>
          <w:tcPr>
            <w:tcW w:w="992" w:type="dxa"/>
            <w:shd w:val="clear" w:color="auto" w:fill="auto"/>
          </w:tcPr>
          <w:p w14:paraId="181B93C3" w14:textId="77777777" w:rsidR="00DF015D" w:rsidRPr="001036D5" w:rsidRDefault="00DF015D" w:rsidP="00D24EEC">
            <w:pPr>
              <w:pStyle w:val="TAL"/>
            </w:pPr>
            <w:r w:rsidRPr="001036D5">
              <w:t>As SUPI</w:t>
            </w:r>
          </w:p>
        </w:tc>
        <w:tc>
          <w:tcPr>
            <w:tcW w:w="850" w:type="dxa"/>
            <w:shd w:val="clear" w:color="auto" w:fill="auto"/>
          </w:tcPr>
          <w:p w14:paraId="750050EA" w14:textId="77777777" w:rsidR="00DF015D" w:rsidRPr="001036D5" w:rsidRDefault="00DF015D" w:rsidP="00D24EEC">
            <w:pPr>
              <w:pStyle w:val="TAL"/>
            </w:pPr>
            <w:r w:rsidRPr="001036D5">
              <w:t>As PEI</w:t>
            </w:r>
          </w:p>
        </w:tc>
        <w:tc>
          <w:tcPr>
            <w:tcW w:w="709" w:type="dxa"/>
            <w:shd w:val="clear" w:color="auto" w:fill="auto"/>
          </w:tcPr>
          <w:p w14:paraId="282D203D" w14:textId="77777777" w:rsidR="00DF015D" w:rsidRPr="001036D5" w:rsidRDefault="00DF015D" w:rsidP="00D24EEC">
            <w:pPr>
              <w:pStyle w:val="TAL"/>
            </w:pPr>
            <w:r w:rsidRPr="001036D5">
              <w:t>n/a</w:t>
            </w:r>
          </w:p>
        </w:tc>
        <w:tc>
          <w:tcPr>
            <w:tcW w:w="709" w:type="dxa"/>
            <w:shd w:val="clear" w:color="auto" w:fill="auto"/>
          </w:tcPr>
          <w:p w14:paraId="663A881E" w14:textId="77777777" w:rsidR="00DF015D" w:rsidRPr="001036D5" w:rsidRDefault="00DF015D" w:rsidP="00D24EEC">
            <w:pPr>
              <w:pStyle w:val="TAL"/>
            </w:pPr>
            <w:r w:rsidRPr="001036D5">
              <w:t>n/a</w:t>
            </w:r>
          </w:p>
        </w:tc>
      </w:tr>
      <w:tr w:rsidR="00DF015D" w:rsidRPr="001036D5" w14:paraId="4F191BD6" w14:textId="77777777" w:rsidTr="00D24EEC">
        <w:tc>
          <w:tcPr>
            <w:tcW w:w="3085" w:type="dxa"/>
            <w:shd w:val="clear" w:color="auto" w:fill="auto"/>
          </w:tcPr>
          <w:p w14:paraId="7A2FD2CC" w14:textId="77777777" w:rsidR="00DF015D" w:rsidRPr="001036D5" w:rsidRDefault="00DF015D" w:rsidP="00D24EEC">
            <w:pPr>
              <w:pStyle w:val="TAL"/>
            </w:pPr>
            <w:r w:rsidRPr="001036D5">
              <w:t>SMS over 5GS (target non-local ID)</w:t>
            </w:r>
          </w:p>
        </w:tc>
        <w:tc>
          <w:tcPr>
            <w:tcW w:w="992" w:type="dxa"/>
            <w:shd w:val="clear" w:color="auto" w:fill="auto"/>
          </w:tcPr>
          <w:p w14:paraId="17B6D678" w14:textId="77777777" w:rsidR="00DF015D" w:rsidRPr="001036D5" w:rsidRDefault="00DF015D" w:rsidP="00D24EEC">
            <w:pPr>
              <w:pStyle w:val="TAL"/>
            </w:pPr>
            <w:r w:rsidRPr="001036D5">
              <w:t>YES</w:t>
            </w:r>
          </w:p>
        </w:tc>
        <w:tc>
          <w:tcPr>
            <w:tcW w:w="851" w:type="dxa"/>
            <w:shd w:val="clear" w:color="auto" w:fill="auto"/>
          </w:tcPr>
          <w:p w14:paraId="5C4E84E5" w14:textId="77777777" w:rsidR="00DF015D" w:rsidRPr="001036D5" w:rsidRDefault="00DF015D" w:rsidP="00D24EEC">
            <w:pPr>
              <w:pStyle w:val="TAL"/>
            </w:pPr>
            <w:r w:rsidRPr="001036D5">
              <w:t>n/a</w:t>
            </w:r>
          </w:p>
        </w:tc>
        <w:tc>
          <w:tcPr>
            <w:tcW w:w="850" w:type="dxa"/>
            <w:shd w:val="clear" w:color="auto" w:fill="auto"/>
          </w:tcPr>
          <w:p w14:paraId="4B4D3416" w14:textId="77777777" w:rsidR="00DF015D" w:rsidRPr="001036D5" w:rsidRDefault="00DF015D" w:rsidP="00D24EEC">
            <w:pPr>
              <w:pStyle w:val="TAL"/>
            </w:pPr>
            <w:r w:rsidRPr="001036D5">
              <w:t>n/a</w:t>
            </w:r>
          </w:p>
        </w:tc>
        <w:tc>
          <w:tcPr>
            <w:tcW w:w="993" w:type="dxa"/>
            <w:shd w:val="clear" w:color="auto" w:fill="auto"/>
          </w:tcPr>
          <w:p w14:paraId="6BD4033C" w14:textId="77777777" w:rsidR="00DF015D" w:rsidRPr="001036D5" w:rsidRDefault="00DF015D" w:rsidP="00D24EEC">
            <w:pPr>
              <w:pStyle w:val="TAL"/>
            </w:pPr>
            <w:r w:rsidRPr="001036D5">
              <w:t>As GPSI</w:t>
            </w:r>
          </w:p>
        </w:tc>
        <w:tc>
          <w:tcPr>
            <w:tcW w:w="992" w:type="dxa"/>
            <w:shd w:val="clear" w:color="auto" w:fill="auto"/>
          </w:tcPr>
          <w:p w14:paraId="3F8D0D6F" w14:textId="77777777" w:rsidR="00DF015D" w:rsidRPr="001036D5" w:rsidRDefault="00DF015D" w:rsidP="00D24EEC">
            <w:pPr>
              <w:pStyle w:val="TAL"/>
            </w:pPr>
            <w:r w:rsidRPr="001036D5">
              <w:t>n/a</w:t>
            </w:r>
          </w:p>
        </w:tc>
        <w:tc>
          <w:tcPr>
            <w:tcW w:w="850" w:type="dxa"/>
            <w:shd w:val="clear" w:color="auto" w:fill="auto"/>
          </w:tcPr>
          <w:p w14:paraId="21491FE3" w14:textId="77777777" w:rsidR="00DF015D" w:rsidRPr="001036D5" w:rsidRDefault="00DF015D" w:rsidP="00D24EEC">
            <w:pPr>
              <w:pStyle w:val="TAL"/>
            </w:pPr>
            <w:r w:rsidRPr="001036D5">
              <w:t>n/a</w:t>
            </w:r>
          </w:p>
        </w:tc>
        <w:tc>
          <w:tcPr>
            <w:tcW w:w="709" w:type="dxa"/>
            <w:shd w:val="clear" w:color="auto" w:fill="auto"/>
          </w:tcPr>
          <w:p w14:paraId="0D5902A9" w14:textId="77777777" w:rsidR="00DF015D" w:rsidRPr="001036D5" w:rsidRDefault="00DF015D" w:rsidP="00D24EEC">
            <w:pPr>
              <w:pStyle w:val="TAL"/>
            </w:pPr>
            <w:r w:rsidRPr="001036D5">
              <w:t>n/a</w:t>
            </w:r>
          </w:p>
        </w:tc>
        <w:tc>
          <w:tcPr>
            <w:tcW w:w="709" w:type="dxa"/>
            <w:shd w:val="clear" w:color="auto" w:fill="auto"/>
          </w:tcPr>
          <w:p w14:paraId="2AC7D3E7" w14:textId="77777777" w:rsidR="00DF015D" w:rsidRPr="001036D5" w:rsidRDefault="00DF015D" w:rsidP="00D24EEC">
            <w:pPr>
              <w:pStyle w:val="TAL"/>
            </w:pPr>
            <w:r w:rsidRPr="001036D5">
              <w:t>n/a</w:t>
            </w:r>
          </w:p>
        </w:tc>
      </w:tr>
      <w:tr w:rsidR="00DF015D" w:rsidRPr="001036D5" w14:paraId="61FB823A" w14:textId="77777777" w:rsidTr="00D24EEC">
        <w:tc>
          <w:tcPr>
            <w:tcW w:w="3085" w:type="dxa"/>
            <w:shd w:val="clear" w:color="auto" w:fill="auto"/>
          </w:tcPr>
          <w:p w14:paraId="114DAF32" w14:textId="77777777" w:rsidR="00DF015D" w:rsidRPr="001036D5" w:rsidRDefault="00DF015D" w:rsidP="00D24EEC">
            <w:pPr>
              <w:pStyle w:val="TAL"/>
            </w:pPr>
            <w:r w:rsidRPr="001036D5">
              <w:t xml:space="preserve">SMS over EPS </w:t>
            </w:r>
          </w:p>
        </w:tc>
        <w:tc>
          <w:tcPr>
            <w:tcW w:w="992" w:type="dxa"/>
            <w:shd w:val="clear" w:color="auto" w:fill="auto"/>
          </w:tcPr>
          <w:p w14:paraId="6C46CB75" w14:textId="77777777" w:rsidR="00DF015D" w:rsidRPr="001036D5" w:rsidRDefault="00DF015D" w:rsidP="00D24EEC">
            <w:pPr>
              <w:pStyle w:val="TAL"/>
            </w:pPr>
            <w:r w:rsidRPr="001036D5">
              <w:t>n/a</w:t>
            </w:r>
          </w:p>
        </w:tc>
        <w:tc>
          <w:tcPr>
            <w:tcW w:w="851" w:type="dxa"/>
            <w:shd w:val="clear" w:color="auto" w:fill="auto"/>
          </w:tcPr>
          <w:p w14:paraId="72F82D7B" w14:textId="77777777" w:rsidR="00DF015D" w:rsidRPr="001036D5" w:rsidRDefault="00DF015D" w:rsidP="00D24EEC">
            <w:pPr>
              <w:pStyle w:val="TAL"/>
            </w:pPr>
            <w:r w:rsidRPr="001036D5">
              <w:t>n/a</w:t>
            </w:r>
          </w:p>
        </w:tc>
        <w:tc>
          <w:tcPr>
            <w:tcW w:w="850" w:type="dxa"/>
            <w:shd w:val="clear" w:color="auto" w:fill="auto"/>
          </w:tcPr>
          <w:p w14:paraId="35F5A9C4" w14:textId="77777777" w:rsidR="00DF015D" w:rsidRPr="001036D5" w:rsidRDefault="00DF015D" w:rsidP="00D24EEC">
            <w:pPr>
              <w:pStyle w:val="TAL"/>
            </w:pPr>
            <w:r w:rsidRPr="001036D5">
              <w:t>n/a</w:t>
            </w:r>
          </w:p>
        </w:tc>
        <w:tc>
          <w:tcPr>
            <w:tcW w:w="993" w:type="dxa"/>
            <w:shd w:val="clear" w:color="auto" w:fill="auto"/>
          </w:tcPr>
          <w:p w14:paraId="2C7E9534" w14:textId="77777777" w:rsidR="00DF015D" w:rsidRPr="001036D5" w:rsidRDefault="00DF015D" w:rsidP="00D24EEC">
            <w:pPr>
              <w:pStyle w:val="TAL"/>
            </w:pPr>
            <w:r w:rsidRPr="001036D5">
              <w:t>YES</w:t>
            </w:r>
          </w:p>
        </w:tc>
        <w:tc>
          <w:tcPr>
            <w:tcW w:w="992" w:type="dxa"/>
            <w:shd w:val="clear" w:color="auto" w:fill="auto"/>
          </w:tcPr>
          <w:p w14:paraId="0F2EACEF" w14:textId="77777777" w:rsidR="00DF015D" w:rsidRPr="001036D5" w:rsidRDefault="00DF015D" w:rsidP="00D24EEC">
            <w:pPr>
              <w:pStyle w:val="TAL"/>
            </w:pPr>
            <w:r w:rsidRPr="001036D5">
              <w:t>YES</w:t>
            </w:r>
          </w:p>
        </w:tc>
        <w:tc>
          <w:tcPr>
            <w:tcW w:w="850" w:type="dxa"/>
            <w:shd w:val="clear" w:color="auto" w:fill="auto"/>
          </w:tcPr>
          <w:p w14:paraId="0CACF36A" w14:textId="77777777" w:rsidR="00DF015D" w:rsidRPr="001036D5" w:rsidRDefault="00DF015D" w:rsidP="00D24EEC">
            <w:pPr>
              <w:pStyle w:val="TAL"/>
            </w:pPr>
            <w:r w:rsidRPr="001036D5">
              <w:t>YES</w:t>
            </w:r>
          </w:p>
        </w:tc>
        <w:tc>
          <w:tcPr>
            <w:tcW w:w="709" w:type="dxa"/>
            <w:shd w:val="clear" w:color="auto" w:fill="auto"/>
          </w:tcPr>
          <w:p w14:paraId="6202F1E3" w14:textId="77777777" w:rsidR="00DF015D" w:rsidRPr="001036D5" w:rsidRDefault="00DF015D" w:rsidP="00D24EEC">
            <w:pPr>
              <w:pStyle w:val="TAL"/>
            </w:pPr>
            <w:r w:rsidRPr="001036D5">
              <w:t>n/a</w:t>
            </w:r>
          </w:p>
        </w:tc>
        <w:tc>
          <w:tcPr>
            <w:tcW w:w="709" w:type="dxa"/>
            <w:shd w:val="clear" w:color="auto" w:fill="auto"/>
          </w:tcPr>
          <w:p w14:paraId="26067D24" w14:textId="77777777" w:rsidR="00DF015D" w:rsidRPr="001036D5" w:rsidRDefault="00DF015D" w:rsidP="00D24EEC">
            <w:pPr>
              <w:pStyle w:val="TAL"/>
            </w:pPr>
            <w:r w:rsidRPr="001036D5">
              <w:t>n/a</w:t>
            </w:r>
          </w:p>
        </w:tc>
      </w:tr>
      <w:tr w:rsidR="00DF015D" w:rsidRPr="001036D5" w14:paraId="1E7BF98B" w14:textId="77777777" w:rsidTr="00D24EEC">
        <w:tc>
          <w:tcPr>
            <w:tcW w:w="3085" w:type="dxa"/>
            <w:shd w:val="clear" w:color="auto" w:fill="auto"/>
          </w:tcPr>
          <w:p w14:paraId="08BFD519" w14:textId="77777777" w:rsidR="00DF015D" w:rsidRPr="001036D5" w:rsidRDefault="00DF015D" w:rsidP="00D24EEC">
            <w:pPr>
              <w:pStyle w:val="TAL"/>
            </w:pPr>
            <w:r w:rsidRPr="001036D5">
              <w:t>SMS over EPS (target non-local ID)</w:t>
            </w:r>
          </w:p>
        </w:tc>
        <w:tc>
          <w:tcPr>
            <w:tcW w:w="992" w:type="dxa"/>
            <w:shd w:val="clear" w:color="auto" w:fill="auto"/>
          </w:tcPr>
          <w:p w14:paraId="425ED462" w14:textId="77777777" w:rsidR="00DF015D" w:rsidRPr="001036D5" w:rsidRDefault="00DF015D" w:rsidP="00D24EEC">
            <w:pPr>
              <w:pStyle w:val="TAL"/>
            </w:pPr>
            <w:r w:rsidRPr="001036D5">
              <w:t>n/a</w:t>
            </w:r>
          </w:p>
        </w:tc>
        <w:tc>
          <w:tcPr>
            <w:tcW w:w="851" w:type="dxa"/>
            <w:shd w:val="clear" w:color="auto" w:fill="auto"/>
          </w:tcPr>
          <w:p w14:paraId="4B068533" w14:textId="77777777" w:rsidR="00DF015D" w:rsidRPr="001036D5" w:rsidRDefault="00DF015D" w:rsidP="00D24EEC">
            <w:pPr>
              <w:pStyle w:val="TAL"/>
            </w:pPr>
            <w:r w:rsidRPr="001036D5">
              <w:t>n/a</w:t>
            </w:r>
          </w:p>
        </w:tc>
        <w:tc>
          <w:tcPr>
            <w:tcW w:w="850" w:type="dxa"/>
            <w:shd w:val="clear" w:color="auto" w:fill="auto"/>
          </w:tcPr>
          <w:p w14:paraId="5430C7F3" w14:textId="77777777" w:rsidR="00DF015D" w:rsidRPr="001036D5" w:rsidRDefault="00DF015D" w:rsidP="00D24EEC">
            <w:pPr>
              <w:pStyle w:val="TAL"/>
            </w:pPr>
            <w:r w:rsidRPr="001036D5">
              <w:t>n/a</w:t>
            </w:r>
          </w:p>
        </w:tc>
        <w:tc>
          <w:tcPr>
            <w:tcW w:w="993" w:type="dxa"/>
            <w:shd w:val="clear" w:color="auto" w:fill="auto"/>
          </w:tcPr>
          <w:p w14:paraId="6E73879F" w14:textId="77777777" w:rsidR="00DF015D" w:rsidRPr="001036D5" w:rsidRDefault="00DF015D" w:rsidP="00D24EEC">
            <w:pPr>
              <w:pStyle w:val="TAL"/>
            </w:pPr>
            <w:r w:rsidRPr="001036D5">
              <w:t>YES</w:t>
            </w:r>
          </w:p>
        </w:tc>
        <w:tc>
          <w:tcPr>
            <w:tcW w:w="992" w:type="dxa"/>
            <w:shd w:val="clear" w:color="auto" w:fill="auto"/>
          </w:tcPr>
          <w:p w14:paraId="6126D080" w14:textId="77777777" w:rsidR="00DF015D" w:rsidRPr="001036D5" w:rsidRDefault="00DF015D" w:rsidP="00D24EEC">
            <w:pPr>
              <w:pStyle w:val="TAL"/>
            </w:pPr>
            <w:r w:rsidRPr="001036D5">
              <w:t>n/a</w:t>
            </w:r>
          </w:p>
        </w:tc>
        <w:tc>
          <w:tcPr>
            <w:tcW w:w="850" w:type="dxa"/>
            <w:shd w:val="clear" w:color="auto" w:fill="auto"/>
          </w:tcPr>
          <w:p w14:paraId="2919B484" w14:textId="77777777" w:rsidR="00DF015D" w:rsidRPr="001036D5" w:rsidRDefault="00DF015D" w:rsidP="00D24EEC">
            <w:pPr>
              <w:pStyle w:val="TAL"/>
            </w:pPr>
            <w:r w:rsidRPr="001036D5">
              <w:t>n/a</w:t>
            </w:r>
          </w:p>
        </w:tc>
        <w:tc>
          <w:tcPr>
            <w:tcW w:w="709" w:type="dxa"/>
            <w:shd w:val="clear" w:color="auto" w:fill="auto"/>
          </w:tcPr>
          <w:p w14:paraId="5A2EE2A6" w14:textId="77777777" w:rsidR="00DF015D" w:rsidRPr="001036D5" w:rsidRDefault="00DF015D" w:rsidP="00D24EEC">
            <w:pPr>
              <w:pStyle w:val="TAL"/>
            </w:pPr>
            <w:r w:rsidRPr="001036D5">
              <w:t>n/a</w:t>
            </w:r>
          </w:p>
        </w:tc>
        <w:tc>
          <w:tcPr>
            <w:tcW w:w="709" w:type="dxa"/>
            <w:shd w:val="clear" w:color="auto" w:fill="auto"/>
          </w:tcPr>
          <w:p w14:paraId="53B9EB12" w14:textId="77777777" w:rsidR="00DF015D" w:rsidRPr="001036D5" w:rsidRDefault="00DF015D" w:rsidP="00D24EEC">
            <w:pPr>
              <w:pStyle w:val="TAL"/>
            </w:pPr>
            <w:r w:rsidRPr="001036D5">
              <w:t>n/a</w:t>
            </w:r>
          </w:p>
        </w:tc>
      </w:tr>
    </w:tbl>
    <w:p w14:paraId="15210178" w14:textId="77777777" w:rsidR="00DF015D" w:rsidRDefault="00DF015D" w:rsidP="00DF015D"/>
    <w:p w14:paraId="2E42265F" w14:textId="77777777" w:rsidR="00DF015D" w:rsidRDefault="00DF015D" w:rsidP="00DF015D">
      <w:r>
        <w:t>The target identity PEI collectively represents PEIIMEI and PEIIMEISV. Likewise, SUPI represents SUPIIMSI and SUPINAI whereas GPSI represents GPSIMISDN and GPSINAI. The target identity in the IMPI format may contain a value derived from a SUPI or an IMSI. The target identity in the IMPU format containing a SIP URI or TEL URI may contain a value derived from a GPSI, MSISDN, an E.164 number, or IMSI.</w:t>
      </w:r>
    </w:p>
    <w:p w14:paraId="3AC6D2D1" w14:textId="77777777" w:rsidR="00DF015D" w:rsidRDefault="00DF015D" w:rsidP="00DF015D">
      <w:pPr>
        <w:pStyle w:val="NO"/>
        <w:rPr>
          <w:lang w:val="en-US"/>
        </w:rPr>
      </w:pPr>
      <w:r w:rsidRPr="0051002D">
        <w:t>NOTE:</w:t>
      </w:r>
      <w:r>
        <w:tab/>
      </w:r>
      <w:r w:rsidRPr="0051002D">
        <w:t>The GPSI and MSISDN may also be the target IDs as an IMPU.</w:t>
      </w:r>
    </w:p>
    <w:p w14:paraId="789280A0" w14:textId="77777777" w:rsidR="00DF015D" w:rsidRDefault="00DF015D" w:rsidP="00DF015D">
      <w:r>
        <w:t>A part of LIPF logic is based on the target identity applicability shown in table 5.6.1-1.</w:t>
      </w:r>
    </w:p>
    <w:p w14:paraId="6E5A1014" w14:textId="77777777" w:rsidR="00DF015D" w:rsidRDefault="00DF015D" w:rsidP="007065F2">
      <w:pPr>
        <w:rPr>
          <w:ins w:id="74" w:author="Nagaraja Rao (Nokia)" w:date="2023-06-13T17:27:00Z"/>
        </w:rPr>
      </w:pPr>
    </w:p>
    <w:bookmarkEnd w:id="56"/>
    <w:p w14:paraId="1C4016DB" w14:textId="04E01787" w:rsidR="007065F2" w:rsidRDefault="007065F2" w:rsidP="007065F2">
      <w:pPr>
        <w:pStyle w:val="Heading3"/>
        <w:ind w:left="0" w:firstLine="0"/>
        <w:jc w:val="center"/>
        <w:rPr>
          <w:noProof/>
          <w:color w:val="7030A0"/>
          <w:sz w:val="36"/>
          <w:szCs w:val="36"/>
        </w:rPr>
      </w:pPr>
      <w:r>
        <w:rPr>
          <w:noProof/>
          <w:color w:val="7030A0"/>
          <w:sz w:val="36"/>
          <w:szCs w:val="36"/>
        </w:rPr>
        <w:t>** End of all changes **</w:t>
      </w:r>
    </w:p>
    <w:p w14:paraId="71DE06FE" w14:textId="77777777" w:rsidR="00127BE0" w:rsidRPr="00127BE0" w:rsidRDefault="00127BE0" w:rsidP="007065F2"/>
    <w:bookmarkEnd w:id="1"/>
    <w:sectPr w:rsidR="00127BE0" w:rsidRPr="00127BE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618"/>
    <w:rsid w:val="0007549B"/>
    <w:rsid w:val="00091514"/>
    <w:rsid w:val="000A6394"/>
    <w:rsid w:val="000B1B5E"/>
    <w:rsid w:val="000B387A"/>
    <w:rsid w:val="000B7FED"/>
    <w:rsid w:val="000C038A"/>
    <w:rsid w:val="000C25C3"/>
    <w:rsid w:val="000C509C"/>
    <w:rsid w:val="000C6598"/>
    <w:rsid w:val="000D17BF"/>
    <w:rsid w:val="000D44B3"/>
    <w:rsid w:val="000E179C"/>
    <w:rsid w:val="000E42B8"/>
    <w:rsid w:val="000F1741"/>
    <w:rsid w:val="00127BE0"/>
    <w:rsid w:val="0013229A"/>
    <w:rsid w:val="00135FEC"/>
    <w:rsid w:val="0014529F"/>
    <w:rsid w:val="00145D43"/>
    <w:rsid w:val="00175979"/>
    <w:rsid w:val="00177BBC"/>
    <w:rsid w:val="001901D5"/>
    <w:rsid w:val="00192C46"/>
    <w:rsid w:val="00194993"/>
    <w:rsid w:val="001A08B3"/>
    <w:rsid w:val="001A1B0F"/>
    <w:rsid w:val="001A6398"/>
    <w:rsid w:val="001A7B60"/>
    <w:rsid w:val="001B52F0"/>
    <w:rsid w:val="001B54ED"/>
    <w:rsid w:val="001B7A65"/>
    <w:rsid w:val="001C29AF"/>
    <w:rsid w:val="001C3E9D"/>
    <w:rsid w:val="001C4E59"/>
    <w:rsid w:val="001C5B43"/>
    <w:rsid w:val="001D44DE"/>
    <w:rsid w:val="001E41F3"/>
    <w:rsid w:val="001F4C2A"/>
    <w:rsid w:val="001F7F8E"/>
    <w:rsid w:val="00211000"/>
    <w:rsid w:val="00212E72"/>
    <w:rsid w:val="002267AC"/>
    <w:rsid w:val="0025125C"/>
    <w:rsid w:val="00252DFF"/>
    <w:rsid w:val="00253A29"/>
    <w:rsid w:val="0026004D"/>
    <w:rsid w:val="00263768"/>
    <w:rsid w:val="002640DD"/>
    <w:rsid w:val="002664D7"/>
    <w:rsid w:val="00275D12"/>
    <w:rsid w:val="00284B3B"/>
    <w:rsid w:val="00284FEB"/>
    <w:rsid w:val="002860C4"/>
    <w:rsid w:val="002A43E3"/>
    <w:rsid w:val="002A5629"/>
    <w:rsid w:val="002B5741"/>
    <w:rsid w:val="002C06EA"/>
    <w:rsid w:val="002D333B"/>
    <w:rsid w:val="002E472E"/>
    <w:rsid w:val="002F2DBC"/>
    <w:rsid w:val="00305409"/>
    <w:rsid w:val="00306D93"/>
    <w:rsid w:val="0031020C"/>
    <w:rsid w:val="003137F2"/>
    <w:rsid w:val="003271FC"/>
    <w:rsid w:val="003351B1"/>
    <w:rsid w:val="003609EF"/>
    <w:rsid w:val="0036231A"/>
    <w:rsid w:val="00364BE5"/>
    <w:rsid w:val="003732B3"/>
    <w:rsid w:val="00374DD4"/>
    <w:rsid w:val="0039272F"/>
    <w:rsid w:val="00392A2F"/>
    <w:rsid w:val="0039394C"/>
    <w:rsid w:val="00393A1C"/>
    <w:rsid w:val="00393DDE"/>
    <w:rsid w:val="0039604E"/>
    <w:rsid w:val="003A5D5E"/>
    <w:rsid w:val="003C31D1"/>
    <w:rsid w:val="003C6F58"/>
    <w:rsid w:val="003C707D"/>
    <w:rsid w:val="003D0045"/>
    <w:rsid w:val="003E1A36"/>
    <w:rsid w:val="003E2DF0"/>
    <w:rsid w:val="003E3B33"/>
    <w:rsid w:val="003F1B92"/>
    <w:rsid w:val="0040780A"/>
    <w:rsid w:val="00410371"/>
    <w:rsid w:val="004242F1"/>
    <w:rsid w:val="004311B3"/>
    <w:rsid w:val="00444ABB"/>
    <w:rsid w:val="004529F9"/>
    <w:rsid w:val="0046261E"/>
    <w:rsid w:val="00477834"/>
    <w:rsid w:val="00484A9A"/>
    <w:rsid w:val="0048788E"/>
    <w:rsid w:val="004962AA"/>
    <w:rsid w:val="004A4B39"/>
    <w:rsid w:val="004B1B5D"/>
    <w:rsid w:val="004B75B7"/>
    <w:rsid w:val="004D390E"/>
    <w:rsid w:val="004E13AA"/>
    <w:rsid w:val="004F23E5"/>
    <w:rsid w:val="00504901"/>
    <w:rsid w:val="00511CEE"/>
    <w:rsid w:val="005141D9"/>
    <w:rsid w:val="0051580D"/>
    <w:rsid w:val="005208FC"/>
    <w:rsid w:val="00534448"/>
    <w:rsid w:val="00537CCB"/>
    <w:rsid w:val="005424CE"/>
    <w:rsid w:val="00547111"/>
    <w:rsid w:val="00553CA4"/>
    <w:rsid w:val="0056048E"/>
    <w:rsid w:val="00562C78"/>
    <w:rsid w:val="00563693"/>
    <w:rsid w:val="00575E58"/>
    <w:rsid w:val="00582162"/>
    <w:rsid w:val="00592D74"/>
    <w:rsid w:val="005E2C44"/>
    <w:rsid w:val="00604206"/>
    <w:rsid w:val="006055C3"/>
    <w:rsid w:val="00621188"/>
    <w:rsid w:val="00621390"/>
    <w:rsid w:val="006257ED"/>
    <w:rsid w:val="00626601"/>
    <w:rsid w:val="00630885"/>
    <w:rsid w:val="0063414B"/>
    <w:rsid w:val="00636753"/>
    <w:rsid w:val="00653DE4"/>
    <w:rsid w:val="00655398"/>
    <w:rsid w:val="00656EF1"/>
    <w:rsid w:val="00665C47"/>
    <w:rsid w:val="00671C32"/>
    <w:rsid w:val="0067448D"/>
    <w:rsid w:val="006823BE"/>
    <w:rsid w:val="00695808"/>
    <w:rsid w:val="006B23A9"/>
    <w:rsid w:val="006B46FB"/>
    <w:rsid w:val="006B5BFB"/>
    <w:rsid w:val="006C3F03"/>
    <w:rsid w:val="006C45B9"/>
    <w:rsid w:val="006D70E5"/>
    <w:rsid w:val="006E21FB"/>
    <w:rsid w:val="006E48C5"/>
    <w:rsid w:val="006F5C97"/>
    <w:rsid w:val="006F763F"/>
    <w:rsid w:val="0070551D"/>
    <w:rsid w:val="007065F2"/>
    <w:rsid w:val="00706D40"/>
    <w:rsid w:val="0071134A"/>
    <w:rsid w:val="00711B06"/>
    <w:rsid w:val="00711E90"/>
    <w:rsid w:val="007159EC"/>
    <w:rsid w:val="007533E7"/>
    <w:rsid w:val="00754778"/>
    <w:rsid w:val="00756246"/>
    <w:rsid w:val="007600A3"/>
    <w:rsid w:val="00771951"/>
    <w:rsid w:val="00775604"/>
    <w:rsid w:val="007823EB"/>
    <w:rsid w:val="00782988"/>
    <w:rsid w:val="00792342"/>
    <w:rsid w:val="007977A8"/>
    <w:rsid w:val="007A3DEE"/>
    <w:rsid w:val="007B512A"/>
    <w:rsid w:val="007C0928"/>
    <w:rsid w:val="007C2097"/>
    <w:rsid w:val="007C6A2F"/>
    <w:rsid w:val="007D6A07"/>
    <w:rsid w:val="007F1466"/>
    <w:rsid w:val="007F7259"/>
    <w:rsid w:val="00802909"/>
    <w:rsid w:val="008040A8"/>
    <w:rsid w:val="008279FA"/>
    <w:rsid w:val="008322E5"/>
    <w:rsid w:val="0083606D"/>
    <w:rsid w:val="008402C6"/>
    <w:rsid w:val="00855E41"/>
    <w:rsid w:val="00856B7D"/>
    <w:rsid w:val="008626E7"/>
    <w:rsid w:val="00867249"/>
    <w:rsid w:val="00870EE7"/>
    <w:rsid w:val="008715D3"/>
    <w:rsid w:val="008727E1"/>
    <w:rsid w:val="00886263"/>
    <w:rsid w:val="008863B9"/>
    <w:rsid w:val="008921F4"/>
    <w:rsid w:val="008935DC"/>
    <w:rsid w:val="008A1635"/>
    <w:rsid w:val="008A1C27"/>
    <w:rsid w:val="008A45A6"/>
    <w:rsid w:val="008C47C4"/>
    <w:rsid w:val="008D0BCE"/>
    <w:rsid w:val="008D3CCC"/>
    <w:rsid w:val="008D490C"/>
    <w:rsid w:val="008E2A40"/>
    <w:rsid w:val="008E463D"/>
    <w:rsid w:val="008F3789"/>
    <w:rsid w:val="008F4BE0"/>
    <w:rsid w:val="008F686C"/>
    <w:rsid w:val="008F75C9"/>
    <w:rsid w:val="00901852"/>
    <w:rsid w:val="00904943"/>
    <w:rsid w:val="009148DE"/>
    <w:rsid w:val="00917632"/>
    <w:rsid w:val="00920FBD"/>
    <w:rsid w:val="0094164D"/>
    <w:rsid w:val="00941E30"/>
    <w:rsid w:val="00943DF2"/>
    <w:rsid w:val="00944053"/>
    <w:rsid w:val="009460C2"/>
    <w:rsid w:val="009676B5"/>
    <w:rsid w:val="0097311E"/>
    <w:rsid w:val="009777D9"/>
    <w:rsid w:val="00991B88"/>
    <w:rsid w:val="009952CC"/>
    <w:rsid w:val="009A5753"/>
    <w:rsid w:val="009A579D"/>
    <w:rsid w:val="009A665E"/>
    <w:rsid w:val="009B0E18"/>
    <w:rsid w:val="009E1952"/>
    <w:rsid w:val="009E304E"/>
    <w:rsid w:val="009E3297"/>
    <w:rsid w:val="009F734F"/>
    <w:rsid w:val="00A129AC"/>
    <w:rsid w:val="00A161FF"/>
    <w:rsid w:val="00A246B6"/>
    <w:rsid w:val="00A47E70"/>
    <w:rsid w:val="00A50CF0"/>
    <w:rsid w:val="00A7671C"/>
    <w:rsid w:val="00A80904"/>
    <w:rsid w:val="00A9276F"/>
    <w:rsid w:val="00A94884"/>
    <w:rsid w:val="00AA2CBC"/>
    <w:rsid w:val="00AB1ED4"/>
    <w:rsid w:val="00AB2617"/>
    <w:rsid w:val="00AC297C"/>
    <w:rsid w:val="00AC5820"/>
    <w:rsid w:val="00AD148A"/>
    <w:rsid w:val="00AD1CD8"/>
    <w:rsid w:val="00AD3109"/>
    <w:rsid w:val="00AD7E03"/>
    <w:rsid w:val="00AE680E"/>
    <w:rsid w:val="00AF4433"/>
    <w:rsid w:val="00B01679"/>
    <w:rsid w:val="00B01991"/>
    <w:rsid w:val="00B029F1"/>
    <w:rsid w:val="00B22150"/>
    <w:rsid w:val="00B258BB"/>
    <w:rsid w:val="00B320F5"/>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BF5606"/>
    <w:rsid w:val="00C01AA4"/>
    <w:rsid w:val="00C12ABC"/>
    <w:rsid w:val="00C16B42"/>
    <w:rsid w:val="00C20319"/>
    <w:rsid w:val="00C22012"/>
    <w:rsid w:val="00C261A8"/>
    <w:rsid w:val="00C37979"/>
    <w:rsid w:val="00C44A51"/>
    <w:rsid w:val="00C55E62"/>
    <w:rsid w:val="00C60C86"/>
    <w:rsid w:val="00C6388D"/>
    <w:rsid w:val="00C66BA2"/>
    <w:rsid w:val="00C66F2F"/>
    <w:rsid w:val="00C7577C"/>
    <w:rsid w:val="00C7785E"/>
    <w:rsid w:val="00C870F6"/>
    <w:rsid w:val="00C876FD"/>
    <w:rsid w:val="00C90B6A"/>
    <w:rsid w:val="00C94DA4"/>
    <w:rsid w:val="00C95985"/>
    <w:rsid w:val="00C97A9E"/>
    <w:rsid w:val="00CA1B38"/>
    <w:rsid w:val="00CA7003"/>
    <w:rsid w:val="00CC035B"/>
    <w:rsid w:val="00CC0AD6"/>
    <w:rsid w:val="00CC4AF8"/>
    <w:rsid w:val="00CC5026"/>
    <w:rsid w:val="00CC68D0"/>
    <w:rsid w:val="00CE5D19"/>
    <w:rsid w:val="00D03F9A"/>
    <w:rsid w:val="00D04EFF"/>
    <w:rsid w:val="00D06D51"/>
    <w:rsid w:val="00D24991"/>
    <w:rsid w:val="00D34942"/>
    <w:rsid w:val="00D43F44"/>
    <w:rsid w:val="00D44B4B"/>
    <w:rsid w:val="00D46AE6"/>
    <w:rsid w:val="00D46B66"/>
    <w:rsid w:val="00D474C7"/>
    <w:rsid w:val="00D47B05"/>
    <w:rsid w:val="00D50255"/>
    <w:rsid w:val="00D504E2"/>
    <w:rsid w:val="00D507F6"/>
    <w:rsid w:val="00D55B08"/>
    <w:rsid w:val="00D6039B"/>
    <w:rsid w:val="00D60B47"/>
    <w:rsid w:val="00D60F9F"/>
    <w:rsid w:val="00D66520"/>
    <w:rsid w:val="00D77706"/>
    <w:rsid w:val="00D84AE9"/>
    <w:rsid w:val="00D85646"/>
    <w:rsid w:val="00D8739D"/>
    <w:rsid w:val="00D9334B"/>
    <w:rsid w:val="00D9378E"/>
    <w:rsid w:val="00D94796"/>
    <w:rsid w:val="00DA6461"/>
    <w:rsid w:val="00DA6D7E"/>
    <w:rsid w:val="00DC1890"/>
    <w:rsid w:val="00DD62E8"/>
    <w:rsid w:val="00DE34CF"/>
    <w:rsid w:val="00DE379C"/>
    <w:rsid w:val="00DF015D"/>
    <w:rsid w:val="00DF35AC"/>
    <w:rsid w:val="00E13B92"/>
    <w:rsid w:val="00E13EDC"/>
    <w:rsid w:val="00E13F3D"/>
    <w:rsid w:val="00E2485F"/>
    <w:rsid w:val="00E25782"/>
    <w:rsid w:val="00E301F5"/>
    <w:rsid w:val="00E3261C"/>
    <w:rsid w:val="00E333E8"/>
    <w:rsid w:val="00E336EE"/>
    <w:rsid w:val="00E34898"/>
    <w:rsid w:val="00E349D2"/>
    <w:rsid w:val="00E35F8E"/>
    <w:rsid w:val="00E364BC"/>
    <w:rsid w:val="00E52B9E"/>
    <w:rsid w:val="00E577F6"/>
    <w:rsid w:val="00E90E51"/>
    <w:rsid w:val="00EA28B7"/>
    <w:rsid w:val="00EB09B7"/>
    <w:rsid w:val="00ED126F"/>
    <w:rsid w:val="00ED1A6D"/>
    <w:rsid w:val="00ED3764"/>
    <w:rsid w:val="00EE3397"/>
    <w:rsid w:val="00EE7D7C"/>
    <w:rsid w:val="00EF49BB"/>
    <w:rsid w:val="00F009C8"/>
    <w:rsid w:val="00F02CE0"/>
    <w:rsid w:val="00F14EF5"/>
    <w:rsid w:val="00F25D98"/>
    <w:rsid w:val="00F300FB"/>
    <w:rsid w:val="00F332BA"/>
    <w:rsid w:val="00F54FE6"/>
    <w:rsid w:val="00F722E4"/>
    <w:rsid w:val="00F74D9D"/>
    <w:rsid w:val="00F75F89"/>
    <w:rsid w:val="00FB2FF4"/>
    <w:rsid w:val="00FB6386"/>
    <w:rsid w:val="00FC0FC2"/>
    <w:rsid w:val="00FC3A39"/>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0121">
      <w:bodyDiv w:val="1"/>
      <w:marLeft w:val="0"/>
      <w:marRight w:val="0"/>
      <w:marTop w:val="0"/>
      <w:marBottom w:val="0"/>
      <w:divBdr>
        <w:top w:val="none" w:sz="0" w:space="0" w:color="auto"/>
        <w:left w:val="none" w:sz="0" w:space="0" w:color="auto"/>
        <w:bottom w:val="none" w:sz="0" w:space="0" w:color="auto"/>
        <w:right w:val="none" w:sz="0" w:space="0" w:color="auto"/>
      </w:divBdr>
    </w:div>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44119355">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1789</Words>
  <Characters>10202</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2023-06-27T08:44:00Z</dcterms:created>
  <dcterms:modified xsi:type="dcterms:W3CDTF">2023-06-27T08:44:00Z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