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46530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</w:t>
      </w:r>
      <w:r>
        <w:rPr>
          <w:rFonts w:hint="eastAsia" w:ascii="Arial" w:hAnsi="Arial" w:eastAsia="Arial Unicode MS" w:cs="Arial"/>
          <w:b/>
          <w:bCs/>
          <w:sz w:val="24"/>
          <w:lang w:eastAsia="zh-CN"/>
        </w:rPr>
        <w:t>2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i/>
          <w:sz w:val="28"/>
        </w:rPr>
        <w:t>S2-</w:t>
      </w:r>
      <w:r>
        <w:rPr>
          <w:rFonts w:hint="eastAsia" w:ascii="Arial" w:hAnsi="Arial" w:eastAsia="Arial Unicode MS" w:cs="Arial"/>
          <w:b/>
          <w:bCs/>
          <w:i/>
          <w:sz w:val="28"/>
        </w:rPr>
        <w:t>2510530</w:t>
      </w:r>
    </w:p>
    <w:p w14:paraId="6EEAB142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Dallas, USA, Oct 17 - 21, 2025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bookmarkStart w:id="8" w:name="_GoBack"/>
      <w:bookmarkEnd w:id="8"/>
      <w:r>
        <w:rPr>
          <w:rFonts w:ascii="Arial" w:hAnsi="Arial" w:cs="Arial"/>
          <w:b/>
          <w:bCs/>
          <w:color w:val="0000FF"/>
        </w:rPr>
        <w:t>2-250xxxx)</w:t>
      </w:r>
    </w:p>
    <w:p w14:paraId="7A0BBC3A">
      <w:pPr>
        <w:rPr>
          <w:rFonts w:ascii="Arial" w:hAnsi="Arial" w:cs="Arial"/>
        </w:rPr>
      </w:pPr>
    </w:p>
    <w:p w14:paraId="2C49FAED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BUPT</w:t>
      </w:r>
      <w:r>
        <w:rPr>
          <w:rFonts w:hint="eastAsia" w:ascii="Arial" w:hAnsi="Arial" w:cs="Arial" w:eastAsiaTheme="minorEastAsia"/>
          <w:b/>
          <w:lang w:eastAsia="zh-CN"/>
        </w:rPr>
        <w:t>,</w:t>
      </w:r>
      <w:r>
        <w:rPr>
          <w:rFonts w:ascii="Arial" w:hAnsi="Arial" w:cs="Arial"/>
          <w:b/>
        </w:rPr>
        <w:t xml:space="preserve"> Toyota Motor Corporation</w:t>
      </w:r>
    </w:p>
    <w:p w14:paraId="2D2C1A9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hint="eastAsia" w:ascii="Arial" w:hAnsi="Arial" w:cs="Arial" w:eastAsiaTheme="minorEastAsia"/>
          <w:b/>
          <w:lang w:eastAsia="zh-CN"/>
        </w:rPr>
        <w:t>4</w:t>
      </w:r>
      <w:r>
        <w:rPr>
          <w:rFonts w:ascii="Arial" w:hAnsi="Arial" w:cs="Arial"/>
          <w:b/>
        </w:rPr>
        <w:t>: Update on Interim Agreements</w:t>
      </w:r>
    </w:p>
    <w:p w14:paraId="1004A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1C967D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545861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FS_Sensing_ARC / Rel-20</w:t>
      </w:r>
    </w:p>
    <w:p w14:paraId="6182B24C">
      <w:pPr>
        <w:jc w:val="both"/>
        <w:rPr>
          <w:rFonts w:ascii="Arial" w:hAnsi="Arial" w:cs="Arial" w:eastAsiaTheme="minorEastAsia"/>
          <w:i/>
          <w:lang w:eastAsia="zh-CN"/>
        </w:rPr>
      </w:pPr>
      <w:r>
        <w:rPr>
          <w:rFonts w:ascii="Arial" w:hAnsi="Arial" w:cs="Arial"/>
          <w:i/>
        </w:rPr>
        <w:t>Abstract: This paper proposes to update the interim agreements for KI#</w:t>
      </w:r>
      <w:r>
        <w:rPr>
          <w:rFonts w:hint="eastAsia" w:ascii="Arial" w:hAnsi="Arial" w:cs="Arial" w:eastAsiaTheme="minorEastAsia"/>
          <w:i/>
          <w:lang w:eastAsia="zh-CN"/>
        </w:rPr>
        <w:t>4</w:t>
      </w:r>
      <w:r>
        <w:rPr>
          <w:rFonts w:ascii="Arial" w:hAnsi="Arial" w:cs="Arial"/>
          <w:i/>
        </w:rPr>
        <w:t xml:space="preserve"> for the FS_Sensing_ARC TR 23.700-14</w:t>
      </w:r>
      <w:r>
        <w:rPr>
          <w:rFonts w:hint="eastAsia" w:ascii="Arial" w:hAnsi="Arial" w:cs="Arial" w:eastAsiaTheme="minorEastAsia"/>
          <w:i/>
          <w:lang w:eastAsia="zh-CN"/>
        </w:rPr>
        <w:t>.</w:t>
      </w:r>
    </w:p>
    <w:p w14:paraId="01E7EF45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等线"/>
          <w:color w:val="auto"/>
          <w:sz w:val="36"/>
          <w:lang w:eastAsia="zh-CN"/>
        </w:rPr>
      </w:pPr>
      <w:r>
        <w:rPr>
          <w:rFonts w:ascii="Arial" w:hAnsi="Arial"/>
          <w:color w:val="auto"/>
          <w:sz w:val="36"/>
        </w:rPr>
        <w:t>1</w:t>
      </w:r>
      <w:r>
        <w:rPr>
          <w:rFonts w:ascii="Arial" w:hAnsi="Arial"/>
          <w:color w:val="auto"/>
          <w:sz w:val="36"/>
        </w:rPr>
        <w:tab/>
      </w:r>
      <w:r>
        <w:rPr>
          <w:rFonts w:ascii="Arial" w:hAnsi="Arial"/>
          <w:color w:val="auto"/>
          <w:sz w:val="36"/>
        </w:rPr>
        <w:t>Discussion</w:t>
      </w:r>
    </w:p>
    <w:p w14:paraId="194C3728">
      <w:pPr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Given the SE’s local processing capability, based on the received sensing request the SE may transmit sensing data or a processed sensing data report to the SF.</w:t>
      </w:r>
    </w:p>
    <w:p w14:paraId="405C3E53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color w:val="auto"/>
          <w:sz w:val="36"/>
        </w:rPr>
      </w:pPr>
      <w:r>
        <w:rPr>
          <w:rFonts w:ascii="Arial" w:hAnsi="Arial"/>
          <w:color w:val="auto"/>
          <w:sz w:val="36"/>
        </w:rPr>
        <w:t>2</w:t>
      </w:r>
      <w:r>
        <w:rPr>
          <w:rFonts w:ascii="Arial" w:hAnsi="Arial"/>
          <w:color w:val="auto"/>
          <w:sz w:val="36"/>
        </w:rPr>
        <w:tab/>
      </w:r>
      <w:r>
        <w:rPr>
          <w:rFonts w:ascii="Arial" w:hAnsi="Arial"/>
          <w:color w:val="auto"/>
          <w:sz w:val="36"/>
        </w:rPr>
        <w:t>Proposal</w:t>
      </w:r>
    </w:p>
    <w:p w14:paraId="2DCFDD2E">
      <w:pPr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It is proposed to include the following changes in TR 23.700-</w:t>
      </w:r>
      <w:r>
        <w:rPr>
          <w:rFonts w:hint="eastAsia" w:eastAsia="等线"/>
          <w:color w:val="auto"/>
          <w:lang w:eastAsia="zh-CN"/>
        </w:rPr>
        <w:t>1</w:t>
      </w:r>
      <w:r>
        <w:rPr>
          <w:rFonts w:eastAsia="等线"/>
          <w:color w:val="auto"/>
          <w:lang w:eastAsia="en-US"/>
        </w:rPr>
        <w:t>4 V1.</w:t>
      </w:r>
      <w:r>
        <w:rPr>
          <w:rFonts w:eastAsia="等线"/>
          <w:color w:val="auto"/>
          <w:lang w:eastAsia="zh-CN"/>
        </w:rPr>
        <w:t>x</w:t>
      </w:r>
      <w:r>
        <w:rPr>
          <w:rFonts w:eastAsia="等线"/>
          <w:color w:val="auto"/>
          <w:lang w:eastAsia="en-US"/>
        </w:rPr>
        <w:t>.0.</w:t>
      </w:r>
    </w:p>
    <w:p w14:paraId="1A64FE3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eastAsia="等线" w:cs="Arial"/>
          <w:b/>
          <w:color w:val="C5003D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Changes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0" w:name="startOfAnnexes"/>
      <w:bookmarkEnd w:id="0"/>
    </w:p>
    <w:p w14:paraId="2F782E10">
      <w:pPr>
        <w:keepNext/>
        <w:keepLines/>
        <w:pBdr>
          <w:top w:val="single" w:color="auto" w:sz="12" w:space="3"/>
        </w:pBdr>
        <w:spacing w:before="240"/>
        <w:ind w:left="1134" w:hanging="1134"/>
        <w:textAlignment w:val="auto"/>
        <w:outlineLvl w:val="0"/>
        <w:rPr>
          <w:rFonts w:ascii="Arial" w:hAnsi="Arial" w:eastAsia="Times New Roman"/>
          <w:color w:val="auto"/>
          <w:sz w:val="36"/>
          <w:lang w:eastAsia="zh-CN"/>
        </w:rPr>
      </w:pPr>
      <w:bookmarkStart w:id="1" w:name="_Toc199433923"/>
      <w:bookmarkStart w:id="2" w:name="_Toc197612038"/>
      <w:bookmarkStart w:id="3" w:name="_Toc212204485"/>
      <w:r>
        <w:rPr>
          <w:rFonts w:ascii="Arial" w:hAnsi="Arial" w:eastAsia="Times New Roman"/>
          <w:color w:val="auto"/>
          <w:sz w:val="36"/>
          <w:lang w:eastAsia="zh-CN"/>
        </w:rPr>
        <w:t>7</w:t>
      </w:r>
      <w:r>
        <w:rPr>
          <w:rFonts w:ascii="Arial" w:hAnsi="Arial" w:eastAsia="Times New Roman"/>
          <w:color w:val="auto"/>
          <w:sz w:val="36"/>
          <w:lang w:eastAsia="zh-CN"/>
        </w:rPr>
        <w:tab/>
      </w:r>
      <w:r>
        <w:rPr>
          <w:rFonts w:ascii="Arial" w:hAnsi="Arial" w:eastAsia="Times New Roman"/>
          <w:color w:val="auto"/>
          <w:sz w:val="36"/>
          <w:lang w:eastAsia="zh-CN"/>
        </w:rPr>
        <w:t>Interim agreements</w:t>
      </w:r>
      <w:bookmarkEnd w:id="1"/>
      <w:bookmarkEnd w:id="2"/>
      <w:bookmarkEnd w:id="3"/>
    </w:p>
    <w:p w14:paraId="308BDF40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r>
        <w:rPr>
          <w:rFonts w:ascii="Arial" w:hAnsi="Arial" w:eastAsia="Times New Roman"/>
          <w:color w:val="auto"/>
          <w:sz w:val="32"/>
          <w:lang w:eastAsia="en-GB"/>
        </w:rPr>
        <w:t>7.1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Agreed Principles</w:t>
      </w:r>
    </w:p>
    <w:p w14:paraId="01006003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4" w:name="_Toc212204487"/>
      <w:r>
        <w:rPr>
          <w:rFonts w:ascii="Arial" w:hAnsi="Arial" w:eastAsia="Times New Roman"/>
          <w:color w:val="auto"/>
          <w:sz w:val="28"/>
          <w:lang w:eastAsia="en-GB"/>
        </w:rPr>
        <w:t>7.1.1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KI#1: System Architecture to Support Sensing</w:t>
      </w:r>
      <w:bookmarkEnd w:id="4"/>
    </w:p>
    <w:p w14:paraId="06700AB1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To support KI#1 System Architecture to Support Sensing, the following principles are concluded:</w:t>
      </w:r>
    </w:p>
    <w:p w14:paraId="1356D33D">
      <w:pPr>
        <w:textAlignment w:val="auto"/>
        <w:rPr>
          <w:rFonts w:eastAsia="Times New Roman"/>
          <w:color w:val="auto"/>
          <w:lang w:eastAsia="zh-CN"/>
        </w:rPr>
      </w:pPr>
      <w:r>
        <w:rPr>
          <w:rFonts w:eastAsia="Times New Roman"/>
          <w:b/>
          <w:bCs/>
          <w:color w:val="auto"/>
          <w:lang w:eastAsia="zh-CN"/>
        </w:rPr>
        <w:t>Principle 1:</w:t>
      </w:r>
      <w:r>
        <w:rPr>
          <w:rFonts w:eastAsia="Times New Roman"/>
          <w:color w:val="auto"/>
          <w:lang w:eastAsia="zh-CN"/>
        </w:rPr>
        <w:t xml:space="preserve"> one new Network Function (i.e. Sensing Function, SF) is defined to support Sensing Service. </w:t>
      </w:r>
      <w:r>
        <w:rPr>
          <w:rFonts w:eastAsia="等线"/>
          <w:color w:val="auto"/>
          <w:lang w:eastAsia="zh-CN"/>
        </w:rPr>
        <w:t>the SF may contain Sensing control functionality (SCF) and Sensing Processing functionality (SPF).</w:t>
      </w:r>
    </w:p>
    <w:p w14:paraId="04F28D35">
      <w:pPr>
        <w:keepLines/>
        <w:ind w:left="1135" w:hanging="851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zh-CN"/>
        </w:rPr>
        <w:t>NOTE 1:</w:t>
      </w:r>
      <w:r>
        <w:rPr>
          <w:rFonts w:eastAsia="Times New Roman"/>
          <w:b/>
          <w:bCs/>
          <w:color w:val="auto"/>
          <w:lang w:val="en-US" w:eastAsia="zh-CN"/>
        </w:rPr>
        <w:tab/>
      </w:r>
      <w:r>
        <w:rPr>
          <w:rFonts w:eastAsia="Times New Roman"/>
          <w:color w:val="auto"/>
          <w:lang w:val="en-US" w:eastAsia="zh-CN"/>
        </w:rPr>
        <w:t>There is no standardized interface between the SCF and SPF in Rel-20 5G-A.</w:t>
      </w:r>
    </w:p>
    <w:p w14:paraId="681FEDBE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 2: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How to capture the deployment options of SP</w:t>
      </w:r>
      <w:r>
        <w:rPr>
          <w:rFonts w:eastAsia="Times New Roman"/>
          <w:color w:val="auto"/>
          <w:lang w:val="en-US" w:eastAsia="zh-CN"/>
        </w:rPr>
        <w:t>F(s) functionality</w:t>
      </w:r>
      <w:r>
        <w:rPr>
          <w:rFonts w:eastAsia="Times New Roman"/>
          <w:color w:val="auto"/>
          <w:lang w:val="en-US" w:eastAsia="en-US"/>
        </w:rPr>
        <w:t xml:space="preserve"> and SCF </w:t>
      </w:r>
      <w:r>
        <w:rPr>
          <w:rFonts w:eastAsia="Times New Roman"/>
          <w:color w:val="auto"/>
          <w:lang w:val="en-US" w:eastAsia="zh-CN"/>
        </w:rPr>
        <w:t>functionality</w:t>
      </w:r>
      <w:r>
        <w:rPr>
          <w:rFonts w:eastAsia="Times New Roman"/>
          <w:color w:val="auto"/>
          <w:lang w:val="en-US" w:eastAsia="en-US"/>
        </w:rPr>
        <w:t xml:space="preserve"> of the same SF, e.g. co-located or separated, can be discussed during the normative phase.</w:t>
      </w:r>
    </w:p>
    <w:p w14:paraId="2BF08CF7">
      <w:pPr>
        <w:keepLines/>
        <w:ind w:left="1135" w:hanging="851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>NOTE 3:</w:t>
      </w:r>
      <w:r>
        <w:rPr>
          <w:rFonts w:eastAsia="Times New Roman"/>
          <w:color w:val="auto"/>
          <w:lang w:val="en-US" w:eastAsia="zh-CN"/>
        </w:rPr>
        <w:tab/>
      </w:r>
      <w:r>
        <w:rPr>
          <w:rFonts w:eastAsia="Times New Roman"/>
          <w:color w:val="auto"/>
          <w:lang w:val="en-US" w:eastAsia="zh-CN"/>
        </w:rPr>
        <w:t>The final name and Acronym for Sensing Function may need further update if necessary.</w:t>
      </w:r>
    </w:p>
    <w:p w14:paraId="465C9DD9">
      <w:pPr>
        <w:textAlignment w:val="auto"/>
        <w:rPr>
          <w:rFonts w:eastAsia="Times New Roman"/>
          <w:color w:val="auto"/>
          <w:lang w:eastAsia="zh-CN"/>
        </w:rPr>
      </w:pPr>
      <w:r>
        <w:rPr>
          <w:rFonts w:eastAsia="Times New Roman"/>
          <w:b/>
          <w:bCs/>
          <w:color w:val="auto"/>
          <w:lang w:eastAsia="zh-CN"/>
        </w:rPr>
        <w:t>Principle 2:</w:t>
      </w:r>
      <w:r>
        <w:rPr>
          <w:rFonts w:eastAsia="Times New Roman"/>
          <w:color w:val="auto"/>
          <w:lang w:eastAsia="zh-CN"/>
        </w:rPr>
        <w:t xml:space="preserve"> NO dedicated storage NF is needed to store the Sensing data and Sensing result.</w:t>
      </w:r>
    </w:p>
    <w:p w14:paraId="6A20578F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等线"/>
          <w:b/>
          <w:bCs/>
          <w:color w:val="auto"/>
          <w:lang w:eastAsia="zh-CN"/>
        </w:rPr>
        <w:t>Principle 3:</w:t>
      </w:r>
      <w:r>
        <w:rPr>
          <w:rFonts w:eastAsia="等线"/>
          <w:color w:val="auto"/>
          <w:lang w:eastAsia="zh-CN"/>
        </w:rPr>
        <w:t xml:space="preserve"> In this study, </w:t>
      </w:r>
      <w:r>
        <w:rPr>
          <w:rFonts w:eastAsia="Times New Roman"/>
          <w:color w:val="auto"/>
          <w:lang w:eastAsia="en-GB"/>
        </w:rPr>
        <w:t>the gNB is the only entity that acts as the Sensing Entity (SE).</w:t>
      </w:r>
    </w:p>
    <w:p w14:paraId="75CBFEF5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  4: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Privacy protection and other security aspects will be coordinated with SA WG3 and the related impact to architecture enhancement will be based on SA WG3 during the normative phase.</w:t>
      </w:r>
    </w:p>
    <w:p w14:paraId="2E01006E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 5: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Other KI's interim conclusions will be aligned with KI#1 conclusions.</w:t>
      </w:r>
    </w:p>
    <w:p w14:paraId="777A4683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5" w:name="_Toc212204488"/>
      <w:r>
        <w:rPr>
          <w:rFonts w:ascii="Arial" w:hAnsi="Arial" w:eastAsia="Times New Roman"/>
          <w:color w:val="auto"/>
          <w:sz w:val="28"/>
          <w:lang w:eastAsia="en-GB"/>
        </w:rPr>
        <w:t>7.1.2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KI#2: Authorization and Revocation to Support Sensing Service</w:t>
      </w:r>
      <w:bookmarkEnd w:id="5"/>
    </w:p>
    <w:p w14:paraId="28F00587">
      <w:pPr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The following principles are agreed for KI#2:</w:t>
      </w:r>
    </w:p>
    <w:p w14:paraId="1B10E24A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en-US"/>
        </w:rPr>
        <w:t>a)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zh-CN"/>
        </w:rPr>
        <w:t>The Sensing Service authorization consists of two steps:</w:t>
      </w:r>
    </w:p>
    <w:p w14:paraId="71C5E6FA">
      <w:pPr>
        <w:ind w:left="851" w:hanging="284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en-US"/>
        </w:rPr>
        <w:t>1)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Authorisation of the AF for Sensing Service request is performed by the NEF, if the AF is outside the trusted domain, as defined in TS 33.501 [9];</w:t>
      </w:r>
    </w:p>
    <w:p w14:paraId="503B0A91">
      <w:pPr>
        <w:ind w:left="851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2)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Authorisation of the AF's Sensing Service Request performed by the Sensing authorization functionality;</w:t>
      </w:r>
    </w:p>
    <w:p w14:paraId="04113F5C">
      <w:pPr>
        <w:ind w:left="568" w:hanging="284"/>
        <w:textAlignment w:val="auto"/>
        <w:rPr>
          <w:rFonts w:hint="eastAsia" w:ascii="宋体" w:hAnsi="宋体" w:eastAsia="宋体" w:cs="宋体"/>
          <w:color w:val="auto"/>
          <w:lang w:val="en-IN" w:eastAsia="zh-CN"/>
        </w:rPr>
      </w:pPr>
      <w:r>
        <w:rPr>
          <w:rFonts w:eastAsia="Times New Roman"/>
          <w:color w:val="auto"/>
          <w:lang w:val="en-US" w:eastAsia="en-US"/>
        </w:rPr>
        <w:t>NOTE: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IN" w:eastAsia="en-US"/>
        </w:rPr>
        <w:t>In this clause, Sensing authorization functionality may refer to Sensing Function, Sensing Control Function or Sensing Gateway and the wording may need alignment according to the conclusion of key issue 1</w:t>
      </w:r>
      <w:r>
        <w:rPr>
          <w:rFonts w:ascii="宋体" w:hAnsi="宋体" w:eastAsia="宋体" w:cs="宋体"/>
          <w:color w:val="auto"/>
          <w:lang w:val="en-IN" w:eastAsia="zh-CN"/>
        </w:rPr>
        <w:t>.</w:t>
      </w:r>
    </w:p>
    <w:p w14:paraId="24B8685E">
      <w:pPr>
        <w:ind w:left="568" w:hanging="284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en-US"/>
        </w:rPr>
        <w:t>b)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Sensing authorization functionality determines whether the Sensing Service Request from the AF is authorised, considering the example of Sensing authorisation information described in Table 7.1.2-1. Additional parameters, if any and further details on Sensing authorization information can be determined during the normative phase.</w:t>
      </w:r>
    </w:p>
    <w:p w14:paraId="51889D9D">
      <w:pPr>
        <w:keepNext/>
        <w:keepLines/>
        <w:spacing w:before="60"/>
        <w:jc w:val="center"/>
        <w:textAlignment w:val="auto"/>
        <w:rPr>
          <w:rFonts w:ascii="Arial" w:hAnsi="Arial" w:eastAsia="Times New Roman" w:cs="Arial"/>
          <w:b/>
          <w:color w:val="auto"/>
          <w:lang w:val="en-US" w:eastAsia="en-US"/>
        </w:rPr>
      </w:pPr>
      <w:r>
        <w:rPr>
          <w:rFonts w:ascii="Arial" w:hAnsi="Arial" w:eastAsia="Times New Roman" w:cs="Arial"/>
          <w:b/>
          <w:color w:val="auto"/>
          <w:lang w:val="en-US" w:eastAsia="en-US"/>
        </w:rPr>
        <w:t>Table 7.1.2-1: Sensing Authorization information for Sensing Service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4392"/>
      </w:tblGrid>
      <w:tr w14:paraId="362F3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3641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  <w:t>AF Authorization Data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43201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  <w:t>Description</w:t>
            </w:r>
          </w:p>
        </w:tc>
      </w:tr>
      <w:tr w14:paraId="15A8A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138D3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AF ID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DE361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en-US"/>
              </w:rPr>
              <w:t>Identifier used to identify the AF.</w:t>
            </w:r>
          </w:p>
        </w:tc>
      </w:tr>
      <w:tr w14:paraId="5EC96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C8242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Allowed/Not allowed area for sensing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DBF87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Indicate the allowed/not allowed area for the indicated AF to trigger the sensing services operations (NOTE 1).</w:t>
            </w:r>
          </w:p>
        </w:tc>
      </w:tr>
      <w:tr w14:paraId="1AC79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3A17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Allowed/Not allowed time period for sensing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78289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Indicate the allowed time period within which AF can trigger a particular sensing service operation.</w:t>
            </w:r>
          </w:p>
        </w:tc>
      </w:tr>
      <w:tr w14:paraId="19565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D091A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US" w:eastAsia="zh-CN"/>
              </w:rPr>
              <w:t>(Allowed) sensing service type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314EC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Indicate the allowed sensing service type (e.g. object tracking, detection) for the indicated AF to trigger the sensing services operations.</w:t>
            </w:r>
          </w:p>
        </w:tc>
      </w:tr>
      <w:tr w14:paraId="14C4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682CA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NOTE 1:</w:t>
            </w: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ab/>
            </w: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The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</w:r>
          </w:p>
        </w:tc>
      </w:tr>
    </w:tbl>
    <w:p w14:paraId="4A3B416A">
      <w:pPr>
        <w:textAlignment w:val="auto"/>
        <w:rPr>
          <w:rFonts w:eastAsia="Times New Roman"/>
          <w:color w:val="auto"/>
          <w:lang w:eastAsia="en-GB"/>
        </w:rPr>
      </w:pPr>
    </w:p>
    <w:p w14:paraId="5E49652F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c)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The Sensing Authorization information is pre-configured or configured by OAM and stored in Sensing authorization functionality for authorisation of the sensing service request.</w:t>
      </w:r>
    </w:p>
    <w:p w14:paraId="40BBA892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d)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Sensing authorization functionality can revoke the Sensing Service Request when the authorisation criteria are no longer met.</w:t>
      </w:r>
    </w:p>
    <w:p w14:paraId="7A3EC379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e)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The AF can cancel the on-going Sensing Service Request when needed.</w:t>
      </w:r>
    </w:p>
    <w:p w14:paraId="54DE0260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f)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There is no need for authorisation for the gNB as the Sensing Entity, as the gNB is deployed by operator.</w:t>
      </w:r>
    </w:p>
    <w:p w14:paraId="640DFBCF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6" w:name="_Toc212204489"/>
      <w:r>
        <w:rPr>
          <w:rFonts w:ascii="Arial" w:hAnsi="Arial" w:eastAsia="Times New Roman"/>
          <w:color w:val="auto"/>
          <w:sz w:val="28"/>
          <w:lang w:eastAsia="en-GB"/>
        </w:rPr>
        <w:t>7.1.3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KI#3: Sensing Entit</w:t>
      </w:r>
      <w:r>
        <w:rPr>
          <w:rFonts w:ascii="Arial" w:hAnsi="Arial" w:eastAsia="等线"/>
          <w:color w:val="auto"/>
          <w:sz w:val="28"/>
          <w:lang w:eastAsia="zh-CN"/>
        </w:rPr>
        <w:t>y and Sensing Function</w:t>
      </w:r>
      <w:r>
        <w:rPr>
          <w:rFonts w:ascii="Arial" w:hAnsi="Arial" w:eastAsia="Times New Roman"/>
          <w:color w:val="auto"/>
          <w:sz w:val="28"/>
          <w:lang w:eastAsia="en-GB"/>
        </w:rPr>
        <w:t xml:space="preserve"> Discovery and (Re-)Selection</w:t>
      </w:r>
      <w:bookmarkEnd w:id="6"/>
    </w:p>
    <w:p w14:paraId="1352BB02">
      <w:pPr>
        <w:textAlignment w:val="auto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The following principles are agreed in this release to address the key issue on Sensing Entity and Sensing Function Discovery and (Re-)Selection:</w:t>
      </w:r>
    </w:p>
    <w:p w14:paraId="67DCF186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r>
        <w:rPr>
          <w:rFonts w:eastAsia="等线"/>
          <w:color w:val="auto"/>
          <w:lang w:val="en-US" w:eastAsia="zh-CN"/>
        </w:rPr>
        <w:t>The Sensing Function selection is based on NEF's local configuration or NRF query</w:t>
      </w:r>
      <w:r>
        <w:rPr>
          <w:rFonts w:hint="eastAsia" w:eastAsia="等线"/>
          <w:color w:val="auto"/>
          <w:lang w:val="en-US" w:eastAsia="zh-CN"/>
        </w:rPr>
        <w:t xml:space="preserve">. </w:t>
      </w:r>
    </w:p>
    <w:p w14:paraId="222A8B8E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r>
        <w:rPr>
          <w:rFonts w:eastAsia="Times New Roman"/>
          <w:color w:val="auto"/>
          <w:lang w:val="en-US"/>
        </w:rPr>
        <w:t>The Sensing Function registers itself to the NRF, with its NF profile.</w:t>
      </w:r>
    </w:p>
    <w:p w14:paraId="55389350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 w:eastAsia="zh-CN"/>
        </w:rPr>
        <w:t>-</w:t>
      </w:r>
      <w:r>
        <w:rPr>
          <w:rFonts w:eastAsia="Times New Roman"/>
          <w:color w:val="auto"/>
          <w:lang w:val="en-US" w:eastAsia="zh-CN"/>
        </w:rPr>
        <w:tab/>
      </w:r>
      <w:r>
        <w:rPr>
          <w:rFonts w:eastAsia="Times New Roman"/>
          <w:color w:val="auto"/>
          <w:lang w:val="en-US" w:eastAsia="zh-CN"/>
        </w:rPr>
        <w:t>Sensing Function is selected based on at least its supported sensing area.</w:t>
      </w:r>
    </w:p>
    <w:p w14:paraId="76783DE6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r>
        <w:rPr>
          <w:rFonts w:eastAsia="Times New Roman"/>
          <w:color w:val="auto"/>
          <w:lang w:val="en-US"/>
        </w:rPr>
        <w:t>Sensing Function selects one or more Sensing Entities, i.e. gNBs, based on the sensing service request.</w:t>
      </w:r>
    </w:p>
    <w:p w14:paraId="7DEB9896">
      <w:pPr>
        <w:ind w:left="568" w:hanging="284"/>
        <w:textAlignment w:val="auto"/>
        <w:rPr>
          <w:rFonts w:eastAsia="等线"/>
          <w:color w:val="auto"/>
          <w:lang w:val="en-US" w:eastAsia="zh-CN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r>
        <w:rPr>
          <w:rFonts w:eastAsia="Times New Roman"/>
          <w:color w:val="auto"/>
          <w:lang w:val="en-US"/>
        </w:rPr>
        <w:t>Sensing Function selects the Sensing Entities, i.e. gNBs, based on information about the Sensing Entities, e.g. its supported sensing area.</w:t>
      </w:r>
    </w:p>
    <w:p w14:paraId="704DA8ED">
      <w:pPr>
        <w:keepLines/>
        <w:ind w:left="1135" w:hanging="851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en-US"/>
        </w:rPr>
        <w:t>NOTE: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The architecture aspect of this KI's interim conclusions will be aligned with KI#1 conclusions.</w:t>
      </w:r>
    </w:p>
    <w:p w14:paraId="728B7E61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7" w:name="_Toc212204490"/>
      <w:r>
        <w:rPr>
          <w:rFonts w:ascii="Arial" w:hAnsi="Arial" w:eastAsia="Times New Roman"/>
          <w:color w:val="auto"/>
          <w:sz w:val="28"/>
          <w:lang w:eastAsia="en-GB"/>
        </w:rPr>
        <w:t>7.1.4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KI#4: Sensing Data and the Associated Information Collection and Transport</w:t>
      </w:r>
      <w:bookmarkEnd w:id="7"/>
    </w:p>
    <w:p w14:paraId="6C7C49F8">
      <w:pPr>
        <w:textAlignment w:val="auto"/>
        <w:rPr>
          <w:rFonts w:eastAsia="Times New Roman"/>
          <w:color w:val="auto"/>
        </w:rPr>
      </w:pPr>
      <w:r>
        <w:rPr>
          <w:rFonts w:eastAsia="Times New Roman"/>
          <w:color w:val="auto"/>
          <w:lang w:eastAsia="en-GB"/>
        </w:rPr>
        <w:t>The following principles are agreed for KI#4:</w:t>
      </w:r>
    </w:p>
    <w:p w14:paraId="772E9D4F">
      <w:pPr>
        <w:ind w:left="568" w:hanging="284"/>
        <w:textAlignment w:val="auto"/>
        <w:rPr>
          <w:rFonts w:hint="eastAsia" w:eastAsiaTheme="minorEastAsia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Based on the received sensing service requirements from the Sensing Function, the Sensing Entity (gNB) can determine how to perform the relevant sensing measurement to collect the Sensing data.</w:t>
      </w:r>
    </w:p>
    <w:p w14:paraId="5255E765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 xml:space="preserve">Sensing Entity can support </w:t>
      </w:r>
      <w:ins w:id="0" w:author="雨彤 刘" w:date="2025-11-07T15:43:00Z">
        <w:r>
          <w:rPr>
            <w:rFonts w:eastAsia="Times New Roman"/>
            <w:color w:val="auto"/>
            <w:lang w:val="en-US" w:eastAsia="en-US"/>
          </w:rPr>
          <w:t>sensing data report an</w:t>
        </w:r>
      </w:ins>
      <w:ins w:id="1" w:author="雨彤 刘" w:date="2025-11-07T15:43:00Z">
        <w:r>
          <w:rPr>
            <w:rFonts w:hint="eastAsia" w:eastAsiaTheme="minorEastAsia"/>
            <w:color w:val="auto"/>
            <w:lang w:val="en-US" w:eastAsia="zh-CN"/>
          </w:rPr>
          <w:t>d</w:t>
        </w:r>
      </w:ins>
      <w:ins w:id="2" w:author="雨彤 刘" w:date="2025-11-07T15:43:00Z">
        <w:r>
          <w:rPr>
            <w:rFonts w:eastAsia="Times New Roman"/>
            <w:color w:val="auto"/>
            <w:lang w:val="en-US" w:eastAsia="en-US"/>
          </w:rPr>
          <w:t xml:space="preserve"> </w:t>
        </w:r>
      </w:ins>
      <w:r>
        <w:rPr>
          <w:rFonts w:eastAsia="Times New Roman"/>
          <w:color w:val="auto"/>
          <w:lang w:val="en-US" w:eastAsia="en-US"/>
        </w:rPr>
        <w:t>one time, periodical Sensing Data to the Sensing Function</w:t>
      </w:r>
      <w:ins w:id="3" w:author="雨彤 刘" w:date="2025-11-07T15:43:00Z">
        <w:r>
          <w:rPr>
            <w:rFonts w:hint="eastAsia" w:eastAsiaTheme="minorEastAsia"/>
            <w:color w:val="auto"/>
            <w:lang w:val="en-US" w:eastAsia="zh-CN"/>
          </w:rPr>
          <w:t xml:space="preserve"> </w:t>
        </w:r>
      </w:ins>
      <w:ins w:id="4" w:author="雨彤 刘" w:date="2025-11-07T15:43:00Z">
        <w:r>
          <w:rPr>
            <w:rFonts w:eastAsiaTheme="minorEastAsia"/>
            <w:color w:val="auto"/>
            <w:lang w:val="en-US" w:eastAsia="zh-CN"/>
          </w:rPr>
          <w:t>based on the received sensing request</w:t>
        </w:r>
      </w:ins>
      <w:r>
        <w:rPr>
          <w:rFonts w:eastAsia="Times New Roman"/>
          <w:color w:val="auto"/>
          <w:lang w:val="en-US" w:eastAsia="en-US"/>
        </w:rPr>
        <w:t>.</w:t>
      </w:r>
    </w:p>
    <w:p w14:paraId="449AE5BB">
      <w:pPr>
        <w:keepLines/>
        <w:ind w:left="1559" w:hanging="1276"/>
        <w:textAlignment w:val="auto"/>
        <w:rPr>
          <w:rFonts w:eastAsia="Times New Roman"/>
          <w:color w:val="FF0000"/>
          <w:lang w:val="en-US" w:eastAsia="en-US"/>
        </w:rPr>
      </w:pPr>
      <w:r>
        <w:rPr>
          <w:rFonts w:eastAsia="Times New Roman"/>
          <w:color w:val="FF0000"/>
          <w:lang w:val="en-US" w:eastAsia="en-US"/>
        </w:rPr>
        <w:t>Editor's note:</w:t>
      </w:r>
      <w:r>
        <w:rPr>
          <w:rFonts w:eastAsia="Times New Roman"/>
          <w:color w:val="FF0000"/>
          <w:lang w:val="en-US" w:eastAsia="en-US"/>
        </w:rPr>
        <w:tab/>
      </w:r>
      <w:r>
        <w:rPr>
          <w:rFonts w:eastAsia="Times New Roman"/>
          <w:color w:val="FF0000"/>
          <w:lang w:val="en-US" w:eastAsia="en-US"/>
        </w:rPr>
        <w:t>The type (one time, periodical, etc.) and content of Sensing Data that will be provided by gNB needs to be coordinated with RAN WGs in the normative phase.</w:t>
      </w:r>
    </w:p>
    <w:p w14:paraId="056C2130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Sensing data can be collected from one or multiple gNBs by Sensing Function for the same sensing service request.</w:t>
      </w:r>
    </w:p>
    <w:p w14:paraId="2041D148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The Sensing Function can generate sensing results based on the information provided by the Sensing Entity (gNB) node(s). </w:t>
      </w:r>
    </w:p>
    <w:p w14:paraId="18067C65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The architecture aspect of this KI's interim conclusions will be aligned with KI#1 conclusions.</w:t>
      </w:r>
    </w:p>
    <w:p w14:paraId="3FA5E82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5AC820D2"/>
    <w:p w14:paraId="2B074F0D">
      <w:pPr>
        <w:jc w:val="both"/>
        <w:rPr>
          <w:rFonts w:ascii="Arial" w:hAnsi="Arial" w:cs="Arial" w:eastAsiaTheme="minorEastAsia"/>
          <w:i/>
          <w:lang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GMaruGothicMPR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F37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24F3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3A67E6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F6D5"/>
  <w:p w14:paraId="5D0941CA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雨彤 刘">
    <w15:presenceInfo w15:providerId="Windows Live" w15:userId="33ec169ca03cf9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8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24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BAF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DE4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52D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A8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24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D2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E9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2D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A46"/>
    <w:rsid w:val="00331F83"/>
    <w:rsid w:val="00333038"/>
    <w:rsid w:val="003338BB"/>
    <w:rsid w:val="003349DF"/>
    <w:rsid w:val="00335D2E"/>
    <w:rsid w:val="0034141F"/>
    <w:rsid w:val="00344B6B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DA0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4E7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882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442"/>
    <w:rsid w:val="00416931"/>
    <w:rsid w:val="00416C0A"/>
    <w:rsid w:val="00417940"/>
    <w:rsid w:val="00420DD4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00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1D4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6BB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196"/>
    <w:rsid w:val="005A5CCE"/>
    <w:rsid w:val="005A69E3"/>
    <w:rsid w:val="005A6C83"/>
    <w:rsid w:val="005B0114"/>
    <w:rsid w:val="005B02B2"/>
    <w:rsid w:val="005B278B"/>
    <w:rsid w:val="005B39D5"/>
    <w:rsid w:val="005B3FB9"/>
    <w:rsid w:val="005B445F"/>
    <w:rsid w:val="005B49B5"/>
    <w:rsid w:val="005B4CF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A1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1B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1F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55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59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6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E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A3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DC9"/>
    <w:rsid w:val="008D6B3F"/>
    <w:rsid w:val="008E0416"/>
    <w:rsid w:val="008E0EB6"/>
    <w:rsid w:val="008E12F8"/>
    <w:rsid w:val="008E2C98"/>
    <w:rsid w:val="008E3D19"/>
    <w:rsid w:val="008E4A42"/>
    <w:rsid w:val="008E614A"/>
    <w:rsid w:val="008E6704"/>
    <w:rsid w:val="008E760A"/>
    <w:rsid w:val="008E76A6"/>
    <w:rsid w:val="008F0605"/>
    <w:rsid w:val="008F197C"/>
    <w:rsid w:val="008F5DB4"/>
    <w:rsid w:val="008F672C"/>
    <w:rsid w:val="008F69F8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51E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6A3"/>
    <w:rsid w:val="00A75755"/>
    <w:rsid w:val="00A767CC"/>
    <w:rsid w:val="00A76903"/>
    <w:rsid w:val="00A7757A"/>
    <w:rsid w:val="00A7791F"/>
    <w:rsid w:val="00A8109F"/>
    <w:rsid w:val="00A8265C"/>
    <w:rsid w:val="00A83682"/>
    <w:rsid w:val="00A83C31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19E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BA3"/>
    <w:rsid w:val="00AF3346"/>
    <w:rsid w:val="00AF3563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43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F96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C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A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5BF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53B"/>
    <w:rsid w:val="00CF467F"/>
    <w:rsid w:val="00CF5694"/>
    <w:rsid w:val="00CF571A"/>
    <w:rsid w:val="00CF5721"/>
    <w:rsid w:val="00CF65AA"/>
    <w:rsid w:val="00CF7310"/>
    <w:rsid w:val="00CF788B"/>
    <w:rsid w:val="00D015D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B8D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BB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CE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C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97E"/>
    <w:rsid w:val="00F0628A"/>
    <w:rsid w:val="00F0699E"/>
    <w:rsid w:val="00F07A65"/>
    <w:rsid w:val="00F1002C"/>
    <w:rsid w:val="00F117CA"/>
    <w:rsid w:val="00F12167"/>
    <w:rsid w:val="00F123F7"/>
    <w:rsid w:val="00F14A8A"/>
    <w:rsid w:val="00F151BF"/>
    <w:rsid w:val="00F15688"/>
    <w:rsid w:val="00F15B2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11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01D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CD"/>
    <w:rsid w:val="00F72B8D"/>
    <w:rsid w:val="00F72DB4"/>
    <w:rsid w:val="00F73F19"/>
    <w:rsid w:val="00F76259"/>
    <w:rsid w:val="00F767C3"/>
    <w:rsid w:val="00F76FE0"/>
    <w:rsid w:val="00F77118"/>
    <w:rsid w:val="00F80ABC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AD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6AD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8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6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5"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79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101"/>
    <w:qFormat/>
    <w:uiPriority w:val="0"/>
    <w:rPr>
      <w:b/>
    </w:rPr>
  </w:style>
  <w:style w:type="paragraph" w:customStyle="1" w:styleId="44">
    <w:name w:val="TAC"/>
    <w:basedOn w:val="45"/>
    <w:qFormat/>
    <w:uiPriority w:val="0"/>
    <w:pPr>
      <w:jc w:val="center"/>
    </w:pPr>
  </w:style>
  <w:style w:type="paragraph" w:customStyle="1" w:styleId="4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qFormat/>
    <w:uiPriority w:val="0"/>
    <w:pPr>
      <w:spacing w:after="0"/>
    </w:pPr>
  </w:style>
  <w:style w:type="paragraph" w:customStyle="1" w:styleId="54">
    <w:name w:val="EW"/>
    <w:basedOn w:val="50"/>
    <w:qFormat/>
    <w:uiPriority w:val="0"/>
    <w:pPr>
      <w:spacing w:after="0"/>
    </w:pPr>
  </w:style>
  <w:style w:type="paragraph" w:customStyle="1" w:styleId="55">
    <w:name w:val="B2"/>
    <w:basedOn w:val="1"/>
    <w:link w:val="99"/>
    <w:qFormat/>
    <w:uiPriority w:val="0"/>
    <w:pPr>
      <w:ind w:left="851" w:hanging="284"/>
    </w:pPr>
    <w:rPr>
      <w:lang w:val="zh-CN"/>
    </w:rPr>
  </w:style>
  <w:style w:type="paragraph" w:customStyle="1" w:styleId="56">
    <w:name w:val="B1"/>
    <w:basedOn w:val="1"/>
    <w:link w:val="77"/>
    <w:qFormat/>
    <w:uiPriority w:val="0"/>
    <w:pPr>
      <w:ind w:left="568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100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3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qFormat/>
    <w:uiPriority w:val="0"/>
    <w:pPr>
      <w:jc w:val="right"/>
    </w:pPr>
  </w:style>
  <w:style w:type="paragraph" w:customStyle="1" w:styleId="66">
    <w:name w:val="TAN"/>
    <w:basedOn w:val="45"/>
    <w:qFormat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80"/>
    <w:qFormat/>
    <w:uiPriority w:val="0"/>
    <w:rPr>
      <w:color w:val="FF000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qFormat/>
    <w:uiPriority w:val="0"/>
    <w:pPr>
      <w:framePr w:y="16161"/>
    </w:pPr>
  </w:style>
  <w:style w:type="character" w:customStyle="1" w:styleId="75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6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7">
    <w:name w:val="B1 Char"/>
    <w:link w:val="56"/>
    <w:qFormat/>
    <w:uiPriority w:val="0"/>
    <w:rPr>
      <w:color w:val="000000"/>
      <w:lang w:val="en-GB" w:eastAsia="ja-JP"/>
    </w:rPr>
  </w:style>
  <w:style w:type="character" w:customStyle="1" w:styleId="78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79">
    <w:name w:val="批注主题 字符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0">
    <w:name w:val="Editor's Note Char Char"/>
    <w:link w:val="69"/>
    <w:qFormat/>
    <w:uiPriority w:val="0"/>
    <w:rPr>
      <w:color w:val="FF0000"/>
      <w:lang w:val="en-GB" w:eastAsia="ja-JP"/>
    </w:rPr>
  </w:style>
  <w:style w:type="character" w:customStyle="1" w:styleId="81">
    <w:name w:val="NO Zchn"/>
    <w:link w:val="47"/>
    <w:qFormat/>
    <w:uiPriority w:val="0"/>
    <w:rPr>
      <w:color w:val="000000"/>
      <w:lang w:val="en-GB" w:eastAsia="ja-JP"/>
    </w:rPr>
  </w:style>
  <w:style w:type="character" w:customStyle="1" w:styleId="82">
    <w:name w:val="Editor's Note Char"/>
    <w:qFormat/>
    <w:locked/>
    <w:uiPriority w:val="0"/>
    <w:rPr>
      <w:color w:val="FF0000"/>
      <w:lang w:eastAsia="en-US"/>
    </w:rPr>
  </w:style>
  <w:style w:type="paragraph" w:styleId="83">
    <w:name w:val="List Paragraph"/>
    <w:basedOn w:val="1"/>
    <w:qFormat/>
    <w:uiPriority w:val="34"/>
    <w:pPr>
      <w:ind w:left="720"/>
    </w:pPr>
  </w:style>
  <w:style w:type="character" w:customStyle="1" w:styleId="84">
    <w:name w:val="NO Char"/>
    <w:qFormat/>
    <w:uiPriority w:val="0"/>
    <w:rPr>
      <w:lang w:val="en-GB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7">
    <w:name w:val="TAL Char"/>
    <w:link w:val="4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8">
    <w:name w:val="B1 Char1"/>
    <w:qFormat/>
    <w:uiPriority w:val="0"/>
    <w:rPr>
      <w:rFonts w:ascii="Times New Roman" w:hAnsi="Times New Roman"/>
      <w:lang w:val="en-GB"/>
    </w:rPr>
  </w:style>
  <w:style w:type="paragraph" w:customStyle="1" w:styleId="89">
    <w:name w:val="Doc-text2"/>
    <w:basedOn w:val="1"/>
    <w:link w:val="9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0">
    <w:name w:val="Doc-text2 Char"/>
    <w:link w:val="8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1">
    <w:name w:val="body"/>
    <w:basedOn w:val="1"/>
    <w:link w:val="92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2">
    <w:name w:val="body Char"/>
    <w:link w:val="91"/>
    <w:qFormat/>
    <w:uiPriority w:val="0"/>
    <w:rPr>
      <w:rFonts w:ascii="Bookman Old Style" w:hAnsi="Bookman Old Style"/>
    </w:rPr>
  </w:style>
  <w:style w:type="paragraph" w:styleId="93">
    <w:name w:val="Quote"/>
    <w:basedOn w:val="1"/>
    <w:next w:val="1"/>
    <w:link w:val="94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4">
    <w:name w:val="引用 字符"/>
    <w:link w:val="93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5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6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7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8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9">
    <w:name w:val="B2 Char"/>
    <w:link w:val="55"/>
    <w:qFormat/>
    <w:uiPriority w:val="0"/>
    <w:rPr>
      <w:color w:val="000000"/>
      <w:lang w:eastAsia="ja-JP"/>
    </w:rPr>
  </w:style>
  <w:style w:type="character" w:customStyle="1" w:styleId="100">
    <w:name w:val="TF Char"/>
    <w:link w:val="62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1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/>
</ds:datastoreItem>
</file>

<file path=customXml/itemProps2.xml><?xml version="1.0" encoding="utf-8"?>
<ds:datastoreItem xmlns:ds="http://schemas.openxmlformats.org/officeDocument/2006/customXml" ds:itemID="{3A564B6B-AC46-4DB5-ACCA-ED596777EFCD}">
  <ds:schemaRefs/>
</ds:datastoreItem>
</file>

<file path=customXml/itemProps3.xml><?xml version="1.0" encoding="utf-8"?>
<ds:datastoreItem xmlns:ds="http://schemas.openxmlformats.org/officeDocument/2006/customXml" ds:itemID="{B76CDCEC-CC01-41F8-BD05-835505996877}">
  <ds:schemaRefs/>
</ds:datastoreItem>
</file>

<file path=customXml/itemProps4.xml><?xml version="1.0" encoding="utf-8"?>
<ds:datastoreItem xmlns:ds="http://schemas.openxmlformats.org/officeDocument/2006/customXml" ds:itemID="{9BADE914-34C0-497F-AF98-CB4400D87915}">
  <ds:schemaRefs/>
</ds:datastoreItem>
</file>

<file path=customXml/itemProps5.xml><?xml version="1.0" encoding="utf-8"?>
<ds:datastoreItem xmlns:ds="http://schemas.openxmlformats.org/officeDocument/2006/customXml" ds:itemID="{6016A4E4-BE80-4AF8-A684-4078E9D2AED1}">
  <ds:schemaRefs/>
</ds:datastoreItem>
</file>

<file path=customXml/itemProps6.xml><?xml version="1.0" encoding="utf-8"?>
<ds:datastoreItem xmlns:ds="http://schemas.openxmlformats.org/officeDocument/2006/customXml" ds:itemID="{00A2B484-1218-49BE-83C0-E3AFAA8A2C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3</Pages>
  <Words>972</Words>
  <Characters>5199</Characters>
  <Lines>98</Lines>
  <Paragraphs>76</Paragraphs>
  <TotalTime>19</TotalTime>
  <ScaleCrop>false</ScaleCrop>
  <LinksUpToDate>false</LinksUpToDate>
  <CharactersWithSpaces>6110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2025-11-07T07:38:00Z</dcterms:created>
  <dc:creator>Huawei User</dc:creator>
  <cp:lastModifiedBy>YTong</cp:lastModifiedBy>
  <cp:lastPrinted>2018-08-13T16:59:00Z</cp:lastPrinted>
  <dcterms:modified xsi:type="dcterms:W3CDTF">2025-11-07T09:31:50Z</dcterms:modified>
  <dc:title>SA2 eV2X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TemplateDocerSaveRecord">
    <vt:lpwstr>eyJoZGlkIjoiNjFmODk3ZTZhYzNmZDM3NDk4ZThkMzAxOGQ5YWZjOWUiLCJ1c2VySWQiOiIzMDg0MjM1OTEifQ==</vt:lpwstr>
  </property>
  <property fmtid="{D5CDD505-2E9C-101B-9397-08002B2CF9AE}" pid="16" name="KSOProductBuildVer">
    <vt:lpwstr>2052-12.1.0.23125</vt:lpwstr>
  </property>
  <property fmtid="{D5CDD505-2E9C-101B-9397-08002B2CF9AE}" pid="17" name="ICV">
    <vt:lpwstr>B968DB2EBA4A40669FECD5C89BF5357F_12</vt:lpwstr>
  </property>
</Properties>
</file>