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55A725" w14:textId="67A60097" w:rsidR="00FA1FE2" w:rsidRDefault="00FA1FE2" w:rsidP="00FA1FE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#S2-136</w:t>
      </w:r>
      <w:r>
        <w:rPr>
          <w:rFonts w:cs="Arial"/>
          <w:b/>
          <w:noProof/>
          <w:sz w:val="24"/>
        </w:rPr>
        <w:tab/>
        <w:t>S2-191087</w:t>
      </w:r>
      <w:r>
        <w:rPr>
          <w:rFonts w:cs="Arial"/>
          <w:b/>
          <w:noProof/>
          <w:sz w:val="24"/>
        </w:rPr>
        <w:t>7</w:t>
      </w:r>
      <w:bookmarkStart w:id="0" w:name="_GoBack"/>
      <w:bookmarkEnd w:id="0"/>
    </w:p>
    <w:p w14:paraId="21FA24AA" w14:textId="77777777" w:rsidR="00FA1FE2" w:rsidRDefault="00FA1FE2" w:rsidP="00FA1FE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November, 2019, Reno, Nevada, USA</w:t>
      </w:r>
    </w:p>
    <w:p w14:paraId="145D5FA8" w14:textId="77777777" w:rsidR="00FA1FE2" w:rsidRPr="00296C7B" w:rsidRDefault="00FA1FE2" w:rsidP="00FA1FE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62C2391" w14:textId="4D7A17FA" w:rsidR="003C0808" w:rsidRDefault="003C0808" w:rsidP="003C080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#S2-135</w:t>
      </w:r>
      <w:r>
        <w:rPr>
          <w:rFonts w:cs="Arial"/>
          <w:b/>
          <w:noProof/>
          <w:sz w:val="24"/>
        </w:rPr>
        <w:tab/>
        <w:t>S2-19</w:t>
      </w:r>
      <w:r w:rsidR="00ED0BFC">
        <w:rPr>
          <w:rFonts w:cs="Arial"/>
          <w:b/>
          <w:noProof/>
          <w:sz w:val="24"/>
        </w:rPr>
        <w:t>09980</w:t>
      </w:r>
    </w:p>
    <w:p w14:paraId="3F754EAF" w14:textId="77777777" w:rsidR="003C0808" w:rsidRDefault="003C0808" w:rsidP="003C080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2019, Split Croatia</w:t>
      </w:r>
    </w:p>
    <w:p w14:paraId="5386DF1E" w14:textId="065D2C33" w:rsidR="003C0808" w:rsidRPr="003C0808" w:rsidRDefault="003C0808" w:rsidP="003C080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C2E1686" w14:textId="782A6F84" w:rsidR="001C2BD8" w:rsidRDefault="007419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C3-194</w:t>
      </w:r>
      <w:r w:rsidR="001C638F">
        <w:rPr>
          <w:b/>
          <w:noProof/>
          <w:sz w:val="24"/>
        </w:rPr>
        <w:t>395</w:t>
      </w:r>
    </w:p>
    <w:p w14:paraId="5F22DAE9" w14:textId="77777777" w:rsidR="001C2BD8" w:rsidRDefault="007419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5734FA61" w14:textId="77777777" w:rsidR="001C2BD8" w:rsidRDefault="001C2BD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6763DFF" w14:textId="77777777" w:rsidR="001C2BD8" w:rsidRDefault="001C2BD8">
      <w:pPr>
        <w:rPr>
          <w:rFonts w:ascii="Arial" w:hAnsi="Arial" w:cs="Arial"/>
        </w:rPr>
      </w:pPr>
    </w:p>
    <w:p w14:paraId="2135228D" w14:textId="1EBD3585" w:rsidR="001C2BD8" w:rsidRDefault="00741912">
      <w:pPr>
        <w:pStyle w:val="Title"/>
      </w:pPr>
      <w:r>
        <w:t>Title:</w:t>
      </w:r>
      <w:r>
        <w:tab/>
      </w:r>
      <w:r w:rsidRPr="00F34682">
        <w:rPr>
          <w:b w:val="0"/>
        </w:rPr>
        <w:t xml:space="preserve">LS on </w:t>
      </w:r>
      <w:r w:rsidR="00001FF8" w:rsidRPr="00F34682">
        <w:rPr>
          <w:b w:val="0"/>
        </w:rPr>
        <w:t>background data transfer policy re-negotiation</w:t>
      </w:r>
    </w:p>
    <w:p w14:paraId="0E7B3692" w14:textId="5BBAE4D0" w:rsidR="001C2BD8" w:rsidRDefault="00741912">
      <w:pPr>
        <w:pStyle w:val="Title"/>
      </w:pPr>
      <w:r>
        <w:t>Response to:</w:t>
      </w:r>
      <w:r>
        <w:tab/>
      </w:r>
    </w:p>
    <w:p w14:paraId="27E92D1F" w14:textId="6C5FB70A" w:rsidR="001C2BD8" w:rsidRDefault="00741912">
      <w:pPr>
        <w:pStyle w:val="Title"/>
      </w:pPr>
      <w:r>
        <w:t>Release:</w:t>
      </w:r>
      <w:r>
        <w:tab/>
      </w:r>
      <w:r w:rsidR="00001FF8" w:rsidRPr="00F34682">
        <w:rPr>
          <w:b w:val="0"/>
        </w:rPr>
        <w:t>Rel-16</w:t>
      </w:r>
    </w:p>
    <w:p w14:paraId="3774CCF0" w14:textId="0C0521FC" w:rsidR="001C2BD8" w:rsidRDefault="00741912">
      <w:pPr>
        <w:pStyle w:val="Title"/>
      </w:pPr>
      <w:r>
        <w:t>Work Item:</w:t>
      </w:r>
      <w:r>
        <w:tab/>
      </w:r>
      <w:proofErr w:type="spellStart"/>
      <w:r w:rsidR="00001FF8" w:rsidRPr="00F34682">
        <w:rPr>
          <w:b w:val="0"/>
        </w:rPr>
        <w:t>eNA</w:t>
      </w:r>
      <w:proofErr w:type="spellEnd"/>
    </w:p>
    <w:p w14:paraId="16E6E264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3287C995" w14:textId="4E70D95F" w:rsidR="001C2BD8" w:rsidRDefault="00741912">
      <w:pPr>
        <w:pStyle w:val="Source"/>
      </w:pPr>
      <w:r>
        <w:t>Source:</w:t>
      </w:r>
      <w:r>
        <w:tab/>
      </w:r>
      <w:r w:rsidR="00001FF8" w:rsidRPr="00F34682">
        <w:rPr>
          <w:b w:val="0"/>
          <w:bCs/>
          <w:kern w:val="28"/>
        </w:rPr>
        <w:t>CT3</w:t>
      </w:r>
    </w:p>
    <w:p w14:paraId="1E4D15E6" w14:textId="46CEC066" w:rsidR="001C2BD8" w:rsidRDefault="00741912">
      <w:pPr>
        <w:pStyle w:val="Source"/>
      </w:pPr>
      <w:r>
        <w:t>To:</w:t>
      </w:r>
      <w:r>
        <w:tab/>
      </w:r>
      <w:r w:rsidR="00001FF8" w:rsidRPr="00F34682">
        <w:rPr>
          <w:b w:val="0"/>
          <w:bCs/>
          <w:kern w:val="28"/>
        </w:rPr>
        <w:t>SA2</w:t>
      </w:r>
    </w:p>
    <w:p w14:paraId="0E4DD7F3" w14:textId="04B7D0EA" w:rsidR="001C2BD8" w:rsidRDefault="00741912">
      <w:pPr>
        <w:pStyle w:val="Source"/>
      </w:pPr>
      <w:r>
        <w:t>Cc:</w:t>
      </w:r>
      <w:r>
        <w:tab/>
      </w:r>
    </w:p>
    <w:p w14:paraId="5B622C04" w14:textId="77777777" w:rsidR="001C2BD8" w:rsidRDefault="001C2BD8">
      <w:pPr>
        <w:spacing w:after="60"/>
        <w:ind w:left="1985" w:hanging="1985"/>
        <w:rPr>
          <w:rFonts w:ascii="Arial" w:hAnsi="Arial" w:cs="Arial"/>
          <w:bCs/>
        </w:rPr>
      </w:pPr>
    </w:p>
    <w:p w14:paraId="603F6BC5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C1647FE" w14:textId="1AD65BE7" w:rsidR="001C2BD8" w:rsidRDefault="00741912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proofErr w:type="spellStart"/>
      <w:r w:rsidR="00001FF8">
        <w:rPr>
          <w:bCs/>
        </w:rPr>
        <w:t>Xiaoyun</w:t>
      </w:r>
      <w:proofErr w:type="spellEnd"/>
      <w:r w:rsidR="00001FF8">
        <w:rPr>
          <w:bCs/>
        </w:rPr>
        <w:t xml:space="preserve"> Zhou</w:t>
      </w:r>
    </w:p>
    <w:p w14:paraId="7DD4DCE5" w14:textId="77777777" w:rsidR="001C2BD8" w:rsidRDefault="00741912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6A2B46AF" w14:textId="2C907DEB" w:rsidR="001C2BD8" w:rsidRDefault="00741912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001FF8">
        <w:rPr>
          <w:bCs/>
          <w:color w:val="0000FF"/>
        </w:rPr>
        <w:t>zhouxiaoyun8@huawei.com</w:t>
      </w:r>
    </w:p>
    <w:p w14:paraId="19438D68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F947C7D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E78999C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3A9B31D" w14:textId="6731D844" w:rsidR="001C2BD8" w:rsidRDefault="00741912">
      <w:pPr>
        <w:pStyle w:val="Title"/>
      </w:pPr>
      <w:r>
        <w:t>Attachments:</w:t>
      </w:r>
      <w:r>
        <w:tab/>
      </w:r>
    </w:p>
    <w:p w14:paraId="60493746" w14:textId="77777777" w:rsidR="001C2BD8" w:rsidRDefault="001C2BD8">
      <w:pPr>
        <w:pBdr>
          <w:bottom w:val="single" w:sz="4" w:space="1" w:color="auto"/>
        </w:pBdr>
        <w:rPr>
          <w:rFonts w:ascii="Arial" w:hAnsi="Arial" w:cs="Arial"/>
        </w:rPr>
      </w:pPr>
    </w:p>
    <w:p w14:paraId="73DA6D2A" w14:textId="77777777" w:rsidR="001C2BD8" w:rsidRDefault="001C2BD8">
      <w:pPr>
        <w:rPr>
          <w:rFonts w:ascii="Arial" w:hAnsi="Arial" w:cs="Arial"/>
        </w:rPr>
      </w:pPr>
    </w:p>
    <w:p w14:paraId="1D9AE450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D60A445" w14:textId="10CD7C78" w:rsidR="00E56C42" w:rsidRDefault="00F34682">
      <w:pPr>
        <w:rPr>
          <w:rFonts w:ascii="Arial" w:hAnsi="Arial" w:cs="Arial"/>
          <w:bCs/>
          <w:kern w:val="28"/>
        </w:rPr>
      </w:pPr>
      <w:r w:rsidRPr="00F34682">
        <w:rPr>
          <w:rFonts w:ascii="Arial" w:hAnsi="Arial" w:cs="Arial" w:hint="eastAsia"/>
          <w:bCs/>
          <w:kern w:val="28"/>
        </w:rPr>
        <w:t>CT3</w:t>
      </w:r>
      <w:r w:rsidRPr="00F34682">
        <w:rPr>
          <w:rFonts w:ascii="Arial" w:hAnsi="Arial" w:cs="Arial"/>
          <w:bCs/>
          <w:kern w:val="28"/>
        </w:rPr>
        <w:t xml:space="preserve"> has</w:t>
      </w:r>
      <w:r>
        <w:rPr>
          <w:rFonts w:ascii="Arial" w:hAnsi="Arial" w:cs="Arial"/>
          <w:bCs/>
          <w:kern w:val="28"/>
        </w:rPr>
        <w:t xml:space="preserve"> almost completed the work on </w:t>
      </w:r>
      <w:r w:rsidR="00E56C42" w:rsidRPr="00E56C42">
        <w:rPr>
          <w:rFonts w:ascii="Arial" w:hAnsi="Arial" w:cs="Arial"/>
          <w:bCs/>
          <w:kern w:val="28"/>
        </w:rPr>
        <w:t>BDT warning notification</w:t>
      </w:r>
      <w:r w:rsidR="00E56C42">
        <w:rPr>
          <w:rFonts w:ascii="Arial" w:hAnsi="Arial" w:cs="Arial"/>
          <w:bCs/>
          <w:kern w:val="28"/>
        </w:rPr>
        <w:t>.</w:t>
      </w:r>
    </w:p>
    <w:p w14:paraId="340DCF11" w14:textId="77777777" w:rsidR="00E56C42" w:rsidRDefault="00E56C42">
      <w:pPr>
        <w:rPr>
          <w:rFonts w:ascii="Arial" w:hAnsi="Arial" w:cs="Arial"/>
          <w:bCs/>
          <w:kern w:val="28"/>
        </w:rPr>
      </w:pPr>
    </w:p>
    <w:p w14:paraId="5570D443" w14:textId="3CC95589" w:rsidR="00E56C42" w:rsidRDefault="00E56C42">
      <w:pPr>
        <w:rPr>
          <w:rFonts w:ascii="Arial" w:hAnsi="Arial" w:cs="Arial"/>
          <w:bCs/>
          <w:i/>
          <w:kern w:val="28"/>
        </w:rPr>
      </w:pPr>
      <w:r>
        <w:rPr>
          <w:rFonts w:ascii="Arial" w:hAnsi="Arial" w:cs="Arial"/>
          <w:bCs/>
          <w:kern w:val="28"/>
        </w:rPr>
        <w:t>In subclause 6.1.2.4 of TS 23.503, it is specified</w:t>
      </w:r>
      <w:r w:rsidR="00FC14B9">
        <w:rPr>
          <w:rFonts w:ascii="Arial" w:hAnsi="Arial" w:cs="Arial"/>
          <w:bCs/>
          <w:kern w:val="28"/>
        </w:rPr>
        <w:t xml:space="preserve">: </w:t>
      </w:r>
      <w:r w:rsidR="00FC14B9" w:rsidRPr="00B220B2">
        <w:rPr>
          <w:rFonts w:ascii="Arial" w:hAnsi="Arial" w:cs="Arial"/>
          <w:bCs/>
          <w:i/>
          <w:kern w:val="28"/>
        </w:rPr>
        <w:t>T</w:t>
      </w:r>
      <w:r w:rsidRPr="00E56C42">
        <w:rPr>
          <w:rFonts w:ascii="Arial" w:hAnsi="Arial" w:cs="Arial"/>
          <w:bCs/>
          <w:i/>
          <w:kern w:val="28"/>
        </w:rPr>
        <w:t>he BDT warning notification indicates to the ASP that the BDT policy needs to be re-negotiated.</w:t>
      </w:r>
    </w:p>
    <w:p w14:paraId="7E06A4B7" w14:textId="77777777" w:rsidR="00E56C42" w:rsidRDefault="00E56C42">
      <w:pPr>
        <w:rPr>
          <w:rFonts w:ascii="Arial" w:hAnsi="Arial" w:cs="Arial"/>
          <w:bCs/>
          <w:i/>
          <w:kern w:val="28"/>
        </w:rPr>
      </w:pPr>
    </w:p>
    <w:p w14:paraId="1FFDEB3D" w14:textId="36982ED7" w:rsidR="00E56C42" w:rsidRDefault="00E56C42">
      <w:pPr>
        <w:rPr>
          <w:rFonts w:ascii="Arial" w:hAnsi="Arial" w:cs="Arial"/>
          <w:bCs/>
          <w:i/>
          <w:kern w:val="28"/>
        </w:rPr>
      </w:pPr>
      <w:r w:rsidRPr="00E56C42">
        <w:rPr>
          <w:rFonts w:ascii="Arial" w:hAnsi="Arial" w:cs="Arial"/>
          <w:bCs/>
          <w:kern w:val="28"/>
        </w:rPr>
        <w:t>It is also mentioned in NOTE 8 in same subclause</w:t>
      </w:r>
      <w:r w:rsidR="00FC14B9">
        <w:rPr>
          <w:rFonts w:ascii="Arial" w:hAnsi="Arial" w:cs="Arial"/>
          <w:bCs/>
          <w:kern w:val="28"/>
        </w:rPr>
        <w:t>:</w:t>
      </w:r>
      <w:r w:rsidRPr="00E56C42">
        <w:rPr>
          <w:rFonts w:ascii="Arial" w:hAnsi="Arial" w:cs="Arial"/>
          <w:bCs/>
          <w:kern w:val="28"/>
        </w:rPr>
        <w:t xml:space="preserve"> </w:t>
      </w:r>
      <w:r w:rsidR="00FC14B9" w:rsidRPr="00B220B2">
        <w:rPr>
          <w:rFonts w:ascii="Arial" w:hAnsi="Arial" w:cs="Arial"/>
          <w:bCs/>
          <w:i/>
          <w:kern w:val="28"/>
        </w:rPr>
        <w:t>A</w:t>
      </w:r>
      <w:r w:rsidRPr="00E56C42">
        <w:rPr>
          <w:rFonts w:ascii="Arial" w:hAnsi="Arial" w:cs="Arial"/>
          <w:bCs/>
          <w:i/>
          <w:kern w:val="28"/>
        </w:rPr>
        <w:t>fter the AF receives the notification, the AF may renegotiate the background data transfer policy with the PCF. This is beneficial to improve the quality of background data traffic.</w:t>
      </w:r>
    </w:p>
    <w:p w14:paraId="5FE9F66A" w14:textId="77777777" w:rsidR="00E56C42" w:rsidRDefault="00E56C42">
      <w:pPr>
        <w:rPr>
          <w:rFonts w:ascii="Arial" w:hAnsi="Arial" w:cs="Arial"/>
          <w:bCs/>
          <w:i/>
          <w:kern w:val="28"/>
        </w:rPr>
      </w:pPr>
    </w:p>
    <w:p w14:paraId="2D9F3D1D" w14:textId="21CDC05E" w:rsidR="00E56C42" w:rsidRDefault="00E56C42">
      <w:pPr>
        <w:rPr>
          <w:rFonts w:ascii="Arial" w:hAnsi="Arial" w:cs="Arial"/>
          <w:bCs/>
          <w:kern w:val="28"/>
        </w:rPr>
      </w:pPr>
      <w:r w:rsidRPr="00E56C42">
        <w:rPr>
          <w:rFonts w:ascii="Arial" w:hAnsi="Arial" w:cs="Arial"/>
          <w:bCs/>
          <w:kern w:val="28"/>
        </w:rPr>
        <w:t xml:space="preserve">But the </w:t>
      </w:r>
      <w:proofErr w:type="spellStart"/>
      <w:r w:rsidRPr="00E56C42">
        <w:rPr>
          <w:rFonts w:ascii="Arial" w:hAnsi="Arial" w:cs="Arial"/>
          <w:bCs/>
          <w:kern w:val="28"/>
        </w:rPr>
        <w:t>Nnef_BDTPNegotiation_Update</w:t>
      </w:r>
      <w:proofErr w:type="spellEnd"/>
      <w:r w:rsidRPr="00E56C42">
        <w:rPr>
          <w:rFonts w:ascii="Arial" w:hAnsi="Arial" w:cs="Arial"/>
          <w:bCs/>
          <w:kern w:val="28"/>
        </w:rPr>
        <w:t xml:space="preserve"> service operation defined in TS 23.502 only support</w:t>
      </w:r>
      <w:r w:rsidR="00B85E56">
        <w:rPr>
          <w:rFonts w:ascii="Arial" w:hAnsi="Arial" w:cs="Arial"/>
          <w:bCs/>
          <w:kern w:val="28"/>
        </w:rPr>
        <w:t>s</w:t>
      </w:r>
      <w:r w:rsidRPr="00E56C42">
        <w:rPr>
          <w:rFonts w:ascii="Arial" w:hAnsi="Arial" w:cs="Arial"/>
          <w:bCs/>
          <w:kern w:val="28"/>
        </w:rPr>
        <w:t xml:space="preserve"> to indicate the reset for notification</w:t>
      </w:r>
      <w:r w:rsidR="001C638F">
        <w:rPr>
          <w:rFonts w:ascii="Arial" w:hAnsi="Arial" w:cs="Arial"/>
          <w:bCs/>
          <w:kern w:val="28"/>
        </w:rPr>
        <w:t>. CT3 understands that the re-negotiation</w:t>
      </w:r>
      <w:r w:rsidR="00F24AFF">
        <w:rPr>
          <w:rFonts w:ascii="Arial" w:hAnsi="Arial" w:cs="Arial"/>
          <w:bCs/>
          <w:kern w:val="28"/>
        </w:rPr>
        <w:t xml:space="preserve"> of BDT policy</w:t>
      </w:r>
      <w:r w:rsidR="001C638F">
        <w:rPr>
          <w:rFonts w:ascii="Arial" w:hAnsi="Arial" w:cs="Arial"/>
          <w:bCs/>
          <w:kern w:val="28"/>
        </w:rPr>
        <w:t xml:space="preserve"> is not supported currently.</w:t>
      </w:r>
    </w:p>
    <w:p w14:paraId="47EBC7FF" w14:textId="77777777" w:rsidR="00CA6357" w:rsidRDefault="00CA6357">
      <w:pPr>
        <w:rPr>
          <w:rFonts w:ascii="Arial" w:hAnsi="Arial" w:cs="Arial"/>
          <w:bCs/>
          <w:kern w:val="28"/>
        </w:rPr>
      </w:pPr>
    </w:p>
    <w:p w14:paraId="15359C10" w14:textId="7DD8B78C" w:rsidR="00CA6357" w:rsidRDefault="00CA6357" w:rsidP="00CA635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Q1:</w:t>
      </w:r>
      <w:r w:rsidR="0024171E">
        <w:rPr>
          <w:rFonts w:ascii="Arial" w:hAnsi="Arial" w:cs="Arial"/>
          <w:lang w:eastAsia="zh-CN"/>
        </w:rPr>
        <w:t xml:space="preserve"> Does SA2 plan to specify </w:t>
      </w:r>
      <w:r w:rsidR="00AA0BC8">
        <w:rPr>
          <w:rFonts w:ascii="Arial" w:hAnsi="Arial" w:cs="Arial"/>
          <w:lang w:eastAsia="zh-CN"/>
        </w:rPr>
        <w:t xml:space="preserve">the procedure for the </w:t>
      </w:r>
      <w:r w:rsidR="0024171E">
        <w:rPr>
          <w:rFonts w:ascii="Arial" w:hAnsi="Arial" w:cs="Arial"/>
          <w:lang w:eastAsia="zh-CN"/>
        </w:rPr>
        <w:t>re-negotiation of BDT policy</w:t>
      </w:r>
      <w:r w:rsidR="00C30920">
        <w:rPr>
          <w:rFonts w:ascii="Arial" w:hAnsi="Arial" w:cs="Arial"/>
          <w:lang w:eastAsia="zh-CN"/>
        </w:rPr>
        <w:t xml:space="preserve"> in Rel-16</w:t>
      </w:r>
      <w:r>
        <w:rPr>
          <w:rFonts w:ascii="Arial" w:hAnsi="Arial" w:cs="Arial"/>
          <w:lang w:eastAsia="zh-CN"/>
        </w:rPr>
        <w:t>?</w:t>
      </w:r>
    </w:p>
    <w:p w14:paraId="44B0CEBB" w14:textId="77777777" w:rsidR="00CA6357" w:rsidRPr="00AA0BC8" w:rsidRDefault="00CA6357" w:rsidP="00CA635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B6462F8" w14:textId="7DB4B40E" w:rsidR="00CA6357" w:rsidRPr="00E56C42" w:rsidRDefault="00CA6357" w:rsidP="00CA6357">
      <w:pPr>
        <w:rPr>
          <w:rFonts w:ascii="Arial" w:hAnsi="Arial" w:cs="Arial"/>
          <w:bCs/>
          <w:kern w:val="28"/>
        </w:rPr>
      </w:pPr>
      <w:r>
        <w:rPr>
          <w:rFonts w:ascii="Arial" w:hAnsi="Arial" w:cs="Arial" w:hint="eastAsia"/>
          <w:lang w:eastAsia="zh-CN"/>
        </w:rPr>
        <w:t>Q</w:t>
      </w:r>
      <w:r>
        <w:rPr>
          <w:rFonts w:ascii="Arial" w:hAnsi="Arial" w:cs="Arial"/>
          <w:lang w:eastAsia="zh-CN"/>
        </w:rPr>
        <w:t>2</w:t>
      </w:r>
      <w:r>
        <w:rPr>
          <w:rFonts w:ascii="Arial" w:hAnsi="Arial" w:cs="Arial" w:hint="eastAsia"/>
          <w:lang w:eastAsia="zh-CN"/>
        </w:rPr>
        <w:t>:</w:t>
      </w:r>
      <w:r>
        <w:rPr>
          <w:rFonts w:ascii="Arial" w:hAnsi="Arial" w:cs="Arial"/>
          <w:lang w:eastAsia="zh-CN"/>
        </w:rPr>
        <w:t xml:space="preserve"> If answer of Q1 is yes, how</w:t>
      </w:r>
      <w:r w:rsidR="00B85E56">
        <w:rPr>
          <w:rFonts w:ascii="Arial" w:hAnsi="Arial" w:cs="Arial"/>
          <w:lang w:eastAsia="zh-CN"/>
        </w:rPr>
        <w:t xml:space="preserve"> does</w:t>
      </w:r>
      <w:r>
        <w:rPr>
          <w:rFonts w:ascii="Arial" w:hAnsi="Arial" w:cs="Arial"/>
          <w:lang w:eastAsia="zh-CN"/>
        </w:rPr>
        <w:t xml:space="preserve"> the AF re-negotiate the BDT policy?</w:t>
      </w:r>
    </w:p>
    <w:p w14:paraId="6D7EEE7F" w14:textId="77777777" w:rsidR="001C2BD8" w:rsidRPr="00CA6357" w:rsidRDefault="001C2BD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9906FCE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51DFA70" w14:textId="01CF6BE8" w:rsidR="001C2BD8" w:rsidRDefault="0074191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56C42" w:rsidRPr="00E56C42">
        <w:rPr>
          <w:rFonts w:ascii="Arial" w:hAnsi="Arial" w:cs="Arial"/>
        </w:rPr>
        <w:t>SA2</w:t>
      </w:r>
      <w:r>
        <w:rPr>
          <w:rFonts w:ascii="Arial" w:hAnsi="Arial" w:cs="Arial"/>
          <w:b/>
        </w:rPr>
        <w:t xml:space="preserve"> group.</w:t>
      </w:r>
    </w:p>
    <w:p w14:paraId="7CDA4DDA" w14:textId="722E1DDE" w:rsidR="001C2BD8" w:rsidRDefault="00741912" w:rsidP="00CA635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CA6357">
        <w:rPr>
          <w:rFonts w:ascii="Arial" w:hAnsi="Arial" w:cs="Arial"/>
        </w:rPr>
        <w:t xml:space="preserve">CT3 asks SA2 to kindly answer the above questions and to consider </w:t>
      </w:r>
      <w:r w:rsidR="0024171E">
        <w:rPr>
          <w:rFonts w:ascii="Arial" w:hAnsi="Arial" w:cs="Arial"/>
        </w:rPr>
        <w:t>to define the corresponding procedure</w:t>
      </w:r>
      <w:r w:rsidR="00CA6357">
        <w:rPr>
          <w:rFonts w:ascii="Arial" w:hAnsi="Arial" w:cs="Arial"/>
        </w:rPr>
        <w:t xml:space="preserve"> in that respect.</w:t>
      </w:r>
    </w:p>
    <w:p w14:paraId="5DE98F57" w14:textId="77777777" w:rsidR="001C2BD8" w:rsidRDefault="001C2BD8">
      <w:pPr>
        <w:spacing w:after="120"/>
        <w:ind w:left="993" w:hanging="993"/>
        <w:rPr>
          <w:rFonts w:ascii="Arial" w:hAnsi="Arial" w:cs="Arial"/>
        </w:rPr>
      </w:pPr>
    </w:p>
    <w:p w14:paraId="642CF337" w14:textId="5DB2C553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</w:t>
      </w:r>
      <w:r w:rsidR="002271A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2B7B736D" w14:textId="77777777" w:rsidR="001C2BD8" w:rsidRDefault="007419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CT3#107</w:t>
      </w:r>
      <w:r>
        <w:rPr>
          <w:rFonts w:ascii="Arial" w:hAnsi="Arial" w:cs="Arial"/>
          <w:bCs/>
        </w:rPr>
        <w:tab/>
        <w:t>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2019</w:t>
      </w:r>
      <w:r>
        <w:rPr>
          <w:rFonts w:ascii="Arial" w:hAnsi="Arial" w:cs="Arial"/>
          <w:bCs/>
        </w:rPr>
        <w:tab/>
        <w:t>Reno, US</w:t>
      </w:r>
    </w:p>
    <w:p w14:paraId="3A07EC66" w14:textId="77777777" w:rsidR="001C2BD8" w:rsidRDefault="007419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CT3#108</w:t>
      </w:r>
      <w:r>
        <w:rPr>
          <w:rFonts w:ascii="Arial" w:hAnsi="Arial" w:cs="Arial"/>
          <w:bCs/>
        </w:rPr>
        <w:tab/>
        <w:t>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2020</w:t>
      </w:r>
      <w:r>
        <w:rPr>
          <w:rFonts w:ascii="Arial" w:hAnsi="Arial" w:cs="Arial"/>
          <w:bCs/>
        </w:rPr>
        <w:tab/>
        <w:t>Sophia Antipolis, FR</w:t>
      </w:r>
    </w:p>
    <w:p w14:paraId="1BBA4D77" w14:textId="77777777" w:rsidR="001C2BD8" w:rsidRPr="005A2CEA" w:rsidRDefault="001C2BD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C2BD8" w:rsidRPr="005A2CE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6B820E" w14:textId="77777777" w:rsidR="00553A30" w:rsidRDefault="00553A30">
      <w:r>
        <w:separator/>
      </w:r>
    </w:p>
  </w:endnote>
  <w:endnote w:type="continuationSeparator" w:id="0">
    <w:p w14:paraId="05C338C6" w14:textId="77777777" w:rsidR="00553A30" w:rsidRDefault="00553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0943B3" w14:textId="77777777" w:rsidR="00553A30" w:rsidRDefault="00553A30">
      <w:r>
        <w:separator/>
      </w:r>
    </w:p>
  </w:footnote>
  <w:footnote w:type="continuationSeparator" w:id="0">
    <w:p w14:paraId="2DD492C5" w14:textId="77777777" w:rsidR="00553A30" w:rsidRDefault="00553A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BD8"/>
    <w:rsid w:val="00001FF8"/>
    <w:rsid w:val="001A0BE4"/>
    <w:rsid w:val="001C2BD8"/>
    <w:rsid w:val="001C638F"/>
    <w:rsid w:val="001D264B"/>
    <w:rsid w:val="002271A3"/>
    <w:rsid w:val="0024171E"/>
    <w:rsid w:val="0033610F"/>
    <w:rsid w:val="003C0808"/>
    <w:rsid w:val="00531821"/>
    <w:rsid w:val="005462A6"/>
    <w:rsid w:val="00553A30"/>
    <w:rsid w:val="005A2CEA"/>
    <w:rsid w:val="0072506C"/>
    <w:rsid w:val="00741912"/>
    <w:rsid w:val="0091312D"/>
    <w:rsid w:val="0091527C"/>
    <w:rsid w:val="00AA0BC8"/>
    <w:rsid w:val="00B220B2"/>
    <w:rsid w:val="00B85E56"/>
    <w:rsid w:val="00C30920"/>
    <w:rsid w:val="00CA6357"/>
    <w:rsid w:val="00E56C42"/>
    <w:rsid w:val="00ED0BFC"/>
    <w:rsid w:val="00F24AFF"/>
    <w:rsid w:val="00F34682"/>
    <w:rsid w:val="00F63A5C"/>
    <w:rsid w:val="00FA1FE2"/>
    <w:rsid w:val="00FC1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6D4BF7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FA1FE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265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Antoijne Mouquet Changes</cp:lastModifiedBy>
  <cp:revision>4</cp:revision>
  <cp:lastPrinted>2002-04-23T07:10:00Z</cp:lastPrinted>
  <dcterms:created xsi:type="dcterms:W3CDTF">2019-10-14T08:46:00Z</dcterms:created>
  <dcterms:modified xsi:type="dcterms:W3CDTF">2019-11-04T09:24:00Z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(3)MwJeDgx1b1ufNtilseP4gQE5wzz2LCtulB6s3iqMlFAWUNEFU/M4tgyLIQW6iQqor3NMTdgO
ZFrcMLcY/V8+HwPoG9HMxz7ZcDL07CqMNr9kmeQzPyAWGksBMfSlFToMg9d11ERrvkOKPFuY
1BYppn8AzTU5pOG+l2WpHzr374gFghXOeRiUNLxjRgmev+YExt6dzjZSqXyxgXxL8unovUWy
6YU/H5oniYgbF1My6e</vt:lpwstr>
  </property>
  <property fmtid="{D5CDD505-2E9C-101B-9397-08002B2CF9AE}" pid="3" name="_2015_ms_pID_7253431">
    <vt:lpwstr>JjFY27n8Bi42DfNF1MqSNw3O+OpnKgRAYeBOQg6fKwdor9Oxyebiun
ND4Lcbm6TFPeP+RdTQFW07vXSBHEvq3e01LEJAJxcFjjjUiPgH365EWqrU5WIVBD7BPkJDfc
7EKT4fcjoT90Kye0yveQnczCzy83EULRJJK8bT7IwZ6niiZSKGK8Z/gS97vAKG01gQY4sGnC
ITqj49vi/1WlRG1nKLhvFX2/j10ffo/Rb46H</vt:lpwstr>
  </property>
  <property fmtid="{D5CDD505-2E9C-101B-9397-08002B2CF9AE}" pid="4" name="_2015_ms_pID_7253432">
    <vt:lpwstr>cicpLbjS7wxSCG8/uM3EARE=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1569836690</vt:lpwstr>
  </property>
</Properties>
</file>