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28559E">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Pr>
          <w:rFonts w:ascii="Arial" w:hAnsi="Arial" w:cs="Arial"/>
          <w:b/>
        </w:rPr>
        <w:t>2</w:t>
      </w:r>
      <w:r w:rsidR="0028559E">
        <w:rPr>
          <w:rFonts w:ascii="Arial" w:hAnsi="Arial" w:cs="Arial"/>
          <w:b/>
        </w:rPr>
        <w:t>1</w:t>
      </w:r>
      <w:r w:rsidR="00352F35">
        <w:rPr>
          <w:rFonts w:ascii="Arial" w:hAnsi="Arial" w:cs="Arial"/>
          <w:b/>
        </w:rPr>
        <w:t>0</w:t>
      </w:r>
      <w:r w:rsidR="00EA55A3">
        <w:rPr>
          <w:rFonts w:ascii="Arial" w:hAnsi="Arial" w:cs="Arial"/>
          <w:b/>
        </w:rPr>
        <w:t>199</w:t>
      </w:r>
    </w:p>
    <w:p w:rsidR="001E0D72" w:rsidRPr="00CF68B7" w:rsidRDefault="0028559E" w:rsidP="001E0D72">
      <w:pPr>
        <w:pBdr>
          <w:bottom w:val="single" w:sz="4" w:space="1" w:color="auto"/>
        </w:pBdr>
        <w:tabs>
          <w:tab w:val="right" w:pos="9214"/>
        </w:tabs>
        <w:rPr>
          <w:rFonts w:ascii="Arial" w:hAnsi="Arial" w:cs="Arial"/>
          <w:b/>
        </w:rPr>
      </w:pPr>
      <w:r w:rsidRPr="0028559E">
        <w:rPr>
          <w:rFonts w:ascii="Arial" w:hAnsi="Arial" w:cs="Arial"/>
          <w:b/>
        </w:rPr>
        <w:t>Electronic Meeting, 22 February – 4 March 2021</w:t>
      </w:r>
      <w:r w:rsidR="001E0D72" w:rsidRPr="00255436">
        <w:rPr>
          <w:rFonts w:ascii="Arial" w:hAnsi="Arial" w:cs="Arial"/>
          <w:b/>
        </w:rPr>
        <w:tab/>
      </w:r>
      <w:r w:rsidR="001E0D72" w:rsidRPr="00255436">
        <w:rPr>
          <w:rFonts w:ascii="Arial" w:hAnsi="Arial" w:cs="Arial"/>
          <w:i/>
        </w:rPr>
        <w:t>(revision of S1-</w:t>
      </w:r>
      <w:r w:rsidR="001E0D72">
        <w:rPr>
          <w:rFonts w:ascii="Arial" w:hAnsi="Arial" w:cs="Arial"/>
          <w:i/>
        </w:rPr>
        <w:t>2</w:t>
      </w:r>
      <w:r>
        <w:rPr>
          <w:rFonts w:ascii="Arial" w:hAnsi="Arial" w:cs="Arial"/>
          <w:i/>
        </w:rPr>
        <w:t>1xxxx</w:t>
      </w:r>
      <w:r w:rsidR="001E0D72"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D69BC">
        <w:rPr>
          <w:rFonts w:ascii="Arial" w:eastAsia="SimSun" w:hAnsi="Arial"/>
          <w:lang w:eastAsia="en-GB"/>
        </w:rPr>
        <w:t>UE Status Information</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CD69BC">
        <w:rPr>
          <w:rFonts w:ascii="Arial" w:eastAsia="SimSun" w:hAnsi="Arial"/>
          <w:lang w:eastAsia="en-GB"/>
        </w:rPr>
        <w:t>7.4.1</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CD69BC">
        <w:rPr>
          <w:rFonts w:ascii="Arial" w:eastAsia="SimSun" w:hAnsi="Arial"/>
          <w:lang w:eastAsia="en-GB"/>
        </w:rPr>
        <w:t>Discussion</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28559E" w:rsidRDefault="0028559E" w:rsidP="0028559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8559E" w:rsidRPr="00CF68B7" w:rsidRDefault="00CD69BC" w:rsidP="0028559E">
      <w:pPr>
        <w:spacing w:after="200" w:line="276" w:lineRule="auto"/>
        <w:rPr>
          <w:rFonts w:ascii="Arial" w:eastAsia="Calibri" w:hAnsi="Arial" w:cs="Arial"/>
          <w:i/>
          <w:sz w:val="22"/>
          <w:szCs w:val="22"/>
        </w:rPr>
      </w:pPr>
      <w:r>
        <w:rPr>
          <w:rFonts w:ascii="Arial" w:eastAsia="Calibri" w:hAnsi="Arial" w:cs="Arial"/>
          <w:i/>
          <w:sz w:val="22"/>
          <w:szCs w:val="22"/>
        </w:rPr>
        <w:t>This discussion paper considers aspects in use case 5.5</w:t>
      </w:r>
      <w:r w:rsidR="003C3E42">
        <w:rPr>
          <w:rFonts w:ascii="Arial" w:eastAsia="Calibri" w:hAnsi="Arial" w:cs="Arial"/>
          <w:i/>
          <w:sz w:val="22"/>
          <w:szCs w:val="22"/>
        </w:rPr>
        <w:t>, to support P-CR S1-210061.</w:t>
      </w:r>
    </w:p>
    <w:p w:rsid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CD69BC" w:rsidRDefault="00CD69BC" w:rsidP="00CD69BC">
      <w:pPr>
        <w:rPr>
          <w:lang w:eastAsia="zh-CN"/>
        </w:rPr>
      </w:pPr>
      <w:r>
        <w:rPr>
          <w:lang w:eastAsia="zh-CN"/>
        </w:rPr>
        <w:t xml:space="preserve">In SA1 92e, it was proposed to add a means for which the 3GPP System to have access to UE status information to this use case as a requirement in TR </w:t>
      </w:r>
      <w:r w:rsidR="0024014A">
        <w:rPr>
          <w:lang w:eastAsia="zh-CN"/>
        </w:rPr>
        <w:t>22.874, clause 5.5 “</w:t>
      </w:r>
      <w:r w:rsidR="0024014A" w:rsidRPr="0024014A">
        <w:rPr>
          <w:lang w:eastAsia="zh-CN"/>
        </w:rPr>
        <w:t>Session-specific model transfer split computation decision operation</w:t>
      </w:r>
      <w:r w:rsidR="0024014A">
        <w:rPr>
          <w:lang w:eastAsia="zh-CN"/>
        </w:rPr>
        <w:t>”</w:t>
      </w:r>
      <w:r>
        <w:rPr>
          <w:lang w:eastAsia="zh-CN"/>
        </w:rPr>
        <w:t>.</w:t>
      </w:r>
    </w:p>
    <w:p w:rsidR="00CD69BC" w:rsidRDefault="00CD69BC" w:rsidP="00CD69BC">
      <w:pPr>
        <w:rPr>
          <w:lang w:eastAsia="zh-CN"/>
        </w:rPr>
      </w:pPr>
      <w:r>
        <w:rPr>
          <w:lang w:eastAsia="zh-CN"/>
        </w:rPr>
        <w:t>The motivation, to summarize, is to provide a service enabler to enable ‘model transfer split computation operation’ strategy determination: where should one split the computation between the UE and the network? We have already shown the utility of providing the communication resource capacity to aid in this decision. Without information as to the status of the UE to (a) store data and model information, (b) process inference or training efficiently, (c) having sufficient energy resources to complete a task, it is not possible to determine whether it is appropriate to assign ‘more work’ to the UE rather than to computation in the network.</w:t>
      </w:r>
    </w:p>
    <w:p w:rsidR="00CD69BC" w:rsidRDefault="00CD69BC" w:rsidP="00CD69BC">
      <w:pPr>
        <w:rPr>
          <w:lang w:eastAsia="zh-CN"/>
        </w:rPr>
      </w:pPr>
      <w:r>
        <w:rPr>
          <w:lang w:eastAsia="zh-CN"/>
        </w:rPr>
        <w:t>If there is no such ‘enabler’ offered by 3GPP, then applications will support this ‘profiling’ over the top – capturing the storage, energy and computation resources available and transferring it to the application server, etc. responsible for determining the split computation strategy. This would be an opportunity missed for 3GPP.</w:t>
      </w:r>
    </w:p>
    <w:p w:rsidR="00CD69BC" w:rsidRDefault="00CD69BC" w:rsidP="00CD69BC">
      <w:pPr>
        <w:rPr>
          <w:lang w:eastAsia="zh-CN"/>
        </w:rPr>
      </w:pPr>
      <w:r>
        <w:rPr>
          <w:lang w:eastAsia="zh-CN"/>
        </w:rPr>
        <w:t>The objection to adding this requirement was ‘there is no information from a UE that is or can be exposed to the network.’ As shown below, there are precedents for information to be captured from the UE and used by the 5G System.</w:t>
      </w:r>
    </w:p>
    <w:p w:rsidR="00CD69BC" w:rsidRDefault="00CD69BC" w:rsidP="00CD69BC">
      <w:pPr>
        <w:pStyle w:val="B1"/>
        <w:rPr>
          <w:lang w:eastAsia="zh-CN"/>
        </w:rPr>
      </w:pPr>
      <w:r>
        <w:rPr>
          <w:lang w:eastAsia="zh-CN"/>
        </w:rPr>
        <w:t>1)</w:t>
      </w:r>
      <w:r>
        <w:rPr>
          <w:lang w:eastAsia="zh-CN"/>
        </w:rPr>
        <w:tab/>
        <w:t>The terminal architecture in which the Mobile System (MS) includes a reference point R between the MT and TE. The MT can provide the ‘energy available’ to the TE for display to the user (TS 27.007). If the MT can send this information to the TE, it could also (technically) send it to the network.</w:t>
      </w:r>
    </w:p>
    <w:p w:rsidR="00CD69BC" w:rsidRDefault="00CD69BC" w:rsidP="00CD69BC">
      <w:pPr>
        <w:pStyle w:val="B1"/>
        <w:rPr>
          <w:lang w:eastAsia="zh-CN"/>
        </w:rPr>
      </w:pPr>
      <w:r>
        <w:rPr>
          <w:lang w:eastAsia="zh-CN"/>
        </w:rPr>
        <w:t>2)</w:t>
      </w:r>
      <w:r>
        <w:rPr>
          <w:lang w:eastAsia="zh-CN"/>
        </w:rPr>
        <w:tab/>
        <w:t xml:space="preserve">The OAM </w:t>
      </w:r>
      <w:proofErr w:type="spellStart"/>
      <w:r>
        <w:rPr>
          <w:lang w:eastAsia="zh-CN"/>
        </w:rPr>
        <w:t>QoE</w:t>
      </w:r>
      <w:proofErr w:type="spellEnd"/>
      <w:r>
        <w:rPr>
          <w:lang w:eastAsia="zh-CN"/>
        </w:rPr>
        <w:t xml:space="preserve"> framework (TS 28.404, 28.405, 28.406) allows performance information for MTSI and DASH to be captured </w:t>
      </w:r>
      <w:r w:rsidR="00EA5CC2">
        <w:rPr>
          <w:lang w:eastAsia="zh-CN"/>
        </w:rPr>
        <w:t xml:space="preserve">from the application </w:t>
      </w:r>
      <w:r>
        <w:rPr>
          <w:lang w:eastAsia="zh-CN"/>
        </w:rPr>
        <w:t>and returned to the network.</w:t>
      </w:r>
    </w:p>
    <w:p w:rsidR="00CD69BC" w:rsidRDefault="00891D53" w:rsidP="00CD69BC">
      <w:pPr>
        <w:pStyle w:val="B1"/>
        <w:rPr>
          <w:lang w:eastAsia="zh-CN"/>
        </w:rPr>
      </w:pPr>
      <w:r>
        <w:rPr>
          <w:lang w:eastAsia="zh-CN"/>
        </w:rPr>
        <w:t>3)</w:t>
      </w:r>
      <w:r>
        <w:rPr>
          <w:lang w:eastAsia="zh-CN"/>
        </w:rPr>
        <w:tab/>
        <w:t>The</w:t>
      </w:r>
      <w:r w:rsidR="00CD69BC">
        <w:rPr>
          <w:lang w:eastAsia="zh-CN"/>
        </w:rPr>
        <w:t xml:space="preserve"> 5G Media </w:t>
      </w:r>
      <w:proofErr w:type="gramStart"/>
      <w:r w:rsidR="00CD69BC">
        <w:rPr>
          <w:lang w:eastAsia="zh-CN"/>
        </w:rPr>
        <w:t>Streaming</w:t>
      </w:r>
      <w:proofErr w:type="gramEnd"/>
      <w:r w:rsidR="00CD69BC">
        <w:rPr>
          <w:lang w:eastAsia="zh-CN"/>
        </w:rPr>
        <w:t xml:space="preserve"> (5GMS) architecture includes a 5GMS Aware Application interacts with the 5GMS Application provider over a series of interfaces (in the UE with the 5GMS Client, to the 5GMS AS and AF over the user plane. The 5GMS client can expose information, specifically metrics, related to the application (e.g. DASH.)  </w:t>
      </w:r>
      <w:bookmarkStart w:id="0" w:name="_GoBack"/>
      <w:bookmarkEnd w:id="0"/>
    </w:p>
    <w:p w:rsidR="00CD69BC" w:rsidRDefault="00CD69BC" w:rsidP="00CD69BC">
      <w:pPr>
        <w:rPr>
          <w:lang w:eastAsia="zh-CN"/>
        </w:rPr>
      </w:pPr>
      <w:r>
        <w:rPr>
          <w:lang w:eastAsia="zh-CN"/>
        </w:rPr>
        <w:t xml:space="preserve">At least in the case of (2) and (3), it is clear that information relevant to performance and proper functioning of the application will be captured and made available to the 5GS through existing 3GPP standards expanded to support new applications. </w:t>
      </w:r>
    </w:p>
    <w:p w:rsidR="00CD69BC" w:rsidRDefault="00CD69BC" w:rsidP="00CD69BC">
      <w:r>
        <w:rPr>
          <w:lang w:eastAsia="zh-CN"/>
        </w:rPr>
        <w:t>It is therefore both desirable and technically feasible for the 5GS to capture performance and other metrics and provide them for use by a third party.</w:t>
      </w:r>
    </w:p>
    <w:p w:rsidR="00CD69BC" w:rsidRDefault="000178A2" w:rsidP="00CD69BC">
      <w:pPr>
        <w:spacing w:after="200" w:line="276" w:lineRule="auto"/>
        <w:rPr>
          <w:rFonts w:ascii="Arial" w:eastAsia="Calibri" w:hAnsi="Arial" w:cs="Arial"/>
          <w:b/>
          <w:sz w:val="22"/>
          <w:szCs w:val="22"/>
        </w:rPr>
      </w:pPr>
      <w:r>
        <w:rPr>
          <w:rFonts w:ascii="Arial" w:eastAsia="Calibri" w:hAnsi="Arial" w:cs="Arial"/>
          <w:b/>
          <w:sz w:val="22"/>
          <w:szCs w:val="22"/>
        </w:rPr>
        <w:t>Proposal</w:t>
      </w:r>
    </w:p>
    <w:p w:rsidR="00CD69BC" w:rsidRPr="00CD69BC" w:rsidRDefault="00CD69BC" w:rsidP="00CD69BC">
      <w:r w:rsidRPr="00CD69BC">
        <w:t>It is proposed to agree to the P-CR in S1-210061.</w:t>
      </w:r>
    </w:p>
    <w:sectPr w:rsidR="00CD69BC" w:rsidRPr="00CD69BC"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1DC" w:rsidRDefault="00B731DC">
      <w:r>
        <w:separator/>
      </w:r>
    </w:p>
  </w:endnote>
  <w:endnote w:type="continuationSeparator" w:id="0">
    <w:p w:rsidR="00B731DC" w:rsidRDefault="00B7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1DC" w:rsidRDefault="00B731DC">
      <w:r>
        <w:separator/>
      </w:r>
    </w:p>
  </w:footnote>
  <w:footnote w:type="continuationSeparator" w:id="0">
    <w:p w:rsidR="00B731DC" w:rsidRDefault="00B73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55807"/>
    <w:multiLevelType w:val="hybridMultilevel"/>
    <w:tmpl w:val="5B7C1276"/>
    <w:lvl w:ilvl="0" w:tplc="B48296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C3A5A"/>
    <w:multiLevelType w:val="hybridMultilevel"/>
    <w:tmpl w:val="D1F43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A2"/>
    <w:rsid w:val="00022E4A"/>
    <w:rsid w:val="000446FA"/>
    <w:rsid w:val="000574D8"/>
    <w:rsid w:val="00062113"/>
    <w:rsid w:val="00077B9D"/>
    <w:rsid w:val="000A145C"/>
    <w:rsid w:val="000A6394"/>
    <w:rsid w:val="000B22B3"/>
    <w:rsid w:val="000B7FED"/>
    <w:rsid w:val="000C038A"/>
    <w:rsid w:val="000C6598"/>
    <w:rsid w:val="000D155D"/>
    <w:rsid w:val="000D3499"/>
    <w:rsid w:val="000F35DA"/>
    <w:rsid w:val="00130620"/>
    <w:rsid w:val="00142719"/>
    <w:rsid w:val="00145D43"/>
    <w:rsid w:val="00157BEF"/>
    <w:rsid w:val="0016467E"/>
    <w:rsid w:val="00170368"/>
    <w:rsid w:val="001729D8"/>
    <w:rsid w:val="00192C46"/>
    <w:rsid w:val="00195F98"/>
    <w:rsid w:val="001A08B3"/>
    <w:rsid w:val="001A7B60"/>
    <w:rsid w:val="001B52F0"/>
    <w:rsid w:val="001B7A65"/>
    <w:rsid w:val="001E0D72"/>
    <w:rsid w:val="001E41F3"/>
    <w:rsid w:val="0024014A"/>
    <w:rsid w:val="00255430"/>
    <w:rsid w:val="0026004D"/>
    <w:rsid w:val="002640DD"/>
    <w:rsid w:val="002716FB"/>
    <w:rsid w:val="00275D12"/>
    <w:rsid w:val="00284FEB"/>
    <w:rsid w:val="0028559E"/>
    <w:rsid w:val="002860C4"/>
    <w:rsid w:val="002909A4"/>
    <w:rsid w:val="002B5741"/>
    <w:rsid w:val="00301639"/>
    <w:rsid w:val="00305409"/>
    <w:rsid w:val="00352F35"/>
    <w:rsid w:val="003609EF"/>
    <w:rsid w:val="0036231A"/>
    <w:rsid w:val="00374DD4"/>
    <w:rsid w:val="003A6811"/>
    <w:rsid w:val="003C3E42"/>
    <w:rsid w:val="003D7A89"/>
    <w:rsid w:val="003E1A36"/>
    <w:rsid w:val="003F0293"/>
    <w:rsid w:val="00410371"/>
    <w:rsid w:val="004242F1"/>
    <w:rsid w:val="00444C46"/>
    <w:rsid w:val="00477AC0"/>
    <w:rsid w:val="004B75B7"/>
    <w:rsid w:val="004F0707"/>
    <w:rsid w:val="00510B86"/>
    <w:rsid w:val="0051580D"/>
    <w:rsid w:val="00547111"/>
    <w:rsid w:val="005534B1"/>
    <w:rsid w:val="0057353B"/>
    <w:rsid w:val="00576E0C"/>
    <w:rsid w:val="00592D74"/>
    <w:rsid w:val="005A77FC"/>
    <w:rsid w:val="005B43B8"/>
    <w:rsid w:val="005B580B"/>
    <w:rsid w:val="005C2A03"/>
    <w:rsid w:val="005E2C44"/>
    <w:rsid w:val="00621188"/>
    <w:rsid w:val="006257ED"/>
    <w:rsid w:val="00674110"/>
    <w:rsid w:val="00695808"/>
    <w:rsid w:val="006B46FB"/>
    <w:rsid w:val="006E21FB"/>
    <w:rsid w:val="00705470"/>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566F9"/>
    <w:rsid w:val="008626E7"/>
    <w:rsid w:val="00870EE7"/>
    <w:rsid w:val="008863B9"/>
    <w:rsid w:val="00891D53"/>
    <w:rsid w:val="00896F08"/>
    <w:rsid w:val="008A45A6"/>
    <w:rsid w:val="008C66E9"/>
    <w:rsid w:val="008F686C"/>
    <w:rsid w:val="009148DE"/>
    <w:rsid w:val="00941C5D"/>
    <w:rsid w:val="00941E30"/>
    <w:rsid w:val="009429AF"/>
    <w:rsid w:val="0094451F"/>
    <w:rsid w:val="0096325E"/>
    <w:rsid w:val="00966F26"/>
    <w:rsid w:val="009777D9"/>
    <w:rsid w:val="00991B88"/>
    <w:rsid w:val="009A5753"/>
    <w:rsid w:val="009A579D"/>
    <w:rsid w:val="009B0065"/>
    <w:rsid w:val="009D6ACB"/>
    <w:rsid w:val="009E3297"/>
    <w:rsid w:val="009E34D3"/>
    <w:rsid w:val="009F386A"/>
    <w:rsid w:val="009F734F"/>
    <w:rsid w:val="00A10492"/>
    <w:rsid w:val="00A246B6"/>
    <w:rsid w:val="00A461CB"/>
    <w:rsid w:val="00A47E70"/>
    <w:rsid w:val="00A50CF0"/>
    <w:rsid w:val="00A6544B"/>
    <w:rsid w:val="00A7671C"/>
    <w:rsid w:val="00A81533"/>
    <w:rsid w:val="00AA2CBC"/>
    <w:rsid w:val="00AA6CA6"/>
    <w:rsid w:val="00AC5820"/>
    <w:rsid w:val="00AD1CD8"/>
    <w:rsid w:val="00AF49CB"/>
    <w:rsid w:val="00B258BB"/>
    <w:rsid w:val="00B67B97"/>
    <w:rsid w:val="00B731DC"/>
    <w:rsid w:val="00B968C8"/>
    <w:rsid w:val="00BA3C74"/>
    <w:rsid w:val="00BA3EC5"/>
    <w:rsid w:val="00BA51D9"/>
    <w:rsid w:val="00BB44B1"/>
    <w:rsid w:val="00BB5DFC"/>
    <w:rsid w:val="00BD279D"/>
    <w:rsid w:val="00BD65D2"/>
    <w:rsid w:val="00BD6BB8"/>
    <w:rsid w:val="00BE4B82"/>
    <w:rsid w:val="00C17AF8"/>
    <w:rsid w:val="00C46870"/>
    <w:rsid w:val="00C546FF"/>
    <w:rsid w:val="00C66BA2"/>
    <w:rsid w:val="00C719AB"/>
    <w:rsid w:val="00C75801"/>
    <w:rsid w:val="00C7657B"/>
    <w:rsid w:val="00C95985"/>
    <w:rsid w:val="00CC5026"/>
    <w:rsid w:val="00CC68D0"/>
    <w:rsid w:val="00CD69BC"/>
    <w:rsid w:val="00CE0F5F"/>
    <w:rsid w:val="00CE1924"/>
    <w:rsid w:val="00D03F9A"/>
    <w:rsid w:val="00D06D51"/>
    <w:rsid w:val="00D24991"/>
    <w:rsid w:val="00D337CB"/>
    <w:rsid w:val="00D50255"/>
    <w:rsid w:val="00D51D4D"/>
    <w:rsid w:val="00D657C6"/>
    <w:rsid w:val="00D66520"/>
    <w:rsid w:val="00D70219"/>
    <w:rsid w:val="00DA58BA"/>
    <w:rsid w:val="00DD3B14"/>
    <w:rsid w:val="00DE34CF"/>
    <w:rsid w:val="00E13F3D"/>
    <w:rsid w:val="00E34898"/>
    <w:rsid w:val="00E354ED"/>
    <w:rsid w:val="00E40480"/>
    <w:rsid w:val="00E67BBE"/>
    <w:rsid w:val="00EA55A3"/>
    <w:rsid w:val="00EA5CC2"/>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B3F64-0CC1-4972-9EC9-F3ADA850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458</Words>
  <Characters>2612</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 03</cp:lastModifiedBy>
  <cp:revision>6</cp:revision>
  <cp:lastPrinted>1899-12-31T23:00:00Z</cp:lastPrinted>
  <dcterms:created xsi:type="dcterms:W3CDTF">2021-02-12T15:46:00Z</dcterms:created>
  <dcterms:modified xsi:type="dcterms:W3CDTF">2021-02-12T15:49:00Z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