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FA15A4" w:rsidRPr="00DE4DB9" w:rsidTr="007F05C7">
        <w:tc>
          <w:tcPr>
            <w:tcW w:w="2152" w:type="dxa"/>
            <w:gridSpan w:val="2"/>
            <w:tcBorders>
              <w:top w:val="single" w:sz="4" w:space="0" w:color="auto"/>
              <w:left w:val="nil"/>
              <w:bottom w:val="nil"/>
              <w:right w:val="nil"/>
            </w:tcBorders>
          </w:tcPr>
          <w:p w:rsidR="00FA15A4" w:rsidRPr="00DE4DB9" w:rsidRDefault="00FA15A4"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FA15A4" w:rsidRPr="00712B88" w:rsidRDefault="00D91746" w:rsidP="00821F12">
            <w:pPr>
              <w:ind w:left="57"/>
              <w:rPr>
                <w:rFonts w:ascii="Arial" w:hAnsi="Arial" w:cs="Arial"/>
                <w:sz w:val="36"/>
                <w:szCs w:val="24"/>
                <w:lang w:val="en-US"/>
              </w:rPr>
            </w:pPr>
            <w:r w:rsidRPr="00D91746">
              <w:rPr>
                <w:rFonts w:ascii="Arial" w:hAnsi="Arial" w:cs="Arial"/>
                <w:sz w:val="36"/>
                <w:szCs w:val="24"/>
                <w:lang w:val="en-US"/>
              </w:rPr>
              <w:t>LTE support for V2X services (FS_V2XLTE)</w:t>
            </w:r>
          </w:p>
        </w:tc>
      </w:tr>
      <w:tr w:rsidR="00FA15A4" w:rsidRPr="002A36EA"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FA15A4" w:rsidRPr="00911477" w:rsidRDefault="00FA15A4" w:rsidP="00821F12">
            <w:pPr>
              <w:ind w:left="57"/>
              <w:rPr>
                <w:rFonts w:ascii="Arial" w:hAnsi="Arial" w:cs="Arial"/>
              </w:rPr>
            </w:pPr>
            <w:r>
              <w:rPr>
                <w:rFonts w:ascii="Arial" w:hAnsi="Arial" w:cs="Arial"/>
              </w:rPr>
              <w:t>15 January 2016</w:t>
            </w:r>
          </w:p>
        </w:tc>
      </w:tr>
      <w:tr w:rsidR="00FA15A4" w:rsidRPr="00D21604" w:rsidTr="007F05C7">
        <w:trPr>
          <w:trHeight w:val="140"/>
        </w:trPr>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16"/>
              </w:rPr>
            </w:pPr>
          </w:p>
        </w:tc>
      </w:tr>
      <w:tr w:rsidR="00FA15A4" w:rsidRPr="00DE4DB9" w:rsidTr="007F05C7">
        <w:tc>
          <w:tcPr>
            <w:tcW w:w="2152" w:type="dxa"/>
            <w:gridSpan w:val="2"/>
            <w:tcBorders>
              <w:top w:val="nil"/>
              <w:left w:val="nil"/>
              <w:bottom w:val="nil"/>
              <w:right w:val="nil"/>
            </w:tcBorders>
            <w:vAlign w:val="center"/>
          </w:tcPr>
          <w:p w:rsidR="00FA15A4" w:rsidRPr="00DE4DB9" w:rsidRDefault="00FA15A4"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FA15A4" w:rsidRPr="00DE4DB9" w:rsidRDefault="00D91746" w:rsidP="007F05C7">
            <w:pPr>
              <w:ind w:left="57"/>
              <w:rPr>
                <w:rFonts w:ascii="Arial" w:hAnsi="Arial" w:cs="Arial"/>
                <w:sz w:val="28"/>
                <w:szCs w:val="28"/>
              </w:rPr>
            </w:pPr>
            <w:r>
              <w:rPr>
                <w:rFonts w:ascii="Arial" w:hAnsi="Arial" w:cs="Arial"/>
                <w:color w:val="0000FF"/>
                <w:sz w:val="28"/>
                <w:szCs w:val="28"/>
              </w:rPr>
              <w:t>ETSI TC ITS</w:t>
            </w: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D91746" w:rsidRDefault="00D91746" w:rsidP="00D91746">
            <w:pPr>
              <w:ind w:left="57"/>
              <w:rPr>
                <w:rFonts w:ascii="Arial" w:hAnsi="Arial" w:cs="Arial"/>
                <w:color w:val="0000FF"/>
              </w:rPr>
            </w:pPr>
            <w:r w:rsidRPr="00D91746">
              <w:rPr>
                <w:rFonts w:ascii="Arial" w:hAnsi="Arial" w:cs="Arial"/>
                <w:color w:val="0000FF"/>
              </w:rPr>
              <w:t>Niels Peter Skov ANDERSEN (ETSI TC ITS Chairman)</w:t>
            </w:r>
            <w:r>
              <w:rPr>
                <w:rFonts w:ascii="Arial" w:hAnsi="Arial" w:cs="Arial"/>
                <w:color w:val="0000FF"/>
              </w:rPr>
              <w:t xml:space="preserve">, </w:t>
            </w:r>
            <w:hyperlink r:id="rId8" w:history="1">
              <w:r w:rsidRPr="002806C1">
                <w:rPr>
                  <w:rStyle w:val="Hyperlink"/>
                  <w:rFonts w:ascii="Arial" w:hAnsi="Arial" w:cs="Arial"/>
                </w:rPr>
                <w:t>npa@anemonetechnology.com</w:t>
              </w:r>
            </w:hyperlink>
          </w:p>
          <w:p w:rsidR="00FA15A4" w:rsidRPr="00911477" w:rsidRDefault="00D91746" w:rsidP="00D91746">
            <w:pPr>
              <w:ind w:left="57"/>
              <w:rPr>
                <w:rFonts w:ascii="Arial" w:hAnsi="Arial" w:cs="Arial"/>
                <w:sz w:val="24"/>
              </w:rPr>
            </w:pPr>
            <w:r>
              <w:rPr>
                <w:rFonts w:ascii="Arial" w:hAnsi="Arial" w:cs="Arial"/>
                <w:color w:val="0000FF"/>
              </w:rPr>
              <w:t xml:space="preserve">ETSI TC ITS support, </w:t>
            </w:r>
            <w:r w:rsidRPr="00D91746">
              <w:rPr>
                <w:rFonts w:ascii="Arial" w:hAnsi="Arial" w:cs="Arial"/>
                <w:color w:val="0000FF"/>
              </w:rPr>
              <w:t>ITS</w:t>
            </w:r>
            <w:r w:rsidR="00FA15A4" w:rsidRPr="00D91746">
              <w:rPr>
                <w:rFonts w:ascii="Arial" w:hAnsi="Arial" w:cs="Arial"/>
                <w:color w:val="0000FF"/>
              </w:rPr>
              <w:t>Support@etsi.org</w:t>
            </w:r>
          </w:p>
        </w:tc>
      </w:tr>
      <w:tr w:rsidR="00FA15A4" w:rsidRPr="008F646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FA15A4" w:rsidRPr="00911477" w:rsidRDefault="00FA15A4" w:rsidP="007F05C7">
            <w:pPr>
              <w:ind w:left="57"/>
              <w:rPr>
                <w:rFonts w:ascii="Arial" w:hAnsi="Arial" w:cs="Arial"/>
                <w:sz w:val="24"/>
              </w:rPr>
            </w:pPr>
          </w:p>
        </w:tc>
      </w:tr>
      <w:tr w:rsidR="00FA15A4" w:rsidRPr="00DE4DB9"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FA15A4" w:rsidRPr="00DE4DB9" w:rsidRDefault="00D91746" w:rsidP="00D91746">
            <w:pPr>
              <w:tabs>
                <w:tab w:val="left" w:pos="4891"/>
              </w:tabs>
              <w:ind w:left="57"/>
              <w:rPr>
                <w:rFonts w:ascii="Arial" w:hAnsi="Arial" w:cs="Arial"/>
                <w:sz w:val="28"/>
              </w:rPr>
            </w:pPr>
            <w:r w:rsidRPr="00D91746">
              <w:rPr>
                <w:rFonts w:ascii="Arial" w:hAnsi="Arial" w:cs="Arial"/>
                <w:color w:val="0000FF"/>
                <w:sz w:val="28"/>
              </w:rPr>
              <w:t xml:space="preserve">Erik </w:t>
            </w:r>
            <w:r>
              <w:rPr>
                <w:rFonts w:ascii="Arial" w:hAnsi="Arial" w:cs="Arial"/>
                <w:color w:val="0000FF"/>
                <w:sz w:val="28"/>
              </w:rPr>
              <w:t>GUTTMAN</w:t>
            </w:r>
            <w:r w:rsidRPr="00D91746">
              <w:rPr>
                <w:rFonts w:ascii="Arial" w:hAnsi="Arial" w:cs="Arial"/>
                <w:color w:val="0000FF"/>
                <w:sz w:val="28"/>
              </w:rPr>
              <w:t xml:space="preserve"> (3GPP TSG SA Chairman)</w:t>
            </w:r>
            <w:r>
              <w:rPr>
                <w:rFonts w:ascii="Arial" w:hAnsi="Arial" w:cs="Arial"/>
                <w:color w:val="0000FF"/>
                <w:sz w:val="28"/>
              </w:rPr>
              <w:t xml:space="preserve">, </w:t>
            </w:r>
            <w:r w:rsidRPr="00D91746">
              <w:rPr>
                <w:rFonts w:ascii="Arial" w:hAnsi="Arial" w:cs="Arial"/>
                <w:color w:val="0000FF"/>
                <w:sz w:val="28"/>
              </w:rPr>
              <w:t>erik.guttman@partner.samsung.com</w:t>
            </w:r>
          </w:p>
        </w:tc>
      </w:tr>
      <w:tr w:rsidR="00FA15A4" w:rsidRPr="00884ABB" w:rsidTr="007F05C7">
        <w:tc>
          <w:tcPr>
            <w:tcW w:w="2152" w:type="dxa"/>
            <w:gridSpan w:val="2"/>
            <w:tcBorders>
              <w:top w:val="nil"/>
              <w:left w:val="nil"/>
              <w:bottom w:val="nil"/>
              <w:right w:val="nil"/>
            </w:tcBorders>
          </w:tcPr>
          <w:p w:rsidR="00FA15A4" w:rsidRPr="00DE4DB9" w:rsidRDefault="00FA15A4"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884ABB" w:rsidRPr="00884ABB" w:rsidRDefault="00D91746" w:rsidP="00D91746">
            <w:pPr>
              <w:ind w:left="57"/>
              <w:rPr>
                <w:rFonts w:ascii="Arial" w:hAnsi="Arial" w:cs="Arial"/>
                <w:color w:val="0000FF"/>
                <w:sz w:val="24"/>
                <w:szCs w:val="24"/>
                <w:lang w:val="fr-FR"/>
              </w:rPr>
            </w:pPr>
            <w:r w:rsidRPr="00884ABB">
              <w:rPr>
                <w:rFonts w:ascii="Arial" w:hAnsi="Arial" w:cs="Arial"/>
                <w:color w:val="0000FF"/>
                <w:sz w:val="24"/>
                <w:szCs w:val="24"/>
                <w:lang w:val="fr-FR"/>
              </w:rPr>
              <w:t xml:space="preserve">3GPP Liaisons </w:t>
            </w:r>
            <w:proofErr w:type="spellStart"/>
            <w:r w:rsidRPr="00884ABB">
              <w:rPr>
                <w:rFonts w:ascii="Arial" w:hAnsi="Arial" w:cs="Arial"/>
                <w:color w:val="0000FF"/>
                <w:sz w:val="24"/>
                <w:szCs w:val="24"/>
                <w:lang w:val="fr-FR"/>
              </w:rPr>
              <w:t>Coordinator</w:t>
            </w:r>
            <w:proofErr w:type="spellEnd"/>
            <w:r w:rsidRPr="00884ABB">
              <w:rPr>
                <w:rFonts w:ascii="Arial" w:hAnsi="Arial" w:cs="Arial"/>
                <w:color w:val="0000FF"/>
                <w:sz w:val="24"/>
                <w:szCs w:val="24"/>
                <w:lang w:val="fr-FR"/>
              </w:rPr>
              <w:t xml:space="preserve">, </w:t>
            </w:r>
            <w:hyperlink r:id="rId9" w:history="1">
              <w:r w:rsidR="00884ABB" w:rsidRPr="00884ABB">
                <w:rPr>
                  <w:rStyle w:val="Hyperlink"/>
                  <w:rFonts w:ascii="Arial" w:hAnsi="Arial" w:cs="Arial"/>
                  <w:sz w:val="24"/>
                  <w:szCs w:val="24"/>
                  <w:lang w:val="fr-FR"/>
                </w:rPr>
                <w:t>3GPPLiaison@etsi.org</w:t>
              </w:r>
            </w:hyperlink>
          </w:p>
          <w:p w:rsidR="00884ABB" w:rsidRPr="00046CDF" w:rsidRDefault="00884ABB" w:rsidP="00D91746">
            <w:pPr>
              <w:ind w:left="57"/>
              <w:rPr>
                <w:rFonts w:ascii="Arial" w:hAnsi="Arial" w:cs="Arial"/>
                <w:color w:val="0000FF"/>
                <w:lang w:val="fr-FR"/>
              </w:rPr>
            </w:pPr>
            <w:r w:rsidRPr="00046CDF">
              <w:rPr>
                <w:rFonts w:ascii="Arial" w:hAnsi="Arial" w:cs="Arial"/>
                <w:color w:val="0000FF"/>
                <w:lang w:val="fr-FR"/>
              </w:rPr>
              <w:t xml:space="preserve">3GPP TSG SA WG1, 3GPP TSG SA WG2, 3GPP TSG RAN, </w:t>
            </w:r>
          </w:p>
          <w:p w:rsidR="00FA15A4" w:rsidRPr="00884ABB" w:rsidRDefault="00884ABB" w:rsidP="00D91746">
            <w:pPr>
              <w:ind w:left="57"/>
              <w:rPr>
                <w:rFonts w:ascii="Arial" w:hAnsi="Arial" w:cs="Arial"/>
                <w:sz w:val="24"/>
                <w:szCs w:val="24"/>
              </w:rPr>
            </w:pPr>
            <w:r w:rsidRPr="003E7251">
              <w:rPr>
                <w:rFonts w:ascii="Arial" w:hAnsi="Arial" w:cs="Arial"/>
                <w:color w:val="0000FF"/>
              </w:rPr>
              <w:t>3GPP TSG RAN WG1</w:t>
            </w:r>
          </w:p>
        </w:tc>
      </w:tr>
      <w:tr w:rsidR="00FA15A4" w:rsidRPr="00884ABB" w:rsidTr="007F05C7">
        <w:tc>
          <w:tcPr>
            <w:tcW w:w="2152" w:type="dxa"/>
            <w:gridSpan w:val="2"/>
            <w:tcBorders>
              <w:top w:val="nil"/>
              <w:left w:val="nil"/>
              <w:bottom w:val="nil"/>
              <w:right w:val="nil"/>
            </w:tcBorders>
          </w:tcPr>
          <w:p w:rsidR="00FA15A4" w:rsidRPr="00884ABB" w:rsidRDefault="00FA15A4"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FA15A4" w:rsidRPr="00884ABB" w:rsidRDefault="00FA15A4" w:rsidP="007F05C7">
            <w:pPr>
              <w:ind w:left="57"/>
              <w:rPr>
                <w:rFonts w:ascii="Arial" w:hAnsi="Arial" w:cs="Arial"/>
                <w:sz w:val="16"/>
              </w:rPr>
            </w:pPr>
          </w:p>
        </w:tc>
      </w:tr>
      <w:tr w:rsidR="00FA15A4" w:rsidRPr="002A36EA" w:rsidTr="007F05C7">
        <w:tc>
          <w:tcPr>
            <w:tcW w:w="2152" w:type="dxa"/>
            <w:gridSpan w:val="2"/>
            <w:tcBorders>
              <w:top w:val="nil"/>
              <w:left w:val="nil"/>
              <w:bottom w:val="nil"/>
              <w:right w:val="nil"/>
            </w:tcBorders>
            <w:vAlign w:val="center"/>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FA15A4" w:rsidRPr="00911477" w:rsidRDefault="003E7251" w:rsidP="00884ABB">
            <w:pPr>
              <w:ind w:left="57"/>
              <w:rPr>
                <w:rFonts w:ascii="Arial" w:hAnsi="Arial" w:cs="Arial"/>
                <w:color w:val="0000FF"/>
              </w:rPr>
            </w:pPr>
            <w:r>
              <w:rPr>
                <w:rFonts w:ascii="Arial" w:hAnsi="Arial" w:cs="Arial"/>
                <w:color w:val="0000FF"/>
              </w:rPr>
              <w:t>3GPP TSG</w:t>
            </w:r>
            <w:r w:rsidR="00FA15A4">
              <w:rPr>
                <w:rFonts w:ascii="Arial" w:hAnsi="Arial" w:cs="Arial"/>
                <w:color w:val="0000FF"/>
              </w:rPr>
              <w:t>-SA Meeting #70 (SP-150839 and SP-150765)</w:t>
            </w:r>
            <w:r>
              <w:rPr>
                <w:rFonts w:ascii="Arial" w:hAnsi="Arial" w:cs="Arial"/>
                <w:color w:val="0000FF"/>
              </w:rPr>
              <w:t xml:space="preserve"> </w:t>
            </w:r>
          </w:p>
        </w:tc>
      </w:tr>
      <w:tr w:rsidR="00FA15A4" w:rsidRPr="00D21604" w:rsidTr="007F05C7">
        <w:tc>
          <w:tcPr>
            <w:tcW w:w="2152" w:type="dxa"/>
            <w:gridSpan w:val="2"/>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FA15A4" w:rsidRPr="00911477" w:rsidRDefault="00FA15A4" w:rsidP="007F05C7">
            <w:pPr>
              <w:ind w:left="57"/>
              <w:rPr>
                <w:rFonts w:ascii="Arial" w:hAnsi="Arial" w:cs="Arial"/>
                <w:sz w:val="16"/>
              </w:rPr>
            </w:pPr>
          </w:p>
        </w:tc>
      </w:tr>
      <w:tr w:rsidR="00FA15A4" w:rsidRPr="00911477" w:rsidTr="00FA15A4">
        <w:tc>
          <w:tcPr>
            <w:tcW w:w="2104" w:type="dxa"/>
            <w:tcBorders>
              <w:top w:val="nil"/>
              <w:left w:val="nil"/>
              <w:bottom w:val="nil"/>
              <w:right w:val="nil"/>
            </w:tcBorders>
          </w:tcPr>
          <w:p w:rsidR="00FA15A4" w:rsidRPr="00911477" w:rsidRDefault="00FA15A4"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rsidR="00FA15A4" w:rsidRPr="00911477" w:rsidRDefault="00D91746" w:rsidP="007F05C7">
            <w:pPr>
              <w:ind w:left="57"/>
              <w:rPr>
                <w:rFonts w:ascii="Arial" w:hAnsi="Arial" w:cs="Arial"/>
                <w:color w:val="0000FF"/>
              </w:rPr>
            </w:pPr>
            <w:r>
              <w:rPr>
                <w:rFonts w:ascii="Arial" w:hAnsi="Arial" w:cs="Arial"/>
                <w:color w:val="0000FF"/>
              </w:rPr>
              <w:t>-/-</w:t>
            </w:r>
          </w:p>
        </w:tc>
      </w:tr>
      <w:tr w:rsidR="00FA15A4" w:rsidRPr="002E5375" w:rsidTr="007F05C7">
        <w:tc>
          <w:tcPr>
            <w:tcW w:w="9782" w:type="dxa"/>
            <w:gridSpan w:val="3"/>
            <w:tcBorders>
              <w:top w:val="nil"/>
              <w:left w:val="nil"/>
              <w:bottom w:val="single" w:sz="4" w:space="0" w:color="000000"/>
              <w:right w:val="nil"/>
            </w:tcBorders>
          </w:tcPr>
          <w:p w:rsidR="00FA15A4" w:rsidRPr="002E5375" w:rsidRDefault="00FA15A4" w:rsidP="007F05C7">
            <w:pPr>
              <w:tabs>
                <w:tab w:val="left" w:pos="1701"/>
              </w:tabs>
              <w:ind w:left="57" w:firstLine="249"/>
              <w:rPr>
                <w:sz w:val="16"/>
                <w:szCs w:val="16"/>
              </w:rPr>
            </w:pPr>
          </w:p>
        </w:tc>
      </w:tr>
    </w:tbl>
    <w:p w:rsidR="00911477" w:rsidRPr="00866086" w:rsidRDefault="00911477" w:rsidP="00911477"/>
    <w:p w:rsidR="00911477" w:rsidRPr="00FE798C" w:rsidRDefault="00911477" w:rsidP="00911477">
      <w:pPr>
        <w:spacing w:after="120"/>
        <w:rPr>
          <w:rFonts w:ascii="Arial" w:hAnsi="Arial" w:cs="Arial"/>
          <w:b/>
        </w:rPr>
      </w:pPr>
      <w:r>
        <w:rPr>
          <w:rFonts w:ascii="Arial" w:hAnsi="Arial" w:cs="Arial"/>
          <w:b/>
        </w:rPr>
        <w:t>1. Overall description:</w:t>
      </w:r>
    </w:p>
    <w:p w:rsidR="00FA15A4" w:rsidRDefault="00FA15A4" w:rsidP="00FA15A4">
      <w:pPr>
        <w:jc w:val="both"/>
      </w:pPr>
      <w:r>
        <w:t xml:space="preserve">ETSI ITS would like to thank 3GPP </w:t>
      </w:r>
      <w:r w:rsidR="003E7251">
        <w:t>TSG SA</w:t>
      </w:r>
      <w:r>
        <w:t xml:space="preserve"> for the LS provided on “LTE support for V2X Services” and the </w:t>
      </w:r>
      <w:r w:rsidR="00046CDF">
        <w:t>related attachment</w:t>
      </w:r>
      <w:r>
        <w:t xml:space="preserve"> (3GPP TR 22.885)</w:t>
      </w:r>
      <w:r w:rsidR="00D91746">
        <w:t xml:space="preserve">. </w:t>
      </w:r>
      <w:r>
        <w:t>The TR was noted and the scope and the consolidated requirements were generally discussed during ETSI ITS#21 meeting.</w:t>
      </w:r>
    </w:p>
    <w:p w:rsidR="00FA15A4" w:rsidRDefault="00FA15A4" w:rsidP="00FA15A4">
      <w:pPr>
        <w:jc w:val="both"/>
      </w:pPr>
    </w:p>
    <w:p w:rsidR="00FA15A4" w:rsidRDefault="00FA15A4" w:rsidP="00FA15A4">
      <w:pPr>
        <w:jc w:val="both"/>
      </w:pPr>
      <w:r>
        <w:t>It</w:t>
      </w:r>
      <w:r w:rsidR="00D91746">
        <w:t xml:space="preserve"> was noted that goals from the a</w:t>
      </w:r>
      <w:r w:rsidRPr="00235DB5">
        <w:t xml:space="preserve">utomotive sector do not stop with the </w:t>
      </w:r>
      <w:r>
        <w:t>deployment of</w:t>
      </w:r>
      <w:r w:rsidRPr="00235DB5">
        <w:t xml:space="preserve"> w</w:t>
      </w:r>
      <w:r>
        <w:t xml:space="preserve">arning and information services, but </w:t>
      </w:r>
      <w:r w:rsidRPr="00235DB5">
        <w:t xml:space="preserve">this is only a first step towards </w:t>
      </w:r>
      <w:r>
        <w:t>“</w:t>
      </w:r>
      <w:r w:rsidRPr="00235DB5">
        <w:t>Accident Free</w:t>
      </w:r>
      <w:r>
        <w:t>”</w:t>
      </w:r>
      <w:r w:rsidRPr="00235DB5">
        <w:t xml:space="preserve"> and </w:t>
      </w:r>
      <w:r>
        <w:t>“</w:t>
      </w:r>
      <w:r w:rsidRPr="00235DB5">
        <w:t>Fully Automated</w:t>
      </w:r>
      <w:r>
        <w:t>”</w:t>
      </w:r>
      <w:r w:rsidRPr="00235DB5">
        <w:t xml:space="preserve"> driving</w:t>
      </w:r>
      <w:r>
        <w:t xml:space="preserve">. In this evolutionary scenario, it is expected that, in the future, latency requirements for specific use cases based on V2V communication may become even more demanding than today. </w:t>
      </w:r>
    </w:p>
    <w:p w:rsidR="00FA15A4" w:rsidRDefault="00FA15A4" w:rsidP="00FA15A4">
      <w:pPr>
        <w:jc w:val="both"/>
      </w:pPr>
    </w:p>
    <w:p w:rsidR="00FA15A4" w:rsidRDefault="00FA15A4" w:rsidP="00FA15A4">
      <w:pPr>
        <w:jc w:val="both"/>
      </w:pPr>
      <w:r>
        <w:t>SA1 is encouraged to consider these aspects in the next steps of its activity. In addition, it would also be advisable to study ITS Safety Requirements on the system, in terms of:</w:t>
      </w:r>
    </w:p>
    <w:p w:rsidR="00FA15A4" w:rsidRDefault="00FA15A4" w:rsidP="00FA15A4">
      <w:pPr>
        <w:ind w:left="720"/>
        <w:jc w:val="both"/>
      </w:pPr>
      <w:r>
        <w:t>•</w:t>
      </w:r>
      <w:r>
        <w:tab/>
        <w:t xml:space="preserve">Operational procedures </w:t>
      </w:r>
    </w:p>
    <w:p w:rsidR="00FA15A4" w:rsidRDefault="00FA15A4" w:rsidP="00FA15A4">
      <w:pPr>
        <w:ind w:left="720"/>
        <w:jc w:val="both"/>
      </w:pPr>
      <w:r>
        <w:t>•</w:t>
      </w:r>
      <w:r>
        <w:tab/>
        <w:t>Requirement for reliability of equipment and connections etc.</w:t>
      </w:r>
    </w:p>
    <w:p w:rsidR="00FA15A4" w:rsidRDefault="00FA15A4" w:rsidP="00FA15A4">
      <w:pPr>
        <w:ind w:left="720"/>
        <w:jc w:val="both"/>
      </w:pPr>
      <w:r>
        <w:t>•</w:t>
      </w:r>
      <w:r>
        <w:tab/>
        <w:t>Cross carrier operational aspects</w:t>
      </w:r>
    </w:p>
    <w:p w:rsidR="00FA15A4" w:rsidRPr="008A61E4" w:rsidRDefault="00FA15A4" w:rsidP="00FA15A4">
      <w:pPr>
        <w:ind w:left="720"/>
        <w:jc w:val="both"/>
      </w:pPr>
      <w:r>
        <w:t>•</w:t>
      </w:r>
      <w:r>
        <w:tab/>
        <w:t>…</w:t>
      </w:r>
    </w:p>
    <w:p w:rsidR="00911477" w:rsidRDefault="00911477" w:rsidP="00911477">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FA15A4" w:rsidRDefault="00FA15A4" w:rsidP="00FA15A4">
      <w:pPr>
        <w:jc w:val="both"/>
      </w:pPr>
      <w:r>
        <w:t>Based on the above considerations, each ETSI ITS member has been encouraged to review the TR22.885 and the related requirements and provide its comments directly t</w:t>
      </w:r>
      <w:r w:rsidR="003E7251">
        <w:t>o 3GPP TSG</w:t>
      </w:r>
      <w:r>
        <w:t xml:space="preserve"> SA1</w:t>
      </w:r>
      <w:r w:rsidR="00046CDF">
        <w:t>.</w:t>
      </w:r>
      <w:bookmarkStart w:id="0" w:name="_GoBack"/>
      <w:bookmarkEnd w:id="0"/>
    </w:p>
    <w:p w:rsidR="00FA15A4" w:rsidRDefault="00FA15A4" w:rsidP="00FA15A4">
      <w:pPr>
        <w:rPr>
          <w:rFonts w:ascii="Arial" w:hAnsi="Arial" w:cs="Arial"/>
          <w:b/>
          <w:sz w:val="24"/>
        </w:rPr>
      </w:pP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FA15A4" w:rsidRPr="004B1696" w:rsidRDefault="00FA15A4" w:rsidP="00FA15A4">
      <w:r w:rsidRPr="004B1696">
        <w:t>ETSI TC ITS#22</w:t>
      </w:r>
      <w:r>
        <w:tab/>
      </w:r>
      <w:r>
        <w:tab/>
        <w:t>11</w:t>
      </w:r>
      <w:r w:rsidRPr="004B1696">
        <w:rPr>
          <w:vertAlign w:val="superscript"/>
        </w:rPr>
        <w:t>th</w:t>
      </w:r>
      <w:r>
        <w:t>-15</w:t>
      </w:r>
      <w:r w:rsidRPr="004B1696">
        <w:rPr>
          <w:vertAlign w:val="superscript"/>
        </w:rPr>
        <w:t>th</w:t>
      </w:r>
      <w:r>
        <w:t xml:space="preserve"> April 2016</w:t>
      </w:r>
      <w:r>
        <w:tab/>
      </w:r>
      <w:r>
        <w:tab/>
        <w:t xml:space="preserve">Sophia </w:t>
      </w:r>
      <w:proofErr w:type="spellStart"/>
      <w:r>
        <w:t>Antipolis</w:t>
      </w:r>
      <w:proofErr w:type="spellEnd"/>
      <w:r>
        <w:t>, France</w:t>
      </w:r>
    </w:p>
    <w:p w:rsidR="00FA15A4" w:rsidRPr="004B1696" w:rsidRDefault="00FA15A4" w:rsidP="00FA15A4">
      <w:r w:rsidRPr="004B1696">
        <w:t>ETSI TC ITS#23</w:t>
      </w:r>
      <w:r>
        <w:tab/>
      </w:r>
      <w:r>
        <w:tab/>
        <w:t>27</w:t>
      </w:r>
      <w:r w:rsidRPr="004B1696">
        <w:rPr>
          <w:vertAlign w:val="superscript"/>
        </w:rPr>
        <w:t>th</w:t>
      </w:r>
      <w:r>
        <w:t xml:space="preserve"> June – 1</w:t>
      </w:r>
      <w:r w:rsidRPr="004B1696">
        <w:rPr>
          <w:vertAlign w:val="superscript"/>
        </w:rPr>
        <w:t>st</w:t>
      </w:r>
      <w:r>
        <w:t xml:space="preserve"> July 2016</w:t>
      </w:r>
      <w:r w:rsidRPr="004B1696">
        <w:t xml:space="preserve"> </w:t>
      </w:r>
      <w:r>
        <w:tab/>
      </w:r>
      <w:r>
        <w:tab/>
        <w:t xml:space="preserve">Sophia </w:t>
      </w:r>
      <w:proofErr w:type="spellStart"/>
      <w:r>
        <w:t>Antipolis</w:t>
      </w:r>
      <w:proofErr w:type="spellEnd"/>
      <w:r>
        <w:t>, France</w:t>
      </w:r>
    </w:p>
    <w:p w:rsidR="00FA15A4" w:rsidRPr="004B1696" w:rsidRDefault="00FA15A4" w:rsidP="00FA15A4">
      <w:r>
        <w:t>ETSI TC ITS#24</w:t>
      </w:r>
      <w:r>
        <w:tab/>
      </w:r>
      <w:r>
        <w:tab/>
        <w:t>19</w:t>
      </w:r>
      <w:r w:rsidRPr="004B1696">
        <w:rPr>
          <w:vertAlign w:val="superscript"/>
        </w:rPr>
        <w:t>th</w:t>
      </w:r>
      <w:r>
        <w:t xml:space="preserve"> -23</w:t>
      </w:r>
      <w:r w:rsidRPr="004B1696">
        <w:rPr>
          <w:vertAlign w:val="superscript"/>
        </w:rPr>
        <w:t>rd</w:t>
      </w:r>
      <w:r>
        <w:t xml:space="preserve"> September 2016</w:t>
      </w:r>
      <w:r w:rsidRPr="004B1696">
        <w:t xml:space="preserve"> </w:t>
      </w:r>
      <w:r>
        <w:tab/>
      </w:r>
      <w:r>
        <w:tab/>
        <w:t xml:space="preserve">Sophia </w:t>
      </w:r>
      <w:proofErr w:type="spellStart"/>
      <w:r>
        <w:t>Antipolis</w:t>
      </w:r>
      <w:proofErr w:type="spellEnd"/>
      <w:r>
        <w:t>, France</w:t>
      </w:r>
    </w:p>
    <w:p w:rsidR="00911477" w:rsidRDefault="00911477" w:rsidP="007833A7">
      <w:pPr>
        <w:rPr>
          <w:rFonts w:ascii="Arial" w:hAnsi="Arial" w:cs="Arial"/>
        </w:rPr>
      </w:pPr>
    </w:p>
    <w:sectPr w:rsidR="00911477"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E82" w:rsidRDefault="00B23E82" w:rsidP="00D9435B">
      <w:r>
        <w:separator/>
      </w:r>
    </w:p>
  </w:endnote>
  <w:endnote w:type="continuationSeparator" w:id="0">
    <w:p w:rsidR="00B23E82" w:rsidRDefault="00B23E82"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043FF9" w:rsidRPr="0083399D">
      <w:rPr>
        <w:rFonts w:ascii="Arial" w:hAnsi="Arial" w:cs="Arial"/>
      </w:rPr>
      <w:fldChar w:fldCharType="begin"/>
    </w:r>
    <w:r w:rsidRPr="0083399D">
      <w:rPr>
        <w:rFonts w:ascii="Arial" w:hAnsi="Arial" w:cs="Arial"/>
      </w:rPr>
      <w:instrText xml:space="preserve"> PAGE   \* MERGEFORMAT </w:instrText>
    </w:r>
    <w:r w:rsidR="00043FF9" w:rsidRPr="0083399D">
      <w:rPr>
        <w:rFonts w:ascii="Arial" w:hAnsi="Arial" w:cs="Arial"/>
      </w:rPr>
      <w:fldChar w:fldCharType="separate"/>
    </w:r>
    <w:r w:rsidR="007A590E">
      <w:rPr>
        <w:rFonts w:ascii="Arial" w:hAnsi="Arial" w:cs="Arial"/>
        <w:noProof/>
      </w:rPr>
      <w:t>1</w:t>
    </w:r>
    <w:r w:rsidR="00043FF9" w:rsidRPr="0083399D">
      <w:rPr>
        <w:rFonts w:ascii="Arial" w:hAnsi="Arial" w:cs="Arial"/>
      </w:rPr>
      <w:fldChar w:fldCharType="end"/>
    </w:r>
    <w:r w:rsidRPr="0083399D">
      <w:rPr>
        <w:rFonts w:ascii="Arial" w:hAnsi="Arial" w:cs="Arial"/>
      </w:rPr>
      <w:t>/</w:t>
    </w:r>
    <w:fldSimple w:instr=" NUMPAGES   \* MERGEFORMAT ">
      <w:r w:rsidR="007A590E" w:rsidRPr="007A590E">
        <w:rPr>
          <w:rFonts w:ascii="Arial" w:hAnsi="Arial" w:cs="Arial"/>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E82" w:rsidRDefault="00B23E82" w:rsidP="00D9435B">
      <w:r>
        <w:separator/>
      </w:r>
    </w:p>
  </w:footnote>
  <w:footnote w:type="continuationSeparator" w:id="0">
    <w:p w:rsidR="00B23E82" w:rsidRDefault="00B23E82"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0E" w:rsidRDefault="007A590E" w:rsidP="007A590E">
    <w:pPr>
      <w:tabs>
        <w:tab w:val="right" w:pos="9638"/>
      </w:tabs>
      <w:rPr>
        <w:rFonts w:ascii="Arial" w:hAnsi="Arial" w:cs="Arial"/>
        <w:b/>
        <w:sz w:val="24"/>
      </w:rPr>
    </w:pPr>
    <w:r>
      <w:rPr>
        <w:rFonts w:ascii="Arial" w:hAnsi="Arial" w:cs="Arial"/>
        <w:b/>
        <w:sz w:val="24"/>
      </w:rPr>
      <w:t>TSG SA Meeting #SP-71</w:t>
    </w:r>
    <w:r>
      <w:rPr>
        <w:rFonts w:ascii="Arial" w:hAnsi="Arial" w:cs="Arial"/>
        <w:b/>
        <w:sz w:val="24"/>
      </w:rPr>
      <w:tab/>
      <w:t>SP-160008</w:t>
    </w:r>
  </w:p>
  <w:p w:rsidR="007A590E" w:rsidRDefault="007A590E" w:rsidP="007A590E">
    <w:pPr>
      <w:pBdr>
        <w:bottom w:val="single" w:sz="6" w:space="0" w:color="auto"/>
      </w:pBdr>
      <w:tabs>
        <w:tab w:val="right" w:pos="9638"/>
      </w:tabs>
      <w:rPr>
        <w:rFonts w:ascii="Arial" w:hAnsi="Arial" w:cs="Arial"/>
        <w:b/>
        <w:sz w:val="24"/>
      </w:rPr>
    </w:pPr>
    <w:r>
      <w:rPr>
        <w:rFonts w:ascii="Arial" w:hAnsi="Arial" w:cs="Arial"/>
        <w:b/>
        <w:sz w:val="24"/>
      </w:rPr>
      <w:t>09 - 11 March 2016, Goteborg, Sweden</w:t>
    </w:r>
  </w:p>
  <w:p w:rsidR="007A590E" w:rsidRDefault="007A590E" w:rsidP="007A590E">
    <w:pPr>
      <w:rPr>
        <w:rFonts w:ascii="Arial" w:hAnsi="Arial" w:cs="Arial"/>
      </w:rPr>
    </w:pPr>
    <w:r>
      <w:rPr>
        <w:rFonts w:ascii="Arial" w:hAnsi="Arial" w:cs="Arial"/>
        <w:noProof/>
        <w:lang w:eastAsia="en-GB"/>
      </w:rPr>
      <w:drawing>
        <wp:anchor distT="0" distB="0" distL="114300" distR="114300" simplePos="0" relativeHeight="251659264" behindDoc="1" locked="0" layoutInCell="1" allowOverlap="1">
          <wp:simplePos x="0" y="0"/>
          <wp:positionH relativeFrom="page">
            <wp:posOffset>542925</wp:posOffset>
          </wp:positionH>
          <wp:positionV relativeFrom="page">
            <wp:posOffset>904875</wp:posOffset>
          </wp:positionV>
          <wp:extent cx="1438275" cy="438150"/>
          <wp:effectExtent l="19050" t="0" r="9525" b="0"/>
          <wp:wrapTight wrapText="bothSides">
            <wp:wrapPolygon edited="0">
              <wp:start x="-286" y="0"/>
              <wp:lineTo x="-286" y="20661"/>
              <wp:lineTo x="21743" y="20661"/>
              <wp:lineTo x="21743" y="0"/>
              <wp:lineTo x="-286"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438150"/>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Pr>
        <w:rFonts w:ascii="Arial" w:hAnsi="Arial" w:cs="Arial"/>
        <w:b/>
        <w:sz w:val="36"/>
        <w:szCs w:val="36"/>
        <w:shd w:val="clear" w:color="auto" w:fill="DBE5F1"/>
      </w:rPr>
      <w:t>ITS(16)000010</w:t>
    </w:r>
    <w:r w:rsidR="003E7251">
      <w:rPr>
        <w:rFonts w:ascii="Arial" w:hAnsi="Arial" w:cs="Arial"/>
        <w:b/>
        <w:sz w:val="36"/>
        <w:szCs w:val="36"/>
        <w:shd w:val="clear" w:color="auto" w:fill="DBE5F1"/>
      </w:rPr>
      <w:t>r2</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rsids>
    <w:rsidRoot w:val="00D9435B"/>
    <w:rsid w:val="0000428F"/>
    <w:rsid w:val="0002568A"/>
    <w:rsid w:val="00043FF9"/>
    <w:rsid w:val="00046CDF"/>
    <w:rsid w:val="000C4CB6"/>
    <w:rsid w:val="00181471"/>
    <w:rsid w:val="00191D22"/>
    <w:rsid w:val="001C30D5"/>
    <w:rsid w:val="00216D13"/>
    <w:rsid w:val="002676F5"/>
    <w:rsid w:val="00297B33"/>
    <w:rsid w:val="002F5958"/>
    <w:rsid w:val="003050B4"/>
    <w:rsid w:val="003354CE"/>
    <w:rsid w:val="0036058F"/>
    <w:rsid w:val="003D16E4"/>
    <w:rsid w:val="003D5716"/>
    <w:rsid w:val="003E7251"/>
    <w:rsid w:val="004050E6"/>
    <w:rsid w:val="004124A2"/>
    <w:rsid w:val="00451D22"/>
    <w:rsid w:val="004950B1"/>
    <w:rsid w:val="004B71B4"/>
    <w:rsid w:val="004D1743"/>
    <w:rsid w:val="00503C30"/>
    <w:rsid w:val="00516885"/>
    <w:rsid w:val="00521B98"/>
    <w:rsid w:val="00551F4D"/>
    <w:rsid w:val="00571482"/>
    <w:rsid w:val="005B115B"/>
    <w:rsid w:val="005B2804"/>
    <w:rsid w:val="005B3FD1"/>
    <w:rsid w:val="006017EC"/>
    <w:rsid w:val="00610CBA"/>
    <w:rsid w:val="00620AA5"/>
    <w:rsid w:val="00631480"/>
    <w:rsid w:val="00704C3A"/>
    <w:rsid w:val="00723463"/>
    <w:rsid w:val="00745E27"/>
    <w:rsid w:val="00776B64"/>
    <w:rsid w:val="007833A7"/>
    <w:rsid w:val="007A3763"/>
    <w:rsid w:val="007A590E"/>
    <w:rsid w:val="007F05C7"/>
    <w:rsid w:val="00832E39"/>
    <w:rsid w:val="0083399D"/>
    <w:rsid w:val="0084740A"/>
    <w:rsid w:val="008629A9"/>
    <w:rsid w:val="008745A4"/>
    <w:rsid w:val="00884ABB"/>
    <w:rsid w:val="00887234"/>
    <w:rsid w:val="008D5477"/>
    <w:rsid w:val="0091037B"/>
    <w:rsid w:val="00911477"/>
    <w:rsid w:val="00912D71"/>
    <w:rsid w:val="00913CAE"/>
    <w:rsid w:val="00993435"/>
    <w:rsid w:val="009F0351"/>
    <w:rsid w:val="00A61734"/>
    <w:rsid w:val="00B22603"/>
    <w:rsid w:val="00B23E82"/>
    <w:rsid w:val="00B703A5"/>
    <w:rsid w:val="00B837B4"/>
    <w:rsid w:val="00BB5244"/>
    <w:rsid w:val="00BE7AFE"/>
    <w:rsid w:val="00C04D8B"/>
    <w:rsid w:val="00C15BAD"/>
    <w:rsid w:val="00C67710"/>
    <w:rsid w:val="00C76D35"/>
    <w:rsid w:val="00CA135C"/>
    <w:rsid w:val="00CC0049"/>
    <w:rsid w:val="00D91746"/>
    <w:rsid w:val="00D9435B"/>
    <w:rsid w:val="00DA185D"/>
    <w:rsid w:val="00DA65AB"/>
    <w:rsid w:val="00DB61A6"/>
    <w:rsid w:val="00DD314A"/>
    <w:rsid w:val="00DE4DB9"/>
    <w:rsid w:val="00DF6ED5"/>
    <w:rsid w:val="00E00EF0"/>
    <w:rsid w:val="00E06E1E"/>
    <w:rsid w:val="00E95E78"/>
    <w:rsid w:val="00EA0019"/>
    <w:rsid w:val="00EB16B6"/>
    <w:rsid w:val="00EB1C87"/>
    <w:rsid w:val="00EE7092"/>
    <w:rsid w:val="00EF607B"/>
    <w:rsid w:val="00F11466"/>
    <w:rsid w:val="00F12615"/>
    <w:rsid w:val="00F9024E"/>
    <w:rsid w:val="00FA15A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pa@anemonetechnology.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1412-9382-4AA1-A853-6C497A64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clean-up</cp:lastModifiedBy>
  <cp:revision>3</cp:revision>
  <cp:lastPrinted>2010-12-06T15:51:00Z</cp:lastPrinted>
  <dcterms:created xsi:type="dcterms:W3CDTF">2016-02-17T15:36:00Z</dcterms:created>
  <dcterms:modified xsi:type="dcterms:W3CDTF">2016-02-17T15:38:00Z</dcterms:modified>
</cp:coreProperties>
</file>