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1158F" w14:textId="52F75E81"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8D3CDD">
        <w:t>10</w:t>
      </w:r>
      <w:r w:rsidR="007D6B56">
        <w:t>6</w:t>
      </w:r>
      <w:r w:rsidR="00D309CC" w:rsidRPr="004266F6">
        <w:tab/>
      </w:r>
      <w:r w:rsidR="002A0AFF">
        <w:t xml:space="preserve">        </w:t>
      </w:r>
      <w:r w:rsidR="00527012">
        <w:t xml:space="preserve">     </w:t>
      </w:r>
      <w:r w:rsidR="0028318B">
        <w:t xml:space="preserve">    </w:t>
      </w:r>
      <w:r w:rsidR="001B5F1B">
        <w:t xml:space="preserve">       </w:t>
      </w:r>
      <w:r w:rsidR="007D6B56">
        <w:t xml:space="preserve">  </w:t>
      </w:r>
      <w:r w:rsidR="001B5F1B">
        <w:t xml:space="preserve"> </w:t>
      </w:r>
      <w:r w:rsidR="00774829">
        <w:t xml:space="preserve"> </w:t>
      </w:r>
      <w:r w:rsidR="007D6B56">
        <w:t>R5-251215</w:t>
      </w:r>
      <w:r w:rsidR="0011326A">
        <w:t>r1</w:t>
      </w:r>
    </w:p>
    <w:p w14:paraId="03983AD9" w14:textId="1EB902AC" w:rsidR="00D309CC" w:rsidRDefault="007D6B56" w:rsidP="00D309CC">
      <w:pPr>
        <w:tabs>
          <w:tab w:val="left" w:pos="2160"/>
        </w:tabs>
        <w:rPr>
          <w:rFonts w:ascii="Arial" w:hAnsi="Arial" w:cs="Arial"/>
          <w:b/>
          <w:szCs w:val="20"/>
          <w:lang w:val="en-GB"/>
        </w:rPr>
      </w:pPr>
      <w:r>
        <w:rPr>
          <w:rFonts w:ascii="Arial" w:hAnsi="Arial" w:cs="Arial"/>
          <w:b/>
          <w:szCs w:val="20"/>
          <w:lang w:val="en-GB"/>
        </w:rPr>
        <w:t>Athens</w:t>
      </w:r>
      <w:r w:rsidR="0034036E" w:rsidRPr="0034036E">
        <w:rPr>
          <w:rFonts w:ascii="Arial" w:hAnsi="Arial" w:cs="Arial"/>
          <w:b/>
          <w:szCs w:val="20"/>
          <w:lang w:val="en-GB"/>
        </w:rPr>
        <w:t xml:space="preserve">, </w:t>
      </w:r>
      <w:r>
        <w:rPr>
          <w:rFonts w:ascii="Arial" w:hAnsi="Arial" w:cs="Arial"/>
          <w:b/>
          <w:szCs w:val="20"/>
          <w:lang w:val="en-GB"/>
        </w:rPr>
        <w:t>Greece</w:t>
      </w:r>
      <w:r w:rsidR="0034036E" w:rsidRPr="0034036E">
        <w:rPr>
          <w:rFonts w:ascii="Arial" w:hAnsi="Arial" w:cs="Arial"/>
          <w:b/>
          <w:szCs w:val="20"/>
          <w:lang w:val="en-GB"/>
        </w:rPr>
        <w:t xml:space="preserve">, </w:t>
      </w:r>
      <w:r>
        <w:rPr>
          <w:rFonts w:ascii="Arial" w:hAnsi="Arial" w:cs="Arial"/>
          <w:b/>
          <w:szCs w:val="20"/>
          <w:lang w:val="en-GB"/>
        </w:rPr>
        <w:t>Feb 17</w:t>
      </w:r>
      <w:r w:rsidRPr="007D6B56">
        <w:rPr>
          <w:rFonts w:ascii="Arial" w:hAnsi="Arial" w:cs="Arial"/>
          <w:b/>
          <w:szCs w:val="20"/>
          <w:vertAlign w:val="superscript"/>
          <w:lang w:val="en-GB"/>
        </w:rPr>
        <w:t>th</w:t>
      </w:r>
      <w:r>
        <w:rPr>
          <w:rFonts w:ascii="Arial" w:hAnsi="Arial" w:cs="Arial"/>
          <w:b/>
          <w:szCs w:val="20"/>
          <w:lang w:val="en-GB"/>
        </w:rPr>
        <w:t xml:space="preserve"> – Feb 21</w:t>
      </w:r>
      <w:r w:rsidRPr="007D6B56">
        <w:rPr>
          <w:rFonts w:ascii="Arial" w:hAnsi="Arial" w:cs="Arial"/>
          <w:b/>
          <w:szCs w:val="20"/>
          <w:vertAlign w:val="superscript"/>
          <w:lang w:val="en-GB"/>
        </w:rPr>
        <w:t>st</w:t>
      </w:r>
      <w:r>
        <w:rPr>
          <w:rFonts w:ascii="Arial" w:hAnsi="Arial" w:cs="Arial"/>
          <w:b/>
          <w:szCs w:val="20"/>
          <w:lang w:val="en-GB"/>
        </w:rPr>
        <w:t xml:space="preserve">, 2025  </w:t>
      </w:r>
    </w:p>
    <w:p w14:paraId="45DB27C7" w14:textId="77777777" w:rsidR="007D6B56" w:rsidRDefault="007D6B56" w:rsidP="00D309CC">
      <w:pPr>
        <w:tabs>
          <w:tab w:val="left" w:pos="2160"/>
        </w:tabs>
        <w:rPr>
          <w:rFonts w:ascii="Arial" w:hAnsi="Arial" w:cs="Arial"/>
          <w:b/>
        </w:rPr>
      </w:pPr>
    </w:p>
    <w:p w14:paraId="021646DD" w14:textId="53FCD609" w:rsidR="00DB2F35" w:rsidRPr="00DB2F35" w:rsidRDefault="00D309CC" w:rsidP="00DB2F35">
      <w:pPr>
        <w:pStyle w:val="CH"/>
        <w:spacing w:after="180"/>
      </w:pPr>
      <w:r w:rsidRPr="004266F6">
        <w:t>Agenda item:</w:t>
      </w:r>
      <w:r w:rsidRPr="004266F6">
        <w:tab/>
      </w:r>
      <w:r w:rsidR="0014035F">
        <w:t>5.</w:t>
      </w:r>
      <w:r w:rsidR="007D6B56">
        <w:t>3.29.9</w:t>
      </w:r>
    </w:p>
    <w:p w14:paraId="2BA95052" w14:textId="5134041D" w:rsidR="00D309CC" w:rsidRPr="004266F6" w:rsidRDefault="007B5C8F" w:rsidP="00DB2F35">
      <w:pPr>
        <w:pStyle w:val="CH"/>
        <w:spacing w:after="180"/>
        <w:rPr>
          <w:b w:val="0"/>
        </w:rPr>
      </w:pPr>
      <w:r w:rsidRPr="004266F6">
        <w:t>S</w:t>
      </w:r>
      <w:r w:rsidR="0028318B">
        <w:t>ource</w:t>
      </w:r>
      <w:r w:rsidRPr="004266F6">
        <w:t>:</w:t>
      </w:r>
      <w:r w:rsidR="009A4A3B">
        <w:t xml:space="preserve">   </w:t>
      </w:r>
      <w:r w:rsidR="00774829" w:rsidRPr="00774829">
        <w:rPr>
          <w:lang w:val="en-US"/>
        </w:rPr>
        <w:t xml:space="preserve">Apple </w:t>
      </w:r>
      <w:r w:rsidR="007D6B56">
        <w:rPr>
          <w:lang w:val="en-US"/>
        </w:rPr>
        <w:t>Trading</w:t>
      </w:r>
    </w:p>
    <w:p w14:paraId="2F2285CB" w14:textId="62439116" w:rsidR="0034036E" w:rsidRDefault="00D309CC" w:rsidP="00DB2F35">
      <w:pPr>
        <w:pStyle w:val="CH"/>
        <w:spacing w:after="180"/>
        <w:rPr>
          <w:lang w:val="en-US"/>
        </w:rPr>
      </w:pPr>
      <w:r w:rsidRPr="004266F6">
        <w:t>Title:</w:t>
      </w:r>
      <w:r w:rsidR="007B5C8F">
        <w:t xml:space="preserve">       </w:t>
      </w:r>
      <w:r w:rsidR="007D6B56" w:rsidRPr="007D6B56">
        <w:rPr>
          <w:lang w:val="en-US"/>
        </w:rPr>
        <w:t>Discussion on beam lock for multiple beams</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63AE556E" w:rsidR="00AF4320" w:rsidRDefault="00D9788E" w:rsidP="009A4A3B">
      <w:r w:rsidRPr="007468ED">
        <w:t>A</w:t>
      </w:r>
      <w:r w:rsidR="00FD46D8" w:rsidRPr="007468ED">
        <w:t>t</w:t>
      </w:r>
      <w:r w:rsidRPr="007468ED">
        <w:t xml:space="preserve"> RAN5#</w:t>
      </w:r>
      <w:r w:rsidR="007D6B56">
        <w:t>104</w:t>
      </w:r>
      <w:r w:rsidRPr="007468ED">
        <w:t xml:space="preserve"> in </w:t>
      </w:r>
      <w:r w:rsidR="007D6B56">
        <w:t xml:space="preserve">August 2024 an action point was established to gather inputs on whether the current UBF conformance test function can support locking two Tx beams from two panels simultaneously. </w:t>
      </w:r>
    </w:p>
    <w:p w14:paraId="09A7E506" w14:textId="77777777" w:rsidR="007D6B56" w:rsidRDefault="007D6B56" w:rsidP="009A4A3B"/>
    <w:p w14:paraId="57B060B4" w14:textId="48C4E1BE" w:rsidR="007D6B56" w:rsidRPr="0034036E" w:rsidRDefault="007D6B56" w:rsidP="009A4A3B">
      <w:pPr>
        <w:rPr>
          <w:rFonts w:eastAsiaTheme="minorEastAsia"/>
        </w:rPr>
      </w:pPr>
      <w:r w:rsidRPr="007D6B56">
        <w:rPr>
          <w:rFonts w:eastAsiaTheme="minorEastAsia"/>
          <w:noProof/>
        </w:rPr>
        <w:drawing>
          <wp:inline distT="0" distB="0" distL="0" distR="0" wp14:anchorId="441515A2" wp14:editId="4DD3F0B8">
            <wp:extent cx="6122035" cy="758825"/>
            <wp:effectExtent l="0" t="0" r="0" b="3175"/>
            <wp:docPr id="1855386262" name="Picture 1" descr="A white squar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386262" name="Picture 1" descr="A white square with black text&#10;&#10;AI-generated content may be incorrect."/>
                    <pic:cNvPicPr/>
                  </pic:nvPicPr>
                  <pic:blipFill>
                    <a:blip r:embed="rId9"/>
                    <a:stretch>
                      <a:fillRect/>
                    </a:stretch>
                  </pic:blipFill>
                  <pic:spPr>
                    <a:xfrm>
                      <a:off x="0" y="0"/>
                      <a:ext cx="6122035" cy="758825"/>
                    </a:xfrm>
                    <a:prstGeom prst="rect">
                      <a:avLst/>
                    </a:prstGeom>
                  </pic:spPr>
                </pic:pic>
              </a:graphicData>
            </a:graphic>
          </wp:inline>
        </w:drawing>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7EC0944B" w14:textId="77777777" w:rsidR="007D6B56" w:rsidRDefault="0034036E" w:rsidP="0034036E">
      <w:pPr>
        <w:pStyle w:val="Heading3"/>
        <w:rPr>
          <w:rFonts w:eastAsiaTheme="minorEastAsia"/>
        </w:rPr>
      </w:pPr>
      <w:r>
        <w:rPr>
          <w:rFonts w:eastAsiaTheme="minorEastAsia"/>
        </w:rPr>
        <w:t>2.1</w:t>
      </w:r>
      <w:r w:rsidR="007D6B56">
        <w:rPr>
          <w:rFonts w:eastAsiaTheme="minorEastAsia"/>
        </w:rPr>
        <w:tab/>
        <w:t>Additional background on LS from RAN4 on this topic</w:t>
      </w:r>
    </w:p>
    <w:p w14:paraId="1AD740F8" w14:textId="463C9135" w:rsidR="007D6B56" w:rsidRPr="007D6B56" w:rsidRDefault="007D6B56" w:rsidP="007D6B56">
      <w:pPr>
        <w:rPr>
          <w:lang w:val="en-GB"/>
        </w:rPr>
      </w:pPr>
      <w:r w:rsidRPr="007D6B56">
        <w:t>RAN</w:t>
      </w:r>
      <w:r>
        <w:t xml:space="preserve">4 initially raised the query in [1] related to whether the existing UE </w:t>
      </w:r>
      <w:proofErr w:type="spellStart"/>
      <w:r>
        <w:t>beamlock</w:t>
      </w:r>
      <w:proofErr w:type="spellEnd"/>
      <w:r>
        <w:t xml:space="preserve"> test function can be used to lock multiple beams. Additional in a more recent LS in [2], RAN4 clarified that t</w:t>
      </w:r>
      <w:r w:rsidRPr="007D6B56">
        <w:rPr>
          <w:lang w:val="en-GB"/>
        </w:rPr>
        <w:t>he</w:t>
      </w:r>
      <w:r w:rsidRPr="007D6B56">
        <w:rPr>
          <w:rFonts w:hint="eastAsia"/>
          <w:lang w:val="en-GB"/>
        </w:rPr>
        <w:t xml:space="preserve"> objective of Rel-19 SI on NR FR2 OTA testing Phase 3 (</w:t>
      </w:r>
      <w:r w:rsidRPr="007D6B56">
        <w:rPr>
          <w:lang w:val="en-GB"/>
        </w:rPr>
        <w:t>Acronym</w:t>
      </w:r>
      <w:r w:rsidRPr="007D6B56">
        <w:rPr>
          <w:rFonts w:hint="eastAsia"/>
          <w:lang w:val="en-GB"/>
        </w:rPr>
        <w:t xml:space="preserve">: </w:t>
      </w:r>
      <w:r w:rsidRPr="007D6B56">
        <w:rPr>
          <w:lang w:val="en-GB"/>
        </w:rPr>
        <w:t>FS_NR_FR2_OTA_Ph3</w:t>
      </w:r>
      <w:r w:rsidRPr="007D6B56">
        <w:rPr>
          <w:rFonts w:hint="eastAsia"/>
          <w:lang w:val="en-GB"/>
        </w:rPr>
        <w:t xml:space="preserve">) is to study and define the test </w:t>
      </w:r>
      <w:r w:rsidRPr="007D6B56">
        <w:rPr>
          <w:lang w:val="en-GB"/>
        </w:rPr>
        <w:t>methodology</w:t>
      </w:r>
      <w:r w:rsidRPr="007D6B56">
        <w:rPr>
          <w:rFonts w:hint="eastAsia"/>
          <w:lang w:val="en-GB"/>
        </w:rPr>
        <w:t xml:space="preserve"> for </w:t>
      </w:r>
      <w:r w:rsidRPr="007D6B56">
        <w:rPr>
          <w:lang w:val="en-GB"/>
        </w:rPr>
        <w:t>simultaneous transmission with multi-panel (</w:t>
      </w:r>
      <w:proofErr w:type="spellStart"/>
      <w:r w:rsidRPr="007D6B56">
        <w:rPr>
          <w:lang w:val="en-GB"/>
        </w:rPr>
        <w:t>STxMP</w:t>
      </w:r>
      <w:proofErr w:type="spellEnd"/>
      <w:r w:rsidRPr="007D6B56">
        <w:rPr>
          <w:lang w:val="en-GB"/>
        </w:rPr>
        <w:t>)</w:t>
      </w:r>
      <w:r w:rsidRPr="007D6B56">
        <w:rPr>
          <w:rFonts w:hint="eastAsia"/>
          <w:lang w:val="en-GB"/>
        </w:rPr>
        <w:t xml:space="preserve"> testing. The </w:t>
      </w:r>
      <w:r w:rsidRPr="007D6B56">
        <w:rPr>
          <w:lang w:val="en-GB"/>
        </w:rPr>
        <w:t>requirements</w:t>
      </w:r>
      <w:r w:rsidRPr="007D6B56">
        <w:rPr>
          <w:rFonts w:hint="eastAsia"/>
          <w:lang w:val="en-GB"/>
        </w:rPr>
        <w:t xml:space="preserve"> for </w:t>
      </w:r>
      <w:proofErr w:type="spellStart"/>
      <w:r w:rsidRPr="007D6B56">
        <w:rPr>
          <w:rFonts w:hint="eastAsia"/>
          <w:lang w:val="en-GB"/>
        </w:rPr>
        <w:t>STxMP</w:t>
      </w:r>
      <w:proofErr w:type="spellEnd"/>
      <w:r w:rsidRPr="007D6B56">
        <w:rPr>
          <w:rFonts w:hint="eastAsia"/>
          <w:lang w:val="en-GB"/>
        </w:rPr>
        <w:t xml:space="preserve"> have been specified under Rel-18 </w:t>
      </w:r>
      <w:r w:rsidRPr="007D6B56">
        <w:rPr>
          <w:lang w:val="en-GB"/>
        </w:rPr>
        <w:t xml:space="preserve">WI on MIMO Evolution for Downlink and Uplink (Acronym: </w:t>
      </w:r>
      <w:proofErr w:type="spellStart"/>
      <w:r w:rsidRPr="007D6B56">
        <w:rPr>
          <w:lang w:val="en-GB"/>
        </w:rPr>
        <w:t>NR_MIMO_evo_DL_U</w:t>
      </w:r>
      <w:proofErr w:type="spellEnd"/>
      <w:r w:rsidRPr="007D6B56">
        <w:rPr>
          <w:rFonts w:hint="eastAsia"/>
          <w:lang w:val="en-GB"/>
        </w:rPr>
        <w:t xml:space="preserve">). </w:t>
      </w:r>
    </w:p>
    <w:p w14:paraId="4EE437CB" w14:textId="77777777" w:rsidR="007D6B56" w:rsidRPr="007D6B56" w:rsidRDefault="007D6B56" w:rsidP="007D6B56">
      <w:pPr>
        <w:rPr>
          <w:lang w:val="en-GB"/>
        </w:rPr>
      </w:pPr>
    </w:p>
    <w:p w14:paraId="243D4E73" w14:textId="77777777" w:rsidR="007D6B56" w:rsidRDefault="007D6B56" w:rsidP="007D6B56">
      <w:pPr>
        <w:rPr>
          <w:lang w:val="en-GB"/>
        </w:rPr>
      </w:pPr>
      <w:r w:rsidRPr="007D6B56">
        <w:rPr>
          <w:rFonts w:hint="eastAsia"/>
          <w:lang w:val="en-GB"/>
        </w:rPr>
        <w:t xml:space="preserve">Hence the FR2 UE </w:t>
      </w:r>
      <w:proofErr w:type="spellStart"/>
      <w:r w:rsidRPr="007D6B56">
        <w:rPr>
          <w:rFonts w:hint="eastAsia"/>
          <w:lang w:val="en-GB"/>
        </w:rPr>
        <w:t>Beamlock</w:t>
      </w:r>
      <w:proofErr w:type="spellEnd"/>
      <w:r w:rsidRPr="007D6B56">
        <w:rPr>
          <w:rFonts w:hint="eastAsia"/>
          <w:lang w:val="en-GB"/>
        </w:rPr>
        <w:t xml:space="preserve"> test function </w:t>
      </w:r>
      <w:r w:rsidRPr="007D6B56">
        <w:rPr>
          <w:lang w:val="en-GB"/>
        </w:rPr>
        <w:t>that</w:t>
      </w:r>
      <w:r w:rsidRPr="007D6B56">
        <w:rPr>
          <w:rFonts w:hint="eastAsia"/>
          <w:lang w:val="en-GB"/>
        </w:rPr>
        <w:t xml:space="preserve"> RAN4 asked RAN5 to </w:t>
      </w:r>
      <w:r w:rsidRPr="007D6B56">
        <w:rPr>
          <w:lang w:val="en-GB"/>
        </w:rPr>
        <w:t>evaluate</w:t>
      </w:r>
      <w:r w:rsidRPr="007D6B56">
        <w:rPr>
          <w:rFonts w:hint="eastAsia"/>
          <w:lang w:val="en-GB"/>
        </w:rPr>
        <w:t xml:space="preserve"> is for the </w:t>
      </w:r>
      <w:r w:rsidRPr="007D6B56">
        <w:rPr>
          <w:lang w:val="en-GB"/>
        </w:rPr>
        <w:t>testability</w:t>
      </w:r>
      <w:r w:rsidRPr="007D6B56">
        <w:rPr>
          <w:rFonts w:hint="eastAsia"/>
          <w:lang w:val="en-GB"/>
        </w:rPr>
        <w:t xml:space="preserve"> of requirements defined in Clause 6.2K of TS 38.101-2 in Rel-18. </w:t>
      </w:r>
    </w:p>
    <w:p w14:paraId="19E9F09C" w14:textId="77777777" w:rsidR="007D6B56" w:rsidRDefault="007D6B56" w:rsidP="007D6B56">
      <w:pPr>
        <w:rPr>
          <w:lang w:val="en-GB"/>
        </w:rPr>
      </w:pPr>
    </w:p>
    <w:p w14:paraId="15382CED" w14:textId="6ACD064C" w:rsidR="007D6B56" w:rsidRPr="007D6B56" w:rsidRDefault="007D6B56" w:rsidP="007D6B56">
      <w:pPr>
        <w:rPr>
          <w:b/>
          <w:bCs/>
          <w:i/>
          <w:iCs/>
          <w:lang w:val="en-GB"/>
        </w:rPr>
      </w:pPr>
      <w:r w:rsidRPr="007D6B56">
        <w:rPr>
          <w:b/>
          <w:bCs/>
          <w:i/>
          <w:iCs/>
          <w:lang w:val="en-GB"/>
        </w:rPr>
        <w:t>Observation 1: RAN4 suggests considering the REl-18 WI on MIMO Evolution for Downlink and Uplink to evaluate the testability</w:t>
      </w:r>
      <w:r w:rsidRPr="007D6B56">
        <w:rPr>
          <w:rFonts w:hint="eastAsia"/>
          <w:b/>
          <w:bCs/>
          <w:i/>
          <w:iCs/>
          <w:lang w:val="en-GB"/>
        </w:rPr>
        <w:t xml:space="preserve"> of requirements defined in Clause 6.2K of TS 38.101-2 in Rel-18.</w:t>
      </w:r>
    </w:p>
    <w:p w14:paraId="7687FC5C" w14:textId="77777777" w:rsidR="007D6B56" w:rsidRDefault="007D6B56" w:rsidP="007D6B56">
      <w:pPr>
        <w:rPr>
          <w:lang w:val="en-GB"/>
        </w:rPr>
      </w:pPr>
    </w:p>
    <w:p w14:paraId="718280A9" w14:textId="6E61CC85" w:rsidR="007D6B56" w:rsidRDefault="007D6B56" w:rsidP="007D6B56">
      <w:pPr>
        <w:rPr>
          <w:lang w:val="en-GB"/>
        </w:rPr>
      </w:pPr>
      <w:r>
        <w:rPr>
          <w:lang w:val="en-GB"/>
        </w:rPr>
        <w:t>It is our view that the existing UE beam lock test function that has been in use since Rel-15 has been used for stable FR2 OTA conformance testing for several years. It is critical that the stability of this legacy test function is not impacted.</w:t>
      </w:r>
    </w:p>
    <w:p w14:paraId="24BD4B15" w14:textId="77777777" w:rsidR="007D6B56" w:rsidRDefault="007D6B56" w:rsidP="007D6B56">
      <w:pPr>
        <w:rPr>
          <w:lang w:val="en-GB"/>
        </w:rPr>
      </w:pPr>
    </w:p>
    <w:p w14:paraId="5C4BE456" w14:textId="11798D86" w:rsidR="007D6B56" w:rsidRPr="007D6B56" w:rsidRDefault="007D6B56" w:rsidP="007D6B56">
      <w:pPr>
        <w:rPr>
          <w:b/>
          <w:bCs/>
          <w:i/>
          <w:iCs/>
          <w:lang w:val="en-GB"/>
        </w:rPr>
      </w:pPr>
      <w:r w:rsidRPr="007D6B56">
        <w:rPr>
          <w:b/>
          <w:bCs/>
          <w:i/>
          <w:iCs/>
          <w:lang w:val="en-GB"/>
        </w:rPr>
        <w:t>Observation 2: Some previous proposals on this topic suggested updating the octet values of the legacy UBF to accommodate locking an additional beam. This modification impacts all current UE implementations and test case validations and therefore is critical to avoid</w:t>
      </w:r>
      <w:r>
        <w:rPr>
          <w:b/>
          <w:bCs/>
          <w:i/>
          <w:iCs/>
          <w:lang w:val="en-GB"/>
        </w:rPr>
        <w:t xml:space="preserve"> such an approach</w:t>
      </w:r>
      <w:r w:rsidRPr="007D6B56">
        <w:rPr>
          <w:b/>
          <w:bCs/>
          <w:i/>
          <w:iCs/>
          <w:lang w:val="en-GB"/>
        </w:rPr>
        <w:t>.</w:t>
      </w:r>
    </w:p>
    <w:p w14:paraId="77AE8EE5" w14:textId="77777777" w:rsidR="007D6B56" w:rsidRDefault="007D6B56" w:rsidP="007D6B56">
      <w:pPr>
        <w:rPr>
          <w:lang w:val="en-GB"/>
        </w:rPr>
      </w:pPr>
    </w:p>
    <w:p w14:paraId="1380D6FA" w14:textId="77777777" w:rsidR="00436147" w:rsidRPr="0011326A" w:rsidRDefault="00436147" w:rsidP="00436147">
      <w:pPr>
        <w:rPr>
          <w:strike/>
          <w:lang w:val="en-GB"/>
        </w:rPr>
      </w:pPr>
      <w:r w:rsidRPr="0011326A">
        <w:rPr>
          <w:b/>
          <w:bCs/>
          <w:strike/>
          <w:highlight w:val="yellow"/>
          <w:lang w:val="en-GB"/>
        </w:rPr>
        <w:lastRenderedPageBreak/>
        <w:t xml:space="preserve">Proposal 1: Agree that no modification be made to the existing connected mode UE </w:t>
      </w:r>
      <w:proofErr w:type="spellStart"/>
      <w:r w:rsidRPr="0011326A">
        <w:rPr>
          <w:b/>
          <w:bCs/>
          <w:strike/>
          <w:highlight w:val="yellow"/>
          <w:lang w:val="en-GB"/>
        </w:rPr>
        <w:t>Beamlock</w:t>
      </w:r>
      <w:proofErr w:type="spellEnd"/>
      <w:r w:rsidRPr="0011326A">
        <w:rPr>
          <w:b/>
          <w:bCs/>
          <w:strike/>
          <w:highlight w:val="yellow"/>
          <w:lang w:val="en-GB"/>
        </w:rPr>
        <w:t xml:space="preserve"> function (that has been in use since Rel-15 for FR2 OTA conformance testing)</w:t>
      </w:r>
      <w:r w:rsidRPr="0011326A">
        <w:rPr>
          <w:strike/>
          <w:highlight w:val="yellow"/>
          <w:lang w:val="en-GB"/>
        </w:rPr>
        <w:t xml:space="preserve"> </w:t>
      </w:r>
      <w:r w:rsidRPr="0011326A">
        <w:rPr>
          <w:b/>
          <w:bCs/>
          <w:strike/>
          <w:highlight w:val="yellow"/>
          <w:lang w:val="en-GB"/>
        </w:rPr>
        <w:t xml:space="preserve">to enable testability of </w:t>
      </w:r>
      <w:proofErr w:type="spellStart"/>
      <w:r w:rsidRPr="0011326A">
        <w:rPr>
          <w:b/>
          <w:bCs/>
          <w:strike/>
          <w:highlight w:val="yellow"/>
          <w:lang w:val="en-GB"/>
        </w:rPr>
        <w:t>STxMP</w:t>
      </w:r>
      <w:proofErr w:type="spellEnd"/>
      <w:r w:rsidRPr="0011326A">
        <w:rPr>
          <w:b/>
          <w:bCs/>
          <w:strike/>
          <w:highlight w:val="yellow"/>
          <w:lang w:val="en-GB"/>
        </w:rPr>
        <w:t xml:space="preserve"> testing.</w:t>
      </w:r>
    </w:p>
    <w:p w14:paraId="682F735E" w14:textId="77777777" w:rsidR="007D6B56" w:rsidRDefault="007D6B56" w:rsidP="007D6B56">
      <w:pPr>
        <w:rPr>
          <w:lang w:val="en-GB"/>
        </w:rPr>
      </w:pPr>
    </w:p>
    <w:p w14:paraId="18557A4A" w14:textId="29C6E8F0" w:rsidR="007D6B56" w:rsidRDefault="007D6B56" w:rsidP="007D6B56">
      <w:pPr>
        <w:rPr>
          <w:lang w:val="en-GB"/>
        </w:rPr>
      </w:pPr>
      <w:r>
        <w:rPr>
          <w:lang w:val="en-GB"/>
        </w:rPr>
        <w:t xml:space="preserve">There is a possibility that the existing </w:t>
      </w:r>
      <w:proofErr w:type="spellStart"/>
      <w:r>
        <w:rPr>
          <w:lang w:val="en-GB"/>
        </w:rPr>
        <w:t>beamlock</w:t>
      </w:r>
      <w:proofErr w:type="spellEnd"/>
      <w:r>
        <w:rPr>
          <w:lang w:val="en-GB"/>
        </w:rPr>
        <w:t xml:space="preserve"> function without any modifications might be able to lock two beams from two panels simultaneously, but this needs checking by respective UE implementations. </w:t>
      </w:r>
    </w:p>
    <w:p w14:paraId="6053A1DD" w14:textId="77777777" w:rsidR="007D6B56" w:rsidRDefault="007D6B56" w:rsidP="007D6B56">
      <w:pPr>
        <w:rPr>
          <w:lang w:val="en-GB"/>
        </w:rPr>
      </w:pPr>
    </w:p>
    <w:p w14:paraId="5059AD69" w14:textId="66DCFE09" w:rsidR="007D6B56" w:rsidRPr="007D6B56" w:rsidRDefault="007D6B56" w:rsidP="007D6B56">
      <w:pPr>
        <w:jc w:val="center"/>
        <w:rPr>
          <w:lang w:val="en-GB"/>
        </w:rPr>
      </w:pPr>
      <w:r w:rsidRPr="007D6B56">
        <w:rPr>
          <w:noProof/>
          <w:lang w:val="en-GB"/>
        </w:rPr>
        <w:drawing>
          <wp:inline distT="0" distB="0" distL="0" distR="0" wp14:anchorId="470A9D00" wp14:editId="6249844A">
            <wp:extent cx="4676367" cy="1126836"/>
            <wp:effectExtent l="0" t="0" r="0" b="3810"/>
            <wp:docPr id="855667985"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667985" name="Picture 1" descr="A white background with black text&#10;&#10;AI-generated content may be incorrect."/>
                    <pic:cNvPicPr/>
                  </pic:nvPicPr>
                  <pic:blipFill>
                    <a:blip r:embed="rId10"/>
                    <a:stretch>
                      <a:fillRect/>
                    </a:stretch>
                  </pic:blipFill>
                  <pic:spPr>
                    <a:xfrm>
                      <a:off x="0" y="0"/>
                      <a:ext cx="4763369" cy="1147800"/>
                    </a:xfrm>
                    <a:prstGeom prst="rect">
                      <a:avLst/>
                    </a:prstGeom>
                  </pic:spPr>
                </pic:pic>
              </a:graphicData>
            </a:graphic>
          </wp:inline>
        </w:drawing>
      </w:r>
    </w:p>
    <w:p w14:paraId="562E1C56" w14:textId="5EF7543D" w:rsidR="0034036E" w:rsidRDefault="0034036E" w:rsidP="007D6B56"/>
    <w:p w14:paraId="5774868A" w14:textId="4D5777B4" w:rsidR="007D6B56" w:rsidRDefault="007D6B56" w:rsidP="007D6B56">
      <w:pPr>
        <w:rPr>
          <w:lang w:val="en-GB"/>
        </w:rPr>
      </w:pPr>
      <w:r>
        <w:rPr>
          <w:lang w:val="en-GB"/>
        </w:rPr>
        <w:t>An alternate is to explore creation of a separate test function for locking of two beams.</w:t>
      </w:r>
    </w:p>
    <w:p w14:paraId="754D3749" w14:textId="77777777" w:rsidR="007D6B56" w:rsidRDefault="007D6B56" w:rsidP="007D6B56">
      <w:pPr>
        <w:rPr>
          <w:lang w:val="en-GB"/>
        </w:rPr>
      </w:pPr>
    </w:p>
    <w:p w14:paraId="252604D6" w14:textId="55CB6FCB" w:rsidR="007D6B56" w:rsidRDefault="007D6B56" w:rsidP="007D6B56">
      <w:pPr>
        <w:rPr>
          <w:b/>
          <w:bCs/>
          <w:strike/>
          <w:lang w:val="en-GB"/>
        </w:rPr>
      </w:pPr>
      <w:r w:rsidRPr="0011326A">
        <w:rPr>
          <w:b/>
          <w:bCs/>
          <w:strike/>
          <w:highlight w:val="yellow"/>
          <w:lang w:val="en-GB"/>
        </w:rPr>
        <w:t>Proposal 2: Further discuss if existing UBF without any modification can lock two transmit beams. Alternately create a separate test function to lock two transmit beams.</w:t>
      </w:r>
    </w:p>
    <w:p w14:paraId="09BD2768" w14:textId="77777777" w:rsidR="002F35BC" w:rsidRDefault="002F35BC" w:rsidP="002F35BC">
      <w:pPr>
        <w:rPr>
          <w:b/>
          <w:bCs/>
          <w:highlight w:val="yellow"/>
          <w:lang w:val="en-GB"/>
        </w:rPr>
      </w:pPr>
    </w:p>
    <w:p w14:paraId="32A9A5F8" w14:textId="389D6A4B" w:rsidR="002F35BC" w:rsidRDefault="002F35BC" w:rsidP="002F35BC">
      <w:pPr>
        <w:rPr>
          <w:b/>
          <w:bCs/>
          <w:highlight w:val="yellow"/>
          <w:lang w:val="en-GB"/>
        </w:rPr>
      </w:pPr>
      <w:r w:rsidRPr="0011326A">
        <w:rPr>
          <w:b/>
          <w:bCs/>
          <w:highlight w:val="yellow"/>
          <w:lang w:val="en-GB"/>
        </w:rPr>
        <w:t xml:space="preserve">Proposal 1: Add a NOTE to the UBF definition in TS 38.509 to potentially allow locking of two/multiple Transmit beams. </w:t>
      </w:r>
    </w:p>
    <w:p w14:paraId="27D465EC" w14:textId="77777777" w:rsidR="002F35BC" w:rsidRDefault="002F35BC" w:rsidP="002F35BC">
      <w:pPr>
        <w:rPr>
          <w:b/>
          <w:bCs/>
          <w:highlight w:val="yellow"/>
          <w:lang w:val="en-GB"/>
        </w:rPr>
      </w:pPr>
    </w:p>
    <w:p w14:paraId="13FED7CE" w14:textId="34C7268F" w:rsidR="002F35BC" w:rsidRPr="002F35BC" w:rsidRDefault="002F35BC" w:rsidP="007D6B56">
      <w:pPr>
        <w:rPr>
          <w:b/>
          <w:bCs/>
          <w:highlight w:val="yellow"/>
          <w:lang w:val="en-GB"/>
        </w:rPr>
      </w:pPr>
      <w:r>
        <w:rPr>
          <w:b/>
          <w:bCs/>
          <w:highlight w:val="yellow"/>
          <w:lang w:val="en-GB"/>
        </w:rPr>
        <w:t>Example is provided in Summary section</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16566047" w14:textId="77777777" w:rsidR="007D6B56" w:rsidRPr="007D6B56" w:rsidRDefault="007D6B56" w:rsidP="007D6B56">
      <w:pPr>
        <w:rPr>
          <w:b/>
          <w:bCs/>
          <w:i/>
          <w:iCs/>
          <w:lang w:val="en-GB"/>
        </w:rPr>
      </w:pPr>
      <w:r w:rsidRPr="007D6B56">
        <w:rPr>
          <w:b/>
          <w:bCs/>
          <w:i/>
          <w:iCs/>
          <w:lang w:val="en-GB"/>
        </w:rPr>
        <w:t>Observation 1: RAN4 suggests considering the REl-18 WI on MIMO Evolution for Downlink and Uplink to evaluate the testability</w:t>
      </w:r>
      <w:r w:rsidRPr="007D6B56">
        <w:rPr>
          <w:rFonts w:hint="eastAsia"/>
          <w:b/>
          <w:bCs/>
          <w:i/>
          <w:iCs/>
          <w:lang w:val="en-GB"/>
        </w:rPr>
        <w:t xml:space="preserve"> of requirements defined in Clause 6.2K of TS 38.101-2 in Rel-18.</w:t>
      </w:r>
    </w:p>
    <w:p w14:paraId="745F102C" w14:textId="77777777" w:rsidR="0006102C" w:rsidRDefault="0006102C" w:rsidP="0006102C">
      <w:pPr>
        <w:rPr>
          <w:rFonts w:eastAsia="MS Mincho"/>
          <w:b/>
          <w:bCs/>
          <w:i/>
          <w:iCs/>
        </w:rPr>
      </w:pPr>
    </w:p>
    <w:p w14:paraId="5AB6C682" w14:textId="77777777" w:rsidR="007D6B56" w:rsidRPr="007D6B56" w:rsidRDefault="007D6B56" w:rsidP="007D6B56">
      <w:pPr>
        <w:rPr>
          <w:b/>
          <w:bCs/>
          <w:i/>
          <w:iCs/>
          <w:lang w:val="en-GB"/>
        </w:rPr>
      </w:pPr>
      <w:r w:rsidRPr="007D6B56">
        <w:rPr>
          <w:b/>
          <w:bCs/>
          <w:i/>
          <w:iCs/>
          <w:lang w:val="en-GB"/>
        </w:rPr>
        <w:t>Observation 2: Some previous proposals on this topic suggested updating the octet values of the legacy UBF to accommodate locking an additional beam. This modification impacts all current UE implementations and test case validations and therefore is critical to avoid</w:t>
      </w:r>
      <w:r>
        <w:rPr>
          <w:b/>
          <w:bCs/>
          <w:i/>
          <w:iCs/>
          <w:lang w:val="en-GB"/>
        </w:rPr>
        <w:t xml:space="preserve"> such an approach</w:t>
      </w:r>
      <w:r w:rsidRPr="007D6B56">
        <w:rPr>
          <w:b/>
          <w:bCs/>
          <w:i/>
          <w:iCs/>
          <w:lang w:val="en-GB"/>
        </w:rPr>
        <w:t>.</w:t>
      </w:r>
    </w:p>
    <w:p w14:paraId="32CA2E92" w14:textId="77777777" w:rsidR="008D3CDD" w:rsidRDefault="008D3CDD" w:rsidP="0006102C">
      <w:pPr>
        <w:rPr>
          <w:rFonts w:eastAsia="MS Mincho"/>
          <w:b/>
          <w:bCs/>
          <w:i/>
          <w:iCs/>
        </w:rPr>
      </w:pPr>
    </w:p>
    <w:p w14:paraId="7DAD61BD" w14:textId="25E5DF6C" w:rsidR="007D6B56" w:rsidRPr="0011326A" w:rsidRDefault="007D6B56" w:rsidP="007D6B56">
      <w:pPr>
        <w:rPr>
          <w:strike/>
          <w:highlight w:val="yellow"/>
          <w:lang w:val="en-GB"/>
        </w:rPr>
      </w:pPr>
      <w:r w:rsidRPr="0011326A">
        <w:rPr>
          <w:b/>
          <w:bCs/>
          <w:strike/>
          <w:highlight w:val="yellow"/>
          <w:lang w:val="en-GB"/>
        </w:rPr>
        <w:t xml:space="preserve">Proposal 1: Agree that no modification be made to the existing connected mode UE </w:t>
      </w:r>
      <w:proofErr w:type="spellStart"/>
      <w:r w:rsidRPr="0011326A">
        <w:rPr>
          <w:b/>
          <w:bCs/>
          <w:strike/>
          <w:highlight w:val="yellow"/>
          <w:lang w:val="en-GB"/>
        </w:rPr>
        <w:t>Beamlock</w:t>
      </w:r>
      <w:proofErr w:type="spellEnd"/>
      <w:r w:rsidRPr="0011326A">
        <w:rPr>
          <w:b/>
          <w:bCs/>
          <w:strike/>
          <w:highlight w:val="yellow"/>
          <w:lang w:val="en-GB"/>
        </w:rPr>
        <w:t xml:space="preserve"> function </w:t>
      </w:r>
      <w:r w:rsidR="00436147" w:rsidRPr="0011326A">
        <w:rPr>
          <w:b/>
          <w:bCs/>
          <w:strike/>
          <w:highlight w:val="yellow"/>
          <w:lang w:val="en-GB"/>
        </w:rPr>
        <w:t>(</w:t>
      </w:r>
      <w:r w:rsidRPr="0011326A">
        <w:rPr>
          <w:b/>
          <w:bCs/>
          <w:strike/>
          <w:highlight w:val="yellow"/>
          <w:lang w:val="en-GB"/>
        </w:rPr>
        <w:t>that has been in use since Rel-15 for FR2 OTA conformance testing</w:t>
      </w:r>
      <w:r w:rsidR="00436147" w:rsidRPr="0011326A">
        <w:rPr>
          <w:b/>
          <w:bCs/>
          <w:strike/>
          <w:highlight w:val="yellow"/>
          <w:lang w:val="en-GB"/>
        </w:rPr>
        <w:t>)</w:t>
      </w:r>
      <w:r w:rsidRPr="0011326A">
        <w:rPr>
          <w:strike/>
          <w:highlight w:val="yellow"/>
          <w:lang w:val="en-GB"/>
        </w:rPr>
        <w:t xml:space="preserve"> </w:t>
      </w:r>
      <w:r w:rsidRPr="0011326A">
        <w:rPr>
          <w:b/>
          <w:bCs/>
          <w:strike/>
          <w:highlight w:val="yellow"/>
          <w:lang w:val="en-GB"/>
        </w:rPr>
        <w:t xml:space="preserve">to enable testability of </w:t>
      </w:r>
      <w:proofErr w:type="spellStart"/>
      <w:r w:rsidRPr="0011326A">
        <w:rPr>
          <w:b/>
          <w:bCs/>
          <w:strike/>
          <w:highlight w:val="yellow"/>
          <w:lang w:val="en-GB"/>
        </w:rPr>
        <w:t>STxMP</w:t>
      </w:r>
      <w:proofErr w:type="spellEnd"/>
      <w:r w:rsidRPr="0011326A">
        <w:rPr>
          <w:b/>
          <w:bCs/>
          <w:strike/>
          <w:highlight w:val="yellow"/>
          <w:lang w:val="en-GB"/>
        </w:rPr>
        <w:t xml:space="preserve"> testing.</w:t>
      </w:r>
    </w:p>
    <w:p w14:paraId="3F48A0C8" w14:textId="77777777" w:rsidR="008D3CDD" w:rsidRPr="0011326A" w:rsidRDefault="008D3CDD" w:rsidP="008D3CDD">
      <w:pPr>
        <w:rPr>
          <w:rFonts w:eastAsia="MS Mincho"/>
          <w:b/>
          <w:bCs/>
          <w:i/>
          <w:iCs/>
          <w:strike/>
          <w:highlight w:val="yellow"/>
        </w:rPr>
      </w:pPr>
    </w:p>
    <w:p w14:paraId="292ED69E" w14:textId="6BD987D3" w:rsidR="007D6B56" w:rsidRPr="0011326A" w:rsidRDefault="007D6B56" w:rsidP="007D6B56">
      <w:pPr>
        <w:rPr>
          <w:b/>
          <w:bCs/>
          <w:strike/>
          <w:highlight w:val="yellow"/>
          <w:lang w:val="en-GB"/>
        </w:rPr>
      </w:pPr>
      <w:r w:rsidRPr="0011326A">
        <w:rPr>
          <w:b/>
          <w:bCs/>
          <w:strike/>
          <w:highlight w:val="yellow"/>
          <w:lang w:val="en-GB"/>
        </w:rPr>
        <w:t>Proposal 2: Further discuss if existing UBF, without any modification, can lock two transmit beams. Alternately create a separate test function to lock two transmit beams.</w:t>
      </w:r>
    </w:p>
    <w:p w14:paraId="20C63864" w14:textId="77777777" w:rsidR="0011326A" w:rsidRPr="0011326A" w:rsidRDefault="0011326A" w:rsidP="007D6B56">
      <w:pPr>
        <w:rPr>
          <w:b/>
          <w:bCs/>
          <w:highlight w:val="yellow"/>
          <w:lang w:val="en-GB"/>
        </w:rPr>
      </w:pPr>
    </w:p>
    <w:p w14:paraId="702D61F5" w14:textId="08986C1B" w:rsidR="0011326A" w:rsidRPr="0011326A" w:rsidRDefault="0011326A" w:rsidP="007D6B56">
      <w:pPr>
        <w:rPr>
          <w:b/>
          <w:bCs/>
          <w:highlight w:val="yellow"/>
          <w:lang w:val="en-GB"/>
        </w:rPr>
      </w:pPr>
      <w:r w:rsidRPr="0011326A">
        <w:rPr>
          <w:b/>
          <w:bCs/>
          <w:highlight w:val="yellow"/>
          <w:lang w:val="en-GB"/>
        </w:rPr>
        <w:t xml:space="preserve">Proposal 1: Add a NOTE to the UBF definition in TS 38.509 to potentially allow locking of two/multiple Transmit beams. </w:t>
      </w:r>
    </w:p>
    <w:p w14:paraId="48EFC5AE" w14:textId="77777777" w:rsidR="0011326A" w:rsidRPr="0011326A" w:rsidRDefault="0011326A" w:rsidP="007D6B56">
      <w:pPr>
        <w:rPr>
          <w:b/>
          <w:bCs/>
          <w:highlight w:val="yellow"/>
          <w:lang w:val="en-GB"/>
        </w:rPr>
      </w:pPr>
    </w:p>
    <w:p w14:paraId="05890E13" w14:textId="05E1B5D5" w:rsidR="0011326A" w:rsidRDefault="0011326A" w:rsidP="007D6B56">
      <w:pPr>
        <w:rPr>
          <w:b/>
          <w:bCs/>
          <w:lang w:val="en-GB"/>
        </w:rPr>
      </w:pPr>
      <w:r w:rsidRPr="0011326A">
        <w:rPr>
          <w:b/>
          <w:bCs/>
          <w:highlight w:val="yellow"/>
          <w:lang w:val="en-GB"/>
        </w:rPr>
        <w:t>// Example for Activate Beam Lock Procedure</w:t>
      </w:r>
    </w:p>
    <w:p w14:paraId="4DEA28B1" w14:textId="175F3C70" w:rsidR="0011326A" w:rsidRDefault="0011326A" w:rsidP="007D6B56">
      <w:pPr>
        <w:rPr>
          <w:b/>
          <w:bCs/>
          <w:lang w:val="en-GB"/>
        </w:rPr>
      </w:pPr>
    </w:p>
    <w:p w14:paraId="60DB7DBF" w14:textId="77777777" w:rsidR="0011326A" w:rsidRDefault="0011326A" w:rsidP="007D6B56">
      <w:pPr>
        <w:rPr>
          <w:b/>
          <w:bCs/>
          <w:lang w:val="en-GB"/>
        </w:rPr>
      </w:pPr>
    </w:p>
    <w:p w14:paraId="7E723D71" w14:textId="4F3A6039" w:rsidR="0011326A" w:rsidRDefault="002F35BC" w:rsidP="007D6B56">
      <w:pPr>
        <w:rPr>
          <w:b/>
          <w:bCs/>
          <w:lang w:val="en-GB"/>
        </w:rPr>
      </w:pPr>
      <w:r w:rsidRPr="002F35BC">
        <w:rPr>
          <w:b/>
          <w:bCs/>
          <w:lang w:val="en-GB"/>
        </w:rPr>
        <w:lastRenderedPageBreak/>
        <w:drawing>
          <wp:inline distT="0" distB="0" distL="0" distR="0" wp14:anchorId="0D8A38DC" wp14:editId="021C61D4">
            <wp:extent cx="6122035" cy="5096510"/>
            <wp:effectExtent l="0" t="0" r="0" b="0"/>
            <wp:docPr id="1112731034"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731034" name="Picture 1" descr="A screenshot of a computer screen&#10;&#10;AI-generated content may be incorrect."/>
                    <pic:cNvPicPr/>
                  </pic:nvPicPr>
                  <pic:blipFill>
                    <a:blip r:embed="rId11"/>
                    <a:stretch>
                      <a:fillRect/>
                    </a:stretch>
                  </pic:blipFill>
                  <pic:spPr>
                    <a:xfrm>
                      <a:off x="0" y="0"/>
                      <a:ext cx="6122035" cy="5096510"/>
                    </a:xfrm>
                    <a:prstGeom prst="rect">
                      <a:avLst/>
                    </a:prstGeom>
                  </pic:spPr>
                </pic:pic>
              </a:graphicData>
            </a:graphic>
          </wp:inline>
        </w:drawing>
      </w:r>
    </w:p>
    <w:p w14:paraId="5EECFC82" w14:textId="45B9BFEF" w:rsidR="0011326A" w:rsidRDefault="0011326A" w:rsidP="0011326A">
      <w:pPr>
        <w:rPr>
          <w:b/>
          <w:bCs/>
          <w:lang w:val="en-GB"/>
        </w:rPr>
      </w:pPr>
      <w:r w:rsidRPr="0011326A">
        <w:rPr>
          <w:b/>
          <w:bCs/>
          <w:highlight w:val="yellow"/>
          <w:lang w:val="en-GB"/>
        </w:rPr>
        <w:t>// Example for Deactivate Beam Lock Procedure</w:t>
      </w:r>
    </w:p>
    <w:p w14:paraId="081FC7E2" w14:textId="2530CFD9" w:rsidR="0011326A" w:rsidRPr="007D6B56" w:rsidRDefault="0011326A" w:rsidP="007D6B56">
      <w:pPr>
        <w:rPr>
          <w:b/>
          <w:bCs/>
        </w:rPr>
      </w:pPr>
      <w:r>
        <w:fldChar w:fldCharType="begin"/>
      </w:r>
      <w:r>
        <w:instrText xml:space="preserve"> INCLUDEPICTURE "cid:image002.png@01DB82B0.DEF5FE80" \* MERGEFORMATINET </w:instrText>
      </w:r>
      <w:r>
        <w:fldChar w:fldCharType="separate"/>
      </w:r>
      <w:r>
        <w:fldChar w:fldCharType="end"/>
      </w:r>
    </w:p>
    <w:p w14:paraId="7FC3E90D" w14:textId="435178C6" w:rsidR="008D3CDD" w:rsidRDefault="002F35BC" w:rsidP="008D3CDD">
      <w:pPr>
        <w:rPr>
          <w:rFonts w:eastAsia="MS Mincho"/>
          <w:b/>
          <w:bCs/>
          <w:i/>
          <w:iCs/>
        </w:rPr>
      </w:pPr>
      <w:r w:rsidRPr="002F35BC">
        <w:rPr>
          <w:b/>
          <w:bCs/>
          <w:lang w:val="en-GB"/>
        </w:rPr>
        <w:drawing>
          <wp:inline distT="0" distB="0" distL="0" distR="0" wp14:anchorId="27931993" wp14:editId="3514DC91">
            <wp:extent cx="6122035" cy="3575050"/>
            <wp:effectExtent l="0" t="0" r="0" b="6350"/>
            <wp:docPr id="157548828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488287" name="Picture 1" descr="A screenshot of a computer&#10;&#10;AI-generated content may be incorrect."/>
                    <pic:cNvPicPr/>
                  </pic:nvPicPr>
                  <pic:blipFill>
                    <a:blip r:embed="rId12"/>
                    <a:stretch>
                      <a:fillRect/>
                    </a:stretch>
                  </pic:blipFill>
                  <pic:spPr>
                    <a:xfrm>
                      <a:off x="0" y="0"/>
                      <a:ext cx="6122035" cy="3575050"/>
                    </a:xfrm>
                    <a:prstGeom prst="rect">
                      <a:avLst/>
                    </a:prstGeom>
                  </pic:spPr>
                </pic:pic>
              </a:graphicData>
            </a:graphic>
          </wp:inline>
        </w:drawing>
      </w:r>
    </w:p>
    <w:p w14:paraId="01F36572" w14:textId="77777777" w:rsidR="00276EE4" w:rsidRPr="00DB2F35" w:rsidRDefault="005E69AE" w:rsidP="0082214F">
      <w:pPr>
        <w:pStyle w:val="Heading1"/>
        <w:rPr>
          <w:rFonts w:cs="Arial"/>
        </w:rPr>
      </w:pPr>
      <w:r w:rsidRPr="00DB2F35">
        <w:rPr>
          <w:rFonts w:cs="Arial"/>
        </w:rPr>
        <w:lastRenderedPageBreak/>
        <w:t>4</w:t>
      </w:r>
      <w:r w:rsidRPr="00DB2F35">
        <w:rPr>
          <w:rFonts w:cs="Arial"/>
        </w:rPr>
        <w:tab/>
        <w:t>References</w:t>
      </w:r>
    </w:p>
    <w:bookmarkEnd w:id="0"/>
    <w:p w14:paraId="373E65E6" w14:textId="4B8ED3D6" w:rsidR="00A64EC2" w:rsidRPr="0034036E" w:rsidRDefault="007D6B56" w:rsidP="007D6B56">
      <w:pPr>
        <w:pStyle w:val="EX"/>
        <w:rPr>
          <w:rFonts w:eastAsia="Calibri"/>
          <w:sz w:val="22"/>
          <w:szCs w:val="22"/>
        </w:rPr>
      </w:pPr>
      <w:r w:rsidRPr="007D6B56">
        <w:rPr>
          <w:rFonts w:eastAsia="Calibri"/>
          <w:bCs/>
          <w:sz w:val="22"/>
          <w:szCs w:val="22"/>
          <w:lang w:val="en-US"/>
        </w:rPr>
        <w:t>R4-241884</w:t>
      </w:r>
      <w:r w:rsidRPr="007D6B56">
        <w:rPr>
          <w:rFonts w:eastAsia="Calibri" w:hint="eastAsia"/>
          <w:bCs/>
          <w:sz w:val="22"/>
          <w:szCs w:val="22"/>
          <w:lang w:val="en-US"/>
        </w:rPr>
        <w:t>7</w:t>
      </w:r>
      <w:r w:rsidR="00A92776" w:rsidRPr="0034036E">
        <w:rPr>
          <w:rFonts w:eastAsia="Calibri"/>
          <w:sz w:val="22"/>
          <w:szCs w:val="22"/>
          <w:lang w:val="en-US"/>
        </w:rPr>
        <w:t xml:space="preserve">– </w:t>
      </w:r>
      <w:r w:rsidRPr="007D6B56">
        <w:rPr>
          <w:rFonts w:eastAsia="Calibri"/>
          <w:bCs/>
          <w:sz w:val="22"/>
          <w:szCs w:val="22"/>
          <w:lang w:val="en-US"/>
        </w:rPr>
        <w:t>Reply</w:t>
      </w:r>
      <w:r w:rsidRPr="007D6B56">
        <w:rPr>
          <w:rFonts w:eastAsia="Calibri" w:hint="eastAsia"/>
          <w:bCs/>
          <w:sz w:val="22"/>
          <w:szCs w:val="22"/>
          <w:lang w:val="en-US"/>
        </w:rPr>
        <w:t xml:space="preserve"> </w:t>
      </w:r>
      <w:bookmarkStart w:id="1" w:name="OLE_LINK4"/>
      <w:r w:rsidRPr="007D6B56">
        <w:rPr>
          <w:rFonts w:eastAsia="Calibri"/>
          <w:bCs/>
          <w:sz w:val="22"/>
          <w:szCs w:val="22"/>
          <w:lang w:val="en-US"/>
        </w:rPr>
        <w:t>LS on</w:t>
      </w:r>
      <w:r w:rsidRPr="007D6B56">
        <w:rPr>
          <w:rFonts w:eastAsia="Calibri" w:hint="eastAsia"/>
          <w:bCs/>
          <w:sz w:val="22"/>
          <w:szCs w:val="22"/>
          <w:lang w:val="en-US"/>
        </w:rPr>
        <w:t xml:space="preserve"> FR2 UE </w:t>
      </w:r>
      <w:proofErr w:type="spellStart"/>
      <w:r w:rsidRPr="007D6B56">
        <w:rPr>
          <w:rFonts w:eastAsia="Calibri" w:hint="eastAsia"/>
          <w:bCs/>
          <w:sz w:val="22"/>
          <w:szCs w:val="22"/>
          <w:lang w:val="en-US"/>
        </w:rPr>
        <w:t>Beamlock</w:t>
      </w:r>
      <w:proofErr w:type="spellEnd"/>
      <w:r w:rsidRPr="007D6B56">
        <w:rPr>
          <w:rFonts w:eastAsia="Calibri" w:hint="eastAsia"/>
          <w:bCs/>
          <w:sz w:val="22"/>
          <w:szCs w:val="22"/>
          <w:lang w:val="en-US"/>
        </w:rPr>
        <w:t xml:space="preserve"> test function</w:t>
      </w:r>
      <w:bookmarkEnd w:id="1"/>
    </w:p>
    <w:p w14:paraId="6975D827" w14:textId="77777777" w:rsidR="007D6B56" w:rsidRDefault="007D6B56" w:rsidP="00DB2F35">
      <w:pPr>
        <w:pStyle w:val="EX"/>
        <w:rPr>
          <w:rFonts w:eastAsia="Calibri"/>
          <w:sz w:val="22"/>
          <w:szCs w:val="22"/>
          <w:lang w:val="en-US"/>
        </w:rPr>
      </w:pPr>
      <w:r>
        <w:rPr>
          <w:rFonts w:eastAsia="Calibri"/>
          <w:sz w:val="22"/>
          <w:szCs w:val="22"/>
          <w:lang w:val="en-US"/>
        </w:rPr>
        <w:t xml:space="preserve">R4-2405565 – LS on FR2 UE </w:t>
      </w:r>
      <w:proofErr w:type="spellStart"/>
      <w:r>
        <w:rPr>
          <w:rFonts w:eastAsia="Calibri"/>
          <w:sz w:val="22"/>
          <w:szCs w:val="22"/>
          <w:lang w:val="en-US"/>
        </w:rPr>
        <w:t>Beamlock</w:t>
      </w:r>
      <w:proofErr w:type="spellEnd"/>
      <w:r>
        <w:rPr>
          <w:rFonts w:eastAsia="Calibri"/>
          <w:sz w:val="22"/>
          <w:szCs w:val="22"/>
          <w:lang w:val="en-US"/>
        </w:rPr>
        <w:t xml:space="preserve"> test function</w:t>
      </w:r>
    </w:p>
    <w:p w14:paraId="77197D74" w14:textId="19CC9D32" w:rsidR="00DB2F35" w:rsidRPr="0034036E" w:rsidRDefault="007D6B56" w:rsidP="00DB2F35">
      <w:pPr>
        <w:pStyle w:val="EX"/>
        <w:rPr>
          <w:rFonts w:eastAsia="Calibri"/>
          <w:sz w:val="22"/>
          <w:szCs w:val="22"/>
          <w:lang w:val="en-US"/>
        </w:rPr>
      </w:pPr>
      <w:r>
        <w:rPr>
          <w:rFonts w:eastAsia="Calibri"/>
          <w:sz w:val="22"/>
          <w:szCs w:val="22"/>
          <w:lang w:val="en-US"/>
        </w:rPr>
        <w:t>R5-246106 – RF Action Points after RAN5#106</w:t>
      </w:r>
    </w:p>
    <w:p w14:paraId="3AB2065D" w14:textId="77777777" w:rsidR="0034036E" w:rsidRPr="0034036E" w:rsidRDefault="001F0FB3" w:rsidP="00155D3B">
      <w:pPr>
        <w:pStyle w:val="EX"/>
        <w:rPr>
          <w:rFonts w:eastAsia="Calibri"/>
          <w:sz w:val="22"/>
          <w:szCs w:val="22"/>
        </w:rPr>
      </w:pPr>
      <w:r w:rsidRPr="0034036E">
        <w:rPr>
          <w:rFonts w:eastAsia="Calibri"/>
          <w:sz w:val="22"/>
          <w:szCs w:val="22"/>
        </w:rPr>
        <w:t xml:space="preserve">TS 38.521-2 – </w:t>
      </w:r>
      <w:r w:rsidR="0034036E" w:rsidRPr="0034036E">
        <w:rPr>
          <w:color w:val="000000"/>
          <w:sz w:val="22"/>
          <w:szCs w:val="22"/>
        </w:rPr>
        <w:t>NR; User Equipment (UE) conformance specification; Radio transmission and reception; Part 2: Range 2 standalone</w:t>
      </w:r>
    </w:p>
    <w:p w14:paraId="1367F3E5" w14:textId="677098D5" w:rsidR="00985AC6" w:rsidRDefault="00985AC6" w:rsidP="00224712">
      <w:pPr>
        <w:pStyle w:val="EX"/>
        <w:numPr>
          <w:ilvl w:val="0"/>
          <w:numId w:val="0"/>
        </w:numPr>
        <w:rPr>
          <w:rFonts w:ascii="Arial" w:eastAsia="Calibri" w:hAnsi="Arial" w:cs="Arial"/>
          <w:lang w:val="en-US"/>
        </w:rPr>
      </w:pPr>
    </w:p>
    <w:sectPr w:rsidR="00985AC6" w:rsidSect="007D6B5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EAFB4" w14:textId="77777777" w:rsidR="00782ACB" w:rsidRDefault="00782ACB">
      <w:r>
        <w:separator/>
      </w:r>
    </w:p>
  </w:endnote>
  <w:endnote w:type="continuationSeparator" w:id="0">
    <w:p w14:paraId="4ED04418" w14:textId="77777777" w:rsidR="00782ACB" w:rsidRDefault="0078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75A7D" w14:textId="77777777" w:rsidR="00782ACB" w:rsidRDefault="00782ACB">
      <w:r>
        <w:separator/>
      </w:r>
    </w:p>
  </w:footnote>
  <w:footnote w:type="continuationSeparator" w:id="0">
    <w:p w14:paraId="77F4D6BF" w14:textId="77777777" w:rsidR="00782ACB" w:rsidRDefault="0078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9"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6831385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3979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331059">
    <w:abstractNumId w:val="2"/>
  </w:num>
  <w:num w:numId="4" w16cid:durableId="304510533">
    <w:abstractNumId w:val="24"/>
  </w:num>
  <w:num w:numId="5" w16cid:durableId="387458286">
    <w:abstractNumId w:val="3"/>
  </w:num>
  <w:num w:numId="6" w16cid:durableId="1042251307">
    <w:abstractNumId w:val="3"/>
  </w:num>
  <w:num w:numId="7" w16cid:durableId="1602910697">
    <w:abstractNumId w:val="15"/>
  </w:num>
  <w:num w:numId="8" w16cid:durableId="1179848619">
    <w:abstractNumId w:val="5"/>
  </w:num>
  <w:num w:numId="9" w16cid:durableId="2021159944">
    <w:abstractNumId w:val="21"/>
  </w:num>
  <w:num w:numId="10" w16cid:durableId="15235731">
    <w:abstractNumId w:val="13"/>
  </w:num>
  <w:num w:numId="11" w16cid:durableId="1488472719">
    <w:abstractNumId w:val="19"/>
  </w:num>
  <w:num w:numId="12" w16cid:durableId="825364623">
    <w:abstractNumId w:val="20"/>
  </w:num>
  <w:num w:numId="13" w16cid:durableId="919144990">
    <w:abstractNumId w:val="22"/>
  </w:num>
  <w:num w:numId="14" w16cid:durableId="474299809">
    <w:abstractNumId w:val="10"/>
  </w:num>
  <w:num w:numId="15" w16cid:durableId="1078748087">
    <w:abstractNumId w:val="7"/>
  </w:num>
  <w:num w:numId="16" w16cid:durableId="1635408372">
    <w:abstractNumId w:val="25"/>
  </w:num>
  <w:num w:numId="17" w16cid:durableId="2053185702">
    <w:abstractNumId w:val="12"/>
  </w:num>
  <w:num w:numId="18" w16cid:durableId="157039354">
    <w:abstractNumId w:val="18"/>
  </w:num>
  <w:num w:numId="19" w16cid:durableId="1708286861">
    <w:abstractNumId w:val="23"/>
  </w:num>
  <w:num w:numId="20" w16cid:durableId="1016809984">
    <w:abstractNumId w:val="11"/>
  </w:num>
  <w:num w:numId="21" w16cid:durableId="1892299876">
    <w:abstractNumId w:val="9"/>
  </w:num>
  <w:num w:numId="22" w16cid:durableId="1035689443">
    <w:abstractNumId w:val="8"/>
  </w:num>
  <w:num w:numId="23" w16cid:durableId="1717313785">
    <w:abstractNumId w:val="0"/>
  </w:num>
  <w:num w:numId="24" w16cid:durableId="339434108">
    <w:abstractNumId w:val="4"/>
  </w:num>
  <w:num w:numId="25" w16cid:durableId="730422386">
    <w:abstractNumId w:val="27"/>
  </w:num>
  <w:num w:numId="26" w16cid:durableId="1827865403">
    <w:abstractNumId w:val="16"/>
  </w:num>
  <w:num w:numId="27" w16cid:durableId="1805149454">
    <w:abstractNumId w:val="17"/>
  </w:num>
  <w:num w:numId="28" w16cid:durableId="848521507">
    <w:abstractNumId w:val="3"/>
  </w:num>
  <w:num w:numId="29" w16cid:durableId="541403896">
    <w:abstractNumId w:val="3"/>
  </w:num>
  <w:num w:numId="30" w16cid:durableId="1464498354">
    <w:abstractNumId w:val="3"/>
  </w:num>
  <w:num w:numId="31" w16cid:durableId="1372992740">
    <w:abstractNumId w:val="3"/>
  </w:num>
  <w:num w:numId="32" w16cid:durableId="1085691714">
    <w:abstractNumId w:val="3"/>
  </w:num>
  <w:num w:numId="33" w16cid:durableId="1199511600">
    <w:abstractNumId w:val="14"/>
  </w:num>
  <w:num w:numId="34" w16cid:durableId="2021081158">
    <w:abstractNumId w:val="26"/>
  </w:num>
  <w:num w:numId="35" w16cid:durableId="3296045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40854"/>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326A"/>
    <w:rsid w:val="00125BAC"/>
    <w:rsid w:val="00132A7F"/>
    <w:rsid w:val="00133525"/>
    <w:rsid w:val="0014035F"/>
    <w:rsid w:val="00140EEA"/>
    <w:rsid w:val="00156DCB"/>
    <w:rsid w:val="0015779C"/>
    <w:rsid w:val="00157E6A"/>
    <w:rsid w:val="00164120"/>
    <w:rsid w:val="0019035B"/>
    <w:rsid w:val="00196538"/>
    <w:rsid w:val="001A4C42"/>
    <w:rsid w:val="001A5922"/>
    <w:rsid w:val="001B0CF2"/>
    <w:rsid w:val="001B5F1B"/>
    <w:rsid w:val="001C21C3"/>
    <w:rsid w:val="001D02C2"/>
    <w:rsid w:val="001F0C1D"/>
    <w:rsid w:val="001F0FB3"/>
    <w:rsid w:val="001F1132"/>
    <w:rsid w:val="001F168B"/>
    <w:rsid w:val="001F2E85"/>
    <w:rsid w:val="0020714B"/>
    <w:rsid w:val="00211CB2"/>
    <w:rsid w:val="00224712"/>
    <w:rsid w:val="0022544C"/>
    <w:rsid w:val="00232BCD"/>
    <w:rsid w:val="002347A2"/>
    <w:rsid w:val="0024331B"/>
    <w:rsid w:val="002434EC"/>
    <w:rsid w:val="0024391A"/>
    <w:rsid w:val="00247926"/>
    <w:rsid w:val="002534CE"/>
    <w:rsid w:val="00257499"/>
    <w:rsid w:val="002675F0"/>
    <w:rsid w:val="00276EE4"/>
    <w:rsid w:val="0028318B"/>
    <w:rsid w:val="002906D1"/>
    <w:rsid w:val="00291348"/>
    <w:rsid w:val="002928E7"/>
    <w:rsid w:val="002A0AFF"/>
    <w:rsid w:val="002A4FD7"/>
    <w:rsid w:val="002B6339"/>
    <w:rsid w:val="002E00EE"/>
    <w:rsid w:val="002F35BC"/>
    <w:rsid w:val="00314613"/>
    <w:rsid w:val="003172DC"/>
    <w:rsid w:val="003226C1"/>
    <w:rsid w:val="00322BC6"/>
    <w:rsid w:val="00325F2B"/>
    <w:rsid w:val="0034036E"/>
    <w:rsid w:val="0035462D"/>
    <w:rsid w:val="003607D9"/>
    <w:rsid w:val="00360FE4"/>
    <w:rsid w:val="00363271"/>
    <w:rsid w:val="00375BF5"/>
    <w:rsid w:val="003765B8"/>
    <w:rsid w:val="0037661B"/>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36147"/>
    <w:rsid w:val="00457F7D"/>
    <w:rsid w:val="00460485"/>
    <w:rsid w:val="00475989"/>
    <w:rsid w:val="004826A9"/>
    <w:rsid w:val="00483EAA"/>
    <w:rsid w:val="004A03C3"/>
    <w:rsid w:val="004B277B"/>
    <w:rsid w:val="004B6272"/>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B761E"/>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D762F"/>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ACB"/>
    <w:rsid w:val="00782C02"/>
    <w:rsid w:val="007835BC"/>
    <w:rsid w:val="00793992"/>
    <w:rsid w:val="007A4A23"/>
    <w:rsid w:val="007B2019"/>
    <w:rsid w:val="007B2679"/>
    <w:rsid w:val="007B5C8F"/>
    <w:rsid w:val="007B600E"/>
    <w:rsid w:val="007C3252"/>
    <w:rsid w:val="007C4E1F"/>
    <w:rsid w:val="007C6E5A"/>
    <w:rsid w:val="007C758D"/>
    <w:rsid w:val="007D0A35"/>
    <w:rsid w:val="007D6B56"/>
    <w:rsid w:val="007E29E4"/>
    <w:rsid w:val="007E52EC"/>
    <w:rsid w:val="007E56A9"/>
    <w:rsid w:val="007F0F4A"/>
    <w:rsid w:val="007F3FCD"/>
    <w:rsid w:val="008028A4"/>
    <w:rsid w:val="00817EAE"/>
    <w:rsid w:val="00820B25"/>
    <w:rsid w:val="0082214F"/>
    <w:rsid w:val="00822E27"/>
    <w:rsid w:val="00830747"/>
    <w:rsid w:val="00840D38"/>
    <w:rsid w:val="00847A61"/>
    <w:rsid w:val="00851990"/>
    <w:rsid w:val="008731F8"/>
    <w:rsid w:val="008768CA"/>
    <w:rsid w:val="00876A44"/>
    <w:rsid w:val="00886330"/>
    <w:rsid w:val="00896D88"/>
    <w:rsid w:val="008A2FB4"/>
    <w:rsid w:val="008A3891"/>
    <w:rsid w:val="008B4E0E"/>
    <w:rsid w:val="008C384C"/>
    <w:rsid w:val="008D3CDD"/>
    <w:rsid w:val="008D67A1"/>
    <w:rsid w:val="008E7986"/>
    <w:rsid w:val="0090167F"/>
    <w:rsid w:val="0090271F"/>
    <w:rsid w:val="00902E23"/>
    <w:rsid w:val="00910315"/>
    <w:rsid w:val="009114D7"/>
    <w:rsid w:val="0091348E"/>
    <w:rsid w:val="00917CCB"/>
    <w:rsid w:val="00925F1A"/>
    <w:rsid w:val="0094218B"/>
    <w:rsid w:val="00942EC2"/>
    <w:rsid w:val="00975EE4"/>
    <w:rsid w:val="00985AC6"/>
    <w:rsid w:val="009977B4"/>
    <w:rsid w:val="00997A64"/>
    <w:rsid w:val="009A4A3B"/>
    <w:rsid w:val="009A5F2F"/>
    <w:rsid w:val="009C04B4"/>
    <w:rsid w:val="009E1E07"/>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54C60"/>
    <w:rsid w:val="00A61992"/>
    <w:rsid w:val="00A64EC2"/>
    <w:rsid w:val="00A73129"/>
    <w:rsid w:val="00A82346"/>
    <w:rsid w:val="00A8615F"/>
    <w:rsid w:val="00A92776"/>
    <w:rsid w:val="00A92BA1"/>
    <w:rsid w:val="00AB1BA0"/>
    <w:rsid w:val="00AB53F9"/>
    <w:rsid w:val="00AC6334"/>
    <w:rsid w:val="00AC6BC6"/>
    <w:rsid w:val="00AD0100"/>
    <w:rsid w:val="00AD1114"/>
    <w:rsid w:val="00AE3797"/>
    <w:rsid w:val="00AF2674"/>
    <w:rsid w:val="00AF4320"/>
    <w:rsid w:val="00AF628D"/>
    <w:rsid w:val="00B00E0F"/>
    <w:rsid w:val="00B03815"/>
    <w:rsid w:val="00B054BA"/>
    <w:rsid w:val="00B06C87"/>
    <w:rsid w:val="00B15449"/>
    <w:rsid w:val="00B254AA"/>
    <w:rsid w:val="00B26396"/>
    <w:rsid w:val="00B32A91"/>
    <w:rsid w:val="00B75855"/>
    <w:rsid w:val="00B85846"/>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3282"/>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5DE9"/>
    <w:rsid w:val="00CC75E2"/>
    <w:rsid w:val="00CD053D"/>
    <w:rsid w:val="00CD2010"/>
    <w:rsid w:val="00CE1675"/>
    <w:rsid w:val="00CE3070"/>
    <w:rsid w:val="00CE3D5E"/>
    <w:rsid w:val="00CF20E3"/>
    <w:rsid w:val="00CF7EA0"/>
    <w:rsid w:val="00D00D4A"/>
    <w:rsid w:val="00D160E2"/>
    <w:rsid w:val="00D171FF"/>
    <w:rsid w:val="00D220B3"/>
    <w:rsid w:val="00D22906"/>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08A6"/>
    <w:rsid w:val="00DA7A03"/>
    <w:rsid w:val="00DB1818"/>
    <w:rsid w:val="00DB2F35"/>
    <w:rsid w:val="00DC309B"/>
    <w:rsid w:val="00DC450C"/>
    <w:rsid w:val="00DC4DA2"/>
    <w:rsid w:val="00DD4C17"/>
    <w:rsid w:val="00DE56DD"/>
    <w:rsid w:val="00DF2B1F"/>
    <w:rsid w:val="00DF6189"/>
    <w:rsid w:val="00DF62CD"/>
    <w:rsid w:val="00E01FBD"/>
    <w:rsid w:val="00E05755"/>
    <w:rsid w:val="00E07495"/>
    <w:rsid w:val="00E16509"/>
    <w:rsid w:val="00E27B53"/>
    <w:rsid w:val="00E27FC8"/>
    <w:rsid w:val="00E44582"/>
    <w:rsid w:val="00E46D2A"/>
    <w:rsid w:val="00E52814"/>
    <w:rsid w:val="00E67841"/>
    <w:rsid w:val="00E72324"/>
    <w:rsid w:val="00E72ABE"/>
    <w:rsid w:val="00E77645"/>
    <w:rsid w:val="00EC4A25"/>
    <w:rsid w:val="00ED0C20"/>
    <w:rsid w:val="00ED3EEC"/>
    <w:rsid w:val="00EE5AA7"/>
    <w:rsid w:val="00EF6121"/>
    <w:rsid w:val="00F002D4"/>
    <w:rsid w:val="00F025A2"/>
    <w:rsid w:val="00F04712"/>
    <w:rsid w:val="00F062E2"/>
    <w:rsid w:val="00F16034"/>
    <w:rsid w:val="00F21311"/>
    <w:rsid w:val="00F22EC7"/>
    <w:rsid w:val="00F325C8"/>
    <w:rsid w:val="00F45941"/>
    <w:rsid w:val="00F45E5F"/>
    <w:rsid w:val="00F57E6F"/>
    <w:rsid w:val="00F620A8"/>
    <w:rsid w:val="00F62330"/>
    <w:rsid w:val="00F62AEB"/>
    <w:rsid w:val="00F653B8"/>
    <w:rsid w:val="00F70647"/>
    <w:rsid w:val="00F7390F"/>
    <w:rsid w:val="00F74B70"/>
    <w:rsid w:val="00F811C3"/>
    <w:rsid w:val="00F97672"/>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4</cp:revision>
  <cp:lastPrinted>2019-02-25T04:05:00Z</cp:lastPrinted>
  <dcterms:created xsi:type="dcterms:W3CDTF">2025-02-19T08:09:00Z</dcterms:created>
  <dcterms:modified xsi:type="dcterms:W3CDTF">2025-02-19T11:16:00Z</dcterms:modified>
  <cp:category/>
</cp:coreProperties>
</file>