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1837D70F"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CA1882">
        <w:rPr>
          <w:rFonts w:eastAsia="Malgun Gothic"/>
          <w:b/>
          <w:bCs/>
          <w:sz w:val="28"/>
        </w:rPr>
        <w:t xml:space="preserve">2 5G-NR </w:t>
      </w:r>
      <w:proofErr w:type="spellStart"/>
      <w:r w:rsidR="00CA1882">
        <w:rPr>
          <w:rFonts w:eastAsia="Malgun Gothic"/>
          <w:b/>
          <w:bCs/>
          <w:sz w:val="28"/>
        </w:rPr>
        <w:t>Adhoc</w:t>
      </w:r>
      <w:proofErr w:type="spellEnd"/>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-1</w:t>
      </w:r>
      <w:r w:rsidR="00CA1882">
        <w:rPr>
          <w:rFonts w:eastAsia="Malgun Gothic"/>
          <w:b/>
          <w:bCs/>
          <w:sz w:val="28"/>
        </w:rPr>
        <w:t>8</w:t>
      </w:r>
      <w:r w:rsidR="00FC22F5" w:rsidRPr="00FC22F5">
        <w:rPr>
          <w:rFonts w:eastAsia="Malgun Gothic"/>
          <w:b/>
          <w:bCs/>
          <w:sz w:val="28"/>
        </w:rPr>
        <w:t>1779</w:t>
      </w:r>
    </w:p>
    <w:p w14:paraId="5D4A4941" w14:textId="2774EAE5" w:rsidR="009347AA" w:rsidRPr="00457548" w:rsidRDefault="002056E2" w:rsidP="009347AA">
      <w:pPr>
        <w:pBdr>
          <w:bottom w:val="single" w:sz="6" w:space="1" w:color="auto"/>
        </w:pBdr>
        <w:tabs>
          <w:tab w:val="center" w:pos="4153"/>
          <w:tab w:val="right" w:pos="8306"/>
          <w:tab w:val="right" w:pos="9356"/>
        </w:tabs>
        <w:spacing w:after="120" w:line="240" w:lineRule="auto"/>
        <w:rPr>
          <w:rFonts w:eastAsia="Malgun Gothic"/>
          <w:b/>
          <w:bCs/>
          <w:sz w:val="28"/>
          <w:lang w:val="de-DE" w:eastAsia="ko-KR"/>
        </w:rPr>
      </w:pPr>
      <w:r w:rsidRPr="00457548">
        <w:rPr>
          <w:rFonts w:eastAsia="Malgun Gothic"/>
          <w:b/>
          <w:bCs/>
          <w:sz w:val="28"/>
          <w:lang w:val="de-DE" w:eastAsia="ko-KR"/>
        </w:rPr>
        <w:t>Taipei</w:t>
      </w:r>
      <w:r w:rsidR="009347AA" w:rsidRPr="00457548">
        <w:rPr>
          <w:rFonts w:eastAsia="Malgun Gothic"/>
          <w:b/>
          <w:bCs/>
          <w:sz w:val="28"/>
          <w:lang w:val="de-DE" w:eastAsia="ko-KR"/>
        </w:rPr>
        <w:t xml:space="preserve">, </w:t>
      </w:r>
      <w:r w:rsidRPr="00457548">
        <w:rPr>
          <w:rFonts w:eastAsia="Malgun Gothic"/>
          <w:b/>
          <w:bCs/>
          <w:sz w:val="28"/>
          <w:lang w:val="de-DE" w:eastAsia="ko-KR"/>
        </w:rPr>
        <w:t>Taiwan</w:t>
      </w:r>
      <w:r w:rsidR="009347AA" w:rsidRPr="00457548">
        <w:rPr>
          <w:rFonts w:eastAsia="Malgun Gothic"/>
          <w:b/>
          <w:bCs/>
          <w:sz w:val="28"/>
          <w:lang w:val="de-DE" w:eastAsia="ko-KR"/>
        </w:rPr>
        <w:t xml:space="preserve">, </w:t>
      </w:r>
      <w:r w:rsidRPr="00457548">
        <w:rPr>
          <w:rFonts w:eastAsia="Malgun Gothic"/>
          <w:b/>
          <w:bCs/>
          <w:sz w:val="28"/>
          <w:lang w:val="de-DE" w:eastAsia="ko-KR"/>
        </w:rPr>
        <w:t>9</w:t>
      </w:r>
      <w:r w:rsidR="009347AA" w:rsidRPr="00457548">
        <w:rPr>
          <w:rFonts w:eastAsia="Malgun Gothic"/>
          <w:b/>
          <w:bCs/>
          <w:sz w:val="28"/>
          <w:lang w:val="de-DE" w:eastAsia="ko-KR"/>
        </w:rPr>
        <w:t xml:space="preserve"> - 1</w:t>
      </w:r>
      <w:r w:rsidRPr="00457548">
        <w:rPr>
          <w:rFonts w:eastAsia="Malgun Gothic"/>
          <w:b/>
          <w:bCs/>
          <w:sz w:val="28"/>
          <w:lang w:val="de-DE" w:eastAsia="ko-KR"/>
        </w:rPr>
        <w:t>3</w:t>
      </w:r>
      <w:r w:rsidR="009347AA" w:rsidRPr="00457548">
        <w:rPr>
          <w:rFonts w:eastAsia="Malgun Gothic"/>
          <w:b/>
          <w:bCs/>
          <w:sz w:val="28"/>
          <w:lang w:val="de-DE" w:eastAsia="ko-KR"/>
        </w:rPr>
        <w:t xml:space="preserve"> </w:t>
      </w:r>
      <w:r w:rsidRPr="00457548">
        <w:rPr>
          <w:rFonts w:eastAsia="Malgun Gothic"/>
          <w:b/>
          <w:bCs/>
          <w:sz w:val="28"/>
          <w:lang w:val="de-DE" w:eastAsia="ko-KR"/>
        </w:rPr>
        <w:t>April</w:t>
      </w:r>
      <w:r w:rsidR="009347AA" w:rsidRPr="00457548">
        <w:rPr>
          <w:rFonts w:eastAsia="Malgun Gothic"/>
          <w:b/>
          <w:bCs/>
          <w:sz w:val="28"/>
          <w:lang w:val="de-DE" w:eastAsia="ko-KR"/>
        </w:rPr>
        <w:t xml:space="preserve"> 201</w:t>
      </w:r>
      <w:r w:rsidRPr="00457548">
        <w:rPr>
          <w:rFonts w:eastAsia="Malgun Gothic"/>
          <w:b/>
          <w:bCs/>
          <w:sz w:val="28"/>
          <w:lang w:val="de-DE" w:eastAsia="ko-KR"/>
        </w:rPr>
        <w:t>8</w:t>
      </w:r>
    </w:p>
    <w:p w14:paraId="3D0349AA" w14:textId="77777777" w:rsidR="00B81FC7" w:rsidRPr="00457548" w:rsidRDefault="00B81FC7" w:rsidP="00B81FC7">
      <w:pPr>
        <w:rPr>
          <w:bCs/>
          <w:lang w:val="de-DE"/>
        </w:rPr>
      </w:pPr>
      <w:r w:rsidRPr="00457548">
        <w:rPr>
          <w:b/>
          <w:lang w:val="de-DE"/>
        </w:rPr>
        <w:t>Source:</w:t>
      </w:r>
      <w:r w:rsidRPr="00457548">
        <w:rPr>
          <w:b/>
          <w:lang w:val="de-DE"/>
        </w:rPr>
        <w:tab/>
      </w:r>
      <w:r w:rsidR="00CC6B35" w:rsidRPr="00457548">
        <w:rPr>
          <w:b/>
          <w:lang w:val="de-DE"/>
        </w:rPr>
        <w:tab/>
      </w:r>
      <w:r w:rsidR="0038590F" w:rsidRPr="00457548">
        <w:rPr>
          <w:lang w:val="de-DE"/>
        </w:rPr>
        <w:t>Rohde &amp; Schwarz</w:t>
      </w:r>
    </w:p>
    <w:p w14:paraId="422DE63C" w14:textId="1C22BCBF" w:rsidR="00B81FC7" w:rsidRPr="00936FA1" w:rsidRDefault="00B81FC7" w:rsidP="008159B1">
      <w:pPr>
        <w:ind w:left="2160" w:hanging="2160"/>
        <w:rPr>
          <w:b/>
          <w:lang w:val="en-GB"/>
        </w:rPr>
      </w:pPr>
      <w:r w:rsidRPr="00936FA1">
        <w:rPr>
          <w:b/>
          <w:lang w:val="en-GB"/>
        </w:rPr>
        <w:t>Title:</w:t>
      </w:r>
      <w:r w:rsidRPr="00936FA1">
        <w:rPr>
          <w:b/>
          <w:lang w:val="en-GB"/>
        </w:rPr>
        <w:tab/>
      </w:r>
      <w:r w:rsidR="00E76C93" w:rsidRPr="00DA2156">
        <w:rPr>
          <w:lang w:val="en-GB"/>
        </w:rPr>
        <w:t xml:space="preserve">On the </w:t>
      </w:r>
      <w:r w:rsidR="00457548">
        <w:rPr>
          <w:lang w:val="en-GB"/>
        </w:rPr>
        <w:t>RRM Baseline Test Setup</w:t>
      </w:r>
      <w:r w:rsidR="00E76C93" w:rsidRPr="00DA2156">
        <w:rPr>
          <w:lang w:val="en-GB"/>
        </w:rPr>
        <w:t xml:space="preserve"> for FR2</w:t>
      </w:r>
    </w:p>
    <w:p w14:paraId="75E65FB7" w14:textId="0A288702"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FC22F5">
        <w:rPr>
          <w:lang w:val="en-GB"/>
        </w:rPr>
        <w:t>4.1.16</w:t>
      </w:r>
    </w:p>
    <w:p w14:paraId="21F2DA1B" w14:textId="6F250A27" w:rsidR="00B81FC7" w:rsidRPr="00936FA1" w:rsidRDefault="00B81FC7" w:rsidP="00B81FC7">
      <w:pPr>
        <w:rPr>
          <w:sz w:val="18"/>
          <w:szCs w:val="18"/>
          <w:lang w:val="en-GB"/>
        </w:rPr>
      </w:pPr>
      <w:r w:rsidRPr="00936FA1">
        <w:rPr>
          <w:b/>
          <w:lang w:val="en-GB"/>
        </w:rPr>
        <w:t>Document for:</w:t>
      </w:r>
      <w:r w:rsidRPr="00936FA1">
        <w:rPr>
          <w:lang w:val="en-GB"/>
        </w:rPr>
        <w:tab/>
      </w:r>
      <w:r w:rsidR="000F5E0E">
        <w:rPr>
          <w:lang w:val="en-GB"/>
        </w:rPr>
        <w:t>Endorsement</w:t>
      </w:r>
    </w:p>
    <w:p w14:paraId="7CA60390" w14:textId="77777777" w:rsidR="00B81FC7" w:rsidRPr="00936FA1" w:rsidRDefault="00B81FC7" w:rsidP="00B81FC7">
      <w:pPr>
        <w:pStyle w:val="Heading1"/>
        <w:rPr>
          <w:rFonts w:cs="Arial"/>
        </w:rPr>
      </w:pPr>
      <w:r w:rsidRPr="00936FA1">
        <w:rPr>
          <w:rFonts w:cs="Arial"/>
        </w:rPr>
        <w:t>Introduction</w:t>
      </w:r>
    </w:p>
    <w:p w14:paraId="2A5F34AD" w14:textId="77777777" w:rsidR="006133C6" w:rsidRDefault="00E76C93" w:rsidP="00B103EB">
      <w:pPr>
        <w:rPr>
          <w:lang w:val="en-GB"/>
        </w:rPr>
      </w:pPr>
      <w:bookmarkStart w:id="0" w:name="OLE_LINK10"/>
      <w:bookmarkStart w:id="1" w:name="OLE_LINK11"/>
      <w:r>
        <w:rPr>
          <w:lang w:val="en-GB"/>
        </w:rPr>
        <w:t xml:space="preserve">In </w:t>
      </w:r>
      <w:r w:rsidR="006133C6">
        <w:rPr>
          <w:lang w:val="en-GB"/>
        </w:rPr>
        <w:t>the last version of TR 38.810, presented to RAN_79 plenary in [1], the RRM baseline setup is defined as follows:</w:t>
      </w:r>
    </w:p>
    <w:p w14:paraId="7109FD91" w14:textId="77777777" w:rsidR="006133C6" w:rsidRPr="006133C6" w:rsidRDefault="006133C6" w:rsidP="006133C6">
      <w:pPr>
        <w:pStyle w:val="Heading3"/>
        <w:numPr>
          <w:ilvl w:val="0"/>
          <w:numId w:val="0"/>
        </w:numPr>
        <w:rPr>
          <w:highlight w:val="lightGray"/>
        </w:rPr>
      </w:pPr>
      <w:bookmarkStart w:id="2" w:name="_Toc508617250"/>
      <w:r w:rsidRPr="006133C6">
        <w:rPr>
          <w:highlight w:val="lightGray"/>
        </w:rPr>
        <w:t>6.2.1</w:t>
      </w:r>
      <w:r w:rsidRPr="006133C6">
        <w:rPr>
          <w:highlight w:val="lightGray"/>
        </w:rPr>
        <w:tab/>
        <w:t>Baseline setup</w:t>
      </w:r>
      <w:bookmarkEnd w:id="2"/>
    </w:p>
    <w:p w14:paraId="27519FAF" w14:textId="77777777" w:rsidR="006133C6" w:rsidRPr="006133C6" w:rsidRDefault="006133C6" w:rsidP="006133C6">
      <w:pPr>
        <w:pStyle w:val="Heading4"/>
        <w:rPr>
          <w:highlight w:val="lightGray"/>
        </w:rPr>
      </w:pPr>
      <w:bookmarkStart w:id="3" w:name="_Toc508617251"/>
      <w:r w:rsidRPr="006133C6">
        <w:rPr>
          <w:highlight w:val="lightGray"/>
        </w:rPr>
        <w:t>6.2.1.1</w:t>
      </w:r>
      <w:r w:rsidRPr="006133C6">
        <w:rPr>
          <w:highlight w:val="lightGray"/>
        </w:rPr>
        <w:tab/>
        <w:t>Description</w:t>
      </w:r>
      <w:bookmarkEnd w:id="3"/>
    </w:p>
    <w:p w14:paraId="0167C7BB" w14:textId="77777777" w:rsidR="006133C6" w:rsidRPr="006133C6" w:rsidRDefault="006133C6" w:rsidP="006133C6">
      <w:pPr>
        <w:rPr>
          <w:highlight w:val="lightGray"/>
          <w:lang w:eastAsia="ja-JP"/>
        </w:rPr>
      </w:pPr>
      <w:r w:rsidRPr="006133C6">
        <w:rPr>
          <w:highlight w:val="lightGray"/>
          <w:lang w:eastAsia="ja-JP"/>
        </w:rPr>
        <w:t xml:space="preserve">The baseline measurement setup of RRM characteristics for f &gt; 6 GHz is capable of establishing an OTA link between the DUT and a number of emulated </w:t>
      </w:r>
      <w:proofErr w:type="spellStart"/>
      <w:r w:rsidRPr="006133C6">
        <w:rPr>
          <w:highlight w:val="lightGray"/>
          <w:lang w:eastAsia="ja-JP"/>
        </w:rPr>
        <w:t>gNB</w:t>
      </w:r>
      <w:proofErr w:type="spellEnd"/>
      <w:r w:rsidRPr="006133C6">
        <w:rPr>
          <w:highlight w:val="lightGray"/>
          <w:lang w:eastAsia="ja-JP"/>
        </w:rPr>
        <w:t xml:space="preserve"> sources and is shown in Figure 6.2.1.1-1 below.</w:t>
      </w:r>
    </w:p>
    <w:p w14:paraId="05660B88" w14:textId="3D82D3E0" w:rsidR="006133C6" w:rsidRPr="006133C6" w:rsidRDefault="006133C6" w:rsidP="006133C6">
      <w:pPr>
        <w:pStyle w:val="TH"/>
        <w:rPr>
          <w:highlight w:val="lightGray"/>
        </w:rPr>
      </w:pPr>
      <w:r w:rsidRPr="006133C6">
        <w:rPr>
          <w:noProof/>
          <w:highlight w:val="lightGray"/>
          <w:lang w:val="en-US" w:eastAsia="en-US"/>
        </w:rPr>
        <w:drawing>
          <wp:inline distT="0" distB="0" distL="0" distR="0" wp14:anchorId="7FFB9181" wp14:editId="6CC78694">
            <wp:extent cx="3657600" cy="1924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0" cy="1924050"/>
                    </a:xfrm>
                    <a:prstGeom prst="rect">
                      <a:avLst/>
                    </a:prstGeom>
                    <a:noFill/>
                    <a:ln>
                      <a:noFill/>
                    </a:ln>
                  </pic:spPr>
                </pic:pic>
              </a:graphicData>
            </a:graphic>
          </wp:inline>
        </w:drawing>
      </w:r>
    </w:p>
    <w:p w14:paraId="36D51588" w14:textId="77777777" w:rsidR="006133C6" w:rsidRPr="006133C6" w:rsidRDefault="006133C6" w:rsidP="006133C6">
      <w:pPr>
        <w:pStyle w:val="TH"/>
        <w:rPr>
          <w:highlight w:val="lightGray"/>
          <w:lang w:eastAsia="ja-JP"/>
        </w:rPr>
      </w:pPr>
      <w:r w:rsidRPr="006133C6">
        <w:rPr>
          <w:highlight w:val="lightGray"/>
        </w:rPr>
        <w:t>Figure 6.2.1.1-1: Baseline measurement setup of RRM characteristics</w:t>
      </w:r>
    </w:p>
    <w:p w14:paraId="27A7DF6D" w14:textId="77777777" w:rsidR="006133C6" w:rsidRPr="006133C6" w:rsidRDefault="006133C6" w:rsidP="006133C6">
      <w:pPr>
        <w:rPr>
          <w:highlight w:val="lightGray"/>
        </w:rPr>
      </w:pPr>
      <w:r w:rsidRPr="006133C6">
        <w:rPr>
          <w:highlight w:val="lightGray"/>
        </w:rPr>
        <w:t>The RRM baseline measurement setup shall fulfill the following capabilities:</w:t>
      </w:r>
    </w:p>
    <w:p w14:paraId="6E332B17" w14:textId="77777777" w:rsidR="006133C6" w:rsidRPr="006133C6" w:rsidRDefault="006133C6" w:rsidP="006133C6">
      <w:pPr>
        <w:pStyle w:val="B1"/>
        <w:rPr>
          <w:highlight w:val="lightGray"/>
        </w:rPr>
      </w:pPr>
      <w:proofErr w:type="spellStart"/>
      <w:r w:rsidRPr="006133C6">
        <w:rPr>
          <w:highlight w:val="lightGray"/>
        </w:rPr>
        <w:t>TRxPs</w:t>
      </w:r>
      <w:proofErr w:type="spellEnd"/>
      <w:r w:rsidRPr="006133C6">
        <w:rPr>
          <w:highlight w:val="lightGray"/>
        </w:rPr>
        <w:t xml:space="preserve"> and Cells:</w:t>
      </w:r>
    </w:p>
    <w:p w14:paraId="3C091109" w14:textId="77777777" w:rsidR="006133C6" w:rsidRPr="006133C6" w:rsidRDefault="006133C6" w:rsidP="006133C6">
      <w:pPr>
        <w:pStyle w:val="B2"/>
        <w:rPr>
          <w:highlight w:val="lightGray"/>
        </w:rPr>
      </w:pPr>
      <w:r w:rsidRPr="006133C6">
        <w:rPr>
          <w:highlight w:val="lightGray"/>
        </w:rPr>
        <w:t>-</w:t>
      </w:r>
      <w:r w:rsidRPr="006133C6">
        <w:rPr>
          <w:highlight w:val="lightGray"/>
        </w:rPr>
        <w:tab/>
      </w:r>
      <w:r w:rsidRPr="006133C6">
        <w:rPr>
          <w:highlight w:val="yellow"/>
        </w:rPr>
        <w:t xml:space="preserve">Up to 2 NR transmission reception points </w:t>
      </w:r>
      <w:proofErr w:type="spellStart"/>
      <w:r w:rsidRPr="006133C6">
        <w:rPr>
          <w:highlight w:val="yellow"/>
        </w:rPr>
        <w:t>TRxPs</w:t>
      </w:r>
      <w:proofErr w:type="spellEnd"/>
      <w:r w:rsidRPr="006133C6">
        <w:rPr>
          <w:highlight w:val="lightGray"/>
        </w:rPr>
        <w:t xml:space="preserve"> are emulated.</w:t>
      </w:r>
    </w:p>
    <w:p w14:paraId="42DF4D87" w14:textId="77777777" w:rsidR="006133C6" w:rsidRPr="006133C6" w:rsidRDefault="006133C6" w:rsidP="006133C6">
      <w:pPr>
        <w:pStyle w:val="B2"/>
        <w:rPr>
          <w:rFonts w:eastAsia="Batang"/>
          <w:highlight w:val="lightGray"/>
        </w:rPr>
      </w:pPr>
      <w:r w:rsidRPr="006133C6">
        <w:rPr>
          <w:highlight w:val="lightGray"/>
        </w:rPr>
        <w:t xml:space="preserve">- </w:t>
      </w:r>
      <w:r w:rsidRPr="006133C6">
        <w:rPr>
          <w:highlight w:val="lightGray"/>
        </w:rPr>
        <w:tab/>
      </w:r>
      <w:r w:rsidRPr="006133C6">
        <w:rPr>
          <w:rFonts w:eastAsia="Batang"/>
          <w:highlight w:val="lightGray"/>
        </w:rPr>
        <w:t>For non-standalone (NSA) NR devices, the test setup shall emulate in addition 1 LTE cell. The emulated LTE cell provides a stable LTE signal without precise propagation modelling or path loss control between it and the DUT.</w:t>
      </w:r>
    </w:p>
    <w:p w14:paraId="0BAE03EC" w14:textId="77777777" w:rsidR="006133C6" w:rsidRPr="006133C6" w:rsidRDefault="006133C6" w:rsidP="006133C6">
      <w:pPr>
        <w:pStyle w:val="B1"/>
        <w:rPr>
          <w:highlight w:val="lightGray"/>
          <w:lang w:val="en-US"/>
        </w:rPr>
      </w:pPr>
      <w:r w:rsidRPr="006133C6">
        <w:rPr>
          <w:highlight w:val="lightGray"/>
          <w:lang w:val="en-US"/>
        </w:rPr>
        <w:t xml:space="preserve">Antennas, polarization, simultaneously active </w:t>
      </w:r>
      <w:proofErr w:type="spellStart"/>
      <w:r w:rsidRPr="006133C6">
        <w:rPr>
          <w:highlight w:val="lightGray"/>
          <w:lang w:val="en-US"/>
        </w:rPr>
        <w:t>AoAs</w:t>
      </w:r>
      <w:proofErr w:type="spellEnd"/>
      <w:r w:rsidRPr="006133C6">
        <w:rPr>
          <w:highlight w:val="lightGray"/>
          <w:lang w:val="en-US"/>
        </w:rPr>
        <w:t>:</w:t>
      </w:r>
    </w:p>
    <w:p w14:paraId="2DD919FA" w14:textId="77777777" w:rsidR="006133C6" w:rsidRPr="006133C6" w:rsidRDefault="006133C6" w:rsidP="006133C6">
      <w:pPr>
        <w:pStyle w:val="B2"/>
        <w:rPr>
          <w:highlight w:val="lightGray"/>
          <w:lang w:val="en-US"/>
        </w:rPr>
      </w:pPr>
      <w:r w:rsidRPr="006133C6">
        <w:rPr>
          <w:highlight w:val="lightGray"/>
          <w:lang w:val="en-US"/>
        </w:rPr>
        <w:t xml:space="preserve">- </w:t>
      </w:r>
      <w:r w:rsidRPr="006133C6">
        <w:rPr>
          <w:highlight w:val="lightGray"/>
          <w:lang w:val="en-US"/>
        </w:rPr>
        <w:tab/>
        <w:t xml:space="preserve">N dual-polarized antennas transmitting the signals from the emulated </w:t>
      </w:r>
      <w:proofErr w:type="spellStart"/>
      <w:r w:rsidRPr="006133C6">
        <w:rPr>
          <w:highlight w:val="lightGray"/>
          <w:lang w:val="en-US"/>
        </w:rPr>
        <w:t>gNB</w:t>
      </w:r>
      <w:proofErr w:type="spellEnd"/>
      <w:r w:rsidRPr="006133C6">
        <w:rPr>
          <w:highlight w:val="lightGray"/>
          <w:lang w:val="en-US"/>
        </w:rPr>
        <w:t xml:space="preserve"> sources to the DUT.</w:t>
      </w:r>
    </w:p>
    <w:p w14:paraId="7CC649DC" w14:textId="77777777" w:rsidR="006133C6" w:rsidRPr="006133C6" w:rsidRDefault="006133C6" w:rsidP="006133C6">
      <w:pPr>
        <w:pStyle w:val="B2"/>
        <w:rPr>
          <w:highlight w:val="lightGray"/>
          <w:lang w:val="en-US"/>
        </w:rPr>
      </w:pPr>
      <w:r w:rsidRPr="006133C6">
        <w:rPr>
          <w:highlight w:val="lightGray"/>
          <w:lang w:val="en-US"/>
        </w:rPr>
        <w:lastRenderedPageBreak/>
        <w:t>-</w:t>
      </w:r>
      <w:r w:rsidRPr="006133C6">
        <w:rPr>
          <w:highlight w:val="lightGray"/>
          <w:lang w:val="en-US"/>
        </w:rPr>
        <w:tab/>
        <w:t>The antennas transmit into the test zone in such a way that signal polarization does not prevent the DUT receiving a consistent, predictable power level.</w:t>
      </w:r>
    </w:p>
    <w:p w14:paraId="5E0C660B" w14:textId="77777777" w:rsidR="006133C6" w:rsidRPr="006133C6" w:rsidRDefault="006133C6" w:rsidP="006133C6">
      <w:pPr>
        <w:pStyle w:val="B2"/>
        <w:rPr>
          <w:highlight w:val="lightGray"/>
        </w:rPr>
      </w:pPr>
      <w:r w:rsidRPr="006133C6">
        <w:rPr>
          <w:highlight w:val="lightGray"/>
        </w:rPr>
        <w:t xml:space="preserve">- </w:t>
      </w:r>
      <w:r w:rsidRPr="006133C6">
        <w:rPr>
          <w:highlight w:val="lightGray"/>
        </w:rPr>
        <w:tab/>
        <w:t xml:space="preserve">N ≥ </w:t>
      </w:r>
      <w:proofErr w:type="spellStart"/>
      <w:r w:rsidRPr="006133C6">
        <w:rPr>
          <w:highlight w:val="lightGray"/>
        </w:rPr>
        <w:t>N</w:t>
      </w:r>
      <w:r w:rsidRPr="006133C6">
        <w:rPr>
          <w:highlight w:val="lightGray"/>
          <w:vertAlign w:val="subscript"/>
        </w:rPr>
        <w:t>MAX_AoAs</w:t>
      </w:r>
      <w:proofErr w:type="spellEnd"/>
      <w:r w:rsidRPr="006133C6">
        <w:rPr>
          <w:highlight w:val="lightGray"/>
        </w:rPr>
        <w:t xml:space="preserve">, where </w:t>
      </w:r>
      <w:proofErr w:type="spellStart"/>
      <w:r w:rsidRPr="006133C6">
        <w:rPr>
          <w:highlight w:val="lightGray"/>
        </w:rPr>
        <w:t>N</w:t>
      </w:r>
      <w:r w:rsidRPr="006133C6">
        <w:rPr>
          <w:highlight w:val="lightGray"/>
          <w:vertAlign w:val="subscript"/>
        </w:rPr>
        <w:t>MAX_AoAs</w:t>
      </w:r>
      <w:proofErr w:type="spellEnd"/>
      <w:r w:rsidRPr="006133C6">
        <w:rPr>
          <w:highlight w:val="lightGray"/>
        </w:rPr>
        <w:t xml:space="preserve"> is the maximum number of simultaneously active (emulating signal) angles of arrival </w:t>
      </w:r>
      <w:proofErr w:type="spellStart"/>
      <w:r w:rsidRPr="006133C6">
        <w:rPr>
          <w:highlight w:val="lightGray"/>
        </w:rPr>
        <w:t>AoAs</w:t>
      </w:r>
      <w:proofErr w:type="spellEnd"/>
      <w:r w:rsidRPr="006133C6">
        <w:rPr>
          <w:highlight w:val="lightGray"/>
        </w:rPr>
        <w:t>.</w:t>
      </w:r>
    </w:p>
    <w:p w14:paraId="1CB3AE35" w14:textId="77777777" w:rsidR="006133C6" w:rsidRPr="006133C6" w:rsidRDefault="006133C6" w:rsidP="006133C6">
      <w:pPr>
        <w:pStyle w:val="B2"/>
        <w:rPr>
          <w:highlight w:val="lightGray"/>
        </w:rPr>
      </w:pPr>
      <w:r w:rsidRPr="006133C6">
        <w:rPr>
          <w:highlight w:val="lightGray"/>
        </w:rPr>
        <w:t>-</w:t>
      </w:r>
      <w:r w:rsidRPr="006133C6">
        <w:rPr>
          <w:highlight w:val="lightGray"/>
        </w:rPr>
        <w:tab/>
        <w:t xml:space="preserve">For the scope of Rel-15 testing, it is assumed that </w:t>
      </w:r>
      <w:proofErr w:type="spellStart"/>
      <w:r w:rsidRPr="006133C6">
        <w:rPr>
          <w:highlight w:val="yellow"/>
        </w:rPr>
        <w:t>N</w:t>
      </w:r>
      <w:r w:rsidRPr="006133C6">
        <w:rPr>
          <w:highlight w:val="yellow"/>
          <w:vertAlign w:val="subscript"/>
        </w:rPr>
        <w:t>MAX_AoAs</w:t>
      </w:r>
      <w:proofErr w:type="spellEnd"/>
      <w:r w:rsidRPr="006133C6">
        <w:rPr>
          <w:highlight w:val="yellow"/>
        </w:rPr>
        <w:t xml:space="preserve"> = [2]. </w:t>
      </w:r>
      <w:r w:rsidRPr="006133C6">
        <w:rPr>
          <w:highlight w:val="lightGray"/>
        </w:rPr>
        <w:t>The validity of this assumption depends on the definition of the test requirements.</w:t>
      </w:r>
    </w:p>
    <w:p w14:paraId="342EE48C" w14:textId="77777777" w:rsidR="006133C6" w:rsidRPr="006133C6" w:rsidRDefault="006133C6" w:rsidP="006133C6">
      <w:pPr>
        <w:pStyle w:val="B1"/>
        <w:rPr>
          <w:highlight w:val="lightGray"/>
        </w:rPr>
      </w:pPr>
      <w:r w:rsidRPr="006133C6">
        <w:rPr>
          <w:highlight w:val="lightGray"/>
        </w:rPr>
        <w:t>Angular Relationship:</w:t>
      </w:r>
    </w:p>
    <w:p w14:paraId="060298AB" w14:textId="77777777" w:rsidR="006133C6" w:rsidRPr="006133C6" w:rsidRDefault="006133C6" w:rsidP="006133C6">
      <w:pPr>
        <w:pStyle w:val="B2"/>
        <w:rPr>
          <w:highlight w:val="lightGray"/>
          <w:lang w:val="en-US"/>
        </w:rPr>
      </w:pPr>
      <w:r w:rsidRPr="006133C6">
        <w:rPr>
          <w:highlight w:val="lightGray"/>
        </w:rPr>
        <w:t xml:space="preserve">- </w:t>
      </w:r>
      <w:r w:rsidRPr="006133C6">
        <w:rPr>
          <w:highlight w:val="lightGray"/>
        </w:rPr>
        <w:tab/>
      </w:r>
      <w:r w:rsidRPr="006133C6">
        <w:rPr>
          <w:highlight w:val="yellow"/>
          <w:lang w:val="en-US"/>
        </w:rPr>
        <w:t>A positioning system such that an angular relationship with two axes of freedom is provided between the DUT and the test system antennas</w:t>
      </w:r>
      <w:r w:rsidRPr="006133C6">
        <w:rPr>
          <w:highlight w:val="lightGray"/>
          <w:lang w:val="en-US"/>
        </w:rPr>
        <w:t xml:space="preserve"> (or the setup should provide equivalent functionality).</w:t>
      </w:r>
    </w:p>
    <w:p w14:paraId="2CA78860" w14:textId="77777777" w:rsidR="006133C6" w:rsidRPr="006133C6" w:rsidRDefault="006133C6" w:rsidP="006133C6">
      <w:pPr>
        <w:pStyle w:val="B2"/>
        <w:rPr>
          <w:highlight w:val="lightGray"/>
          <w:lang w:val="en-US"/>
        </w:rPr>
      </w:pPr>
      <w:r w:rsidRPr="006133C6">
        <w:rPr>
          <w:highlight w:val="lightGray"/>
          <w:lang w:val="en-US"/>
        </w:rPr>
        <w:t>-</w:t>
      </w:r>
      <w:r w:rsidRPr="006133C6">
        <w:rPr>
          <w:highlight w:val="lightGray"/>
          <w:lang w:val="en-US"/>
        </w:rPr>
        <w:tab/>
      </w:r>
      <w:r w:rsidRPr="006133C6">
        <w:rPr>
          <w:highlight w:val="yellow"/>
        </w:rPr>
        <w:t xml:space="preserve">For </w:t>
      </w:r>
      <w:proofErr w:type="spellStart"/>
      <w:r w:rsidRPr="006133C6">
        <w:rPr>
          <w:highlight w:val="yellow"/>
        </w:rPr>
        <w:t>N</w:t>
      </w:r>
      <w:r w:rsidRPr="006133C6">
        <w:rPr>
          <w:highlight w:val="yellow"/>
          <w:vertAlign w:val="subscript"/>
        </w:rPr>
        <w:t>MAX_AoAs</w:t>
      </w:r>
      <w:proofErr w:type="spellEnd"/>
      <w:r w:rsidRPr="006133C6">
        <w:rPr>
          <w:highlight w:val="yellow"/>
        </w:rPr>
        <w:t xml:space="preserve"> = 2</w:t>
      </w:r>
      <w:r w:rsidRPr="006133C6">
        <w:rPr>
          <w:highlight w:val="lightGray"/>
        </w:rPr>
        <w:t xml:space="preserve"> the setup shall enable following relative angular relationships between the </w:t>
      </w:r>
      <w:proofErr w:type="spellStart"/>
      <w:r w:rsidRPr="006133C6">
        <w:rPr>
          <w:highlight w:val="lightGray"/>
        </w:rPr>
        <w:t>N</w:t>
      </w:r>
      <w:r w:rsidRPr="006133C6">
        <w:rPr>
          <w:highlight w:val="lightGray"/>
          <w:vertAlign w:val="subscript"/>
        </w:rPr>
        <w:t>MAX_AoAs</w:t>
      </w:r>
      <w:proofErr w:type="spellEnd"/>
      <w:r w:rsidRPr="006133C6">
        <w:rPr>
          <w:highlight w:val="lightGray"/>
        </w:rPr>
        <w:t xml:space="preserve"> simultaneously active </w:t>
      </w:r>
      <w:proofErr w:type="spellStart"/>
      <w:r w:rsidRPr="006133C6">
        <w:rPr>
          <w:highlight w:val="yellow"/>
        </w:rPr>
        <w:t>AoAs</w:t>
      </w:r>
      <w:proofErr w:type="spellEnd"/>
      <w:r w:rsidRPr="006133C6">
        <w:rPr>
          <w:highlight w:val="yellow"/>
        </w:rPr>
        <w:t>: 30°, 60°, 90°, 120°, 150° and 180°</w:t>
      </w:r>
      <w:r w:rsidRPr="006133C6">
        <w:rPr>
          <w:highlight w:val="lightGray"/>
        </w:rPr>
        <w:t xml:space="preserve">. In case of </w:t>
      </w:r>
      <w:proofErr w:type="spellStart"/>
      <w:r w:rsidRPr="006133C6">
        <w:rPr>
          <w:highlight w:val="lightGray"/>
        </w:rPr>
        <w:t>N</w:t>
      </w:r>
      <w:r w:rsidRPr="006133C6">
        <w:rPr>
          <w:highlight w:val="lightGray"/>
          <w:vertAlign w:val="subscript"/>
        </w:rPr>
        <w:t>MAX_AoAs</w:t>
      </w:r>
      <w:proofErr w:type="spellEnd"/>
      <w:r w:rsidRPr="006133C6">
        <w:rPr>
          <w:highlight w:val="lightGray"/>
        </w:rPr>
        <w:t xml:space="preserve"> &gt; 2, the angular relationship between </w:t>
      </w:r>
      <w:proofErr w:type="spellStart"/>
      <w:r w:rsidRPr="006133C6">
        <w:rPr>
          <w:highlight w:val="lightGray"/>
        </w:rPr>
        <w:t>N</w:t>
      </w:r>
      <w:r w:rsidRPr="006133C6">
        <w:rPr>
          <w:highlight w:val="lightGray"/>
          <w:vertAlign w:val="subscript"/>
        </w:rPr>
        <w:t>MAX_AoAs</w:t>
      </w:r>
      <w:proofErr w:type="spellEnd"/>
      <w:r w:rsidRPr="006133C6">
        <w:rPr>
          <w:highlight w:val="lightGray"/>
        </w:rPr>
        <w:t xml:space="preserve"> simultaneously active </w:t>
      </w:r>
      <w:proofErr w:type="spellStart"/>
      <w:r w:rsidRPr="006133C6">
        <w:rPr>
          <w:highlight w:val="lightGray"/>
        </w:rPr>
        <w:t>AoAs</w:t>
      </w:r>
      <w:proofErr w:type="spellEnd"/>
      <w:r w:rsidRPr="006133C6">
        <w:rPr>
          <w:highlight w:val="lightGray"/>
        </w:rPr>
        <w:t xml:space="preserve"> is FFS.</w:t>
      </w:r>
    </w:p>
    <w:p w14:paraId="3227A3D1" w14:textId="77777777" w:rsidR="006133C6" w:rsidRPr="006133C6" w:rsidRDefault="006133C6" w:rsidP="006133C6">
      <w:pPr>
        <w:pStyle w:val="B1"/>
        <w:rPr>
          <w:highlight w:val="lightGray"/>
          <w:lang w:val="en-US"/>
        </w:rPr>
      </w:pPr>
      <w:r w:rsidRPr="006133C6">
        <w:rPr>
          <w:highlight w:val="lightGray"/>
          <w:lang w:val="en-US"/>
        </w:rPr>
        <w:t xml:space="preserve">Multiple DL transmission antenna ports: </w:t>
      </w:r>
    </w:p>
    <w:p w14:paraId="35C453B5" w14:textId="77777777" w:rsidR="006133C6" w:rsidRPr="006133C6" w:rsidRDefault="006133C6" w:rsidP="006133C6">
      <w:pPr>
        <w:pStyle w:val="B2"/>
        <w:rPr>
          <w:highlight w:val="lightGray"/>
          <w:lang w:val="en-US"/>
        </w:rPr>
      </w:pPr>
      <w:r w:rsidRPr="006133C6">
        <w:rPr>
          <w:highlight w:val="lightGray"/>
        </w:rPr>
        <w:t xml:space="preserve">- </w:t>
      </w:r>
      <w:r w:rsidRPr="006133C6">
        <w:rPr>
          <w:highlight w:val="lightGray"/>
        </w:rPr>
        <w:tab/>
        <w:t xml:space="preserve">In case of multiple DL transmission antenna ports are required for RRM testing, the transmission scheme is </w:t>
      </w:r>
      <w:r w:rsidRPr="006133C6">
        <w:rPr>
          <w:highlight w:val="yellow"/>
        </w:rPr>
        <w:t>polarization diversity</w:t>
      </w:r>
      <w:r w:rsidRPr="006133C6">
        <w:rPr>
          <w:highlight w:val="lightGray"/>
        </w:rPr>
        <w:t>.</w:t>
      </w:r>
    </w:p>
    <w:p w14:paraId="47CC04DF" w14:textId="77777777" w:rsidR="006133C6" w:rsidRPr="006133C6" w:rsidRDefault="006133C6" w:rsidP="006133C6">
      <w:pPr>
        <w:pStyle w:val="B1"/>
        <w:rPr>
          <w:highlight w:val="lightGray"/>
        </w:rPr>
      </w:pPr>
      <w:r w:rsidRPr="006133C6">
        <w:rPr>
          <w:highlight w:val="lightGray"/>
        </w:rPr>
        <w:t>Fading Propagation Conditions:</w:t>
      </w:r>
    </w:p>
    <w:p w14:paraId="78E3A8BD" w14:textId="77777777" w:rsidR="006133C6" w:rsidRPr="006133C6" w:rsidRDefault="006133C6" w:rsidP="006133C6">
      <w:pPr>
        <w:pStyle w:val="B2"/>
        <w:rPr>
          <w:highlight w:val="lightGray"/>
        </w:rPr>
      </w:pPr>
      <w:r w:rsidRPr="006133C6">
        <w:rPr>
          <w:highlight w:val="lightGray"/>
          <w:lang w:val="en-US"/>
        </w:rPr>
        <w:t>-</w:t>
      </w:r>
      <w:r w:rsidRPr="006133C6">
        <w:rPr>
          <w:highlight w:val="lightGray"/>
        </w:rPr>
        <w:tab/>
        <w:t xml:space="preserve">Fading propagation conditions between the DUT and the emulated </w:t>
      </w:r>
      <w:proofErr w:type="spellStart"/>
      <w:r w:rsidRPr="006133C6">
        <w:rPr>
          <w:highlight w:val="lightGray"/>
        </w:rPr>
        <w:t>gNB</w:t>
      </w:r>
      <w:proofErr w:type="spellEnd"/>
      <w:r w:rsidRPr="006133C6">
        <w:rPr>
          <w:highlight w:val="lightGray"/>
        </w:rPr>
        <w:t xml:space="preserve"> sources are </w:t>
      </w:r>
      <w:proofErr w:type="spellStart"/>
      <w:r w:rsidRPr="006133C6">
        <w:rPr>
          <w:highlight w:val="lightGray"/>
        </w:rPr>
        <w:t>modeled</w:t>
      </w:r>
      <w:proofErr w:type="spellEnd"/>
      <w:r w:rsidRPr="006133C6">
        <w:rPr>
          <w:highlight w:val="lightGray"/>
        </w:rPr>
        <w:t xml:space="preserve"> as </w:t>
      </w:r>
      <w:r w:rsidRPr="006133C6">
        <w:rPr>
          <w:highlight w:val="yellow"/>
        </w:rPr>
        <w:t>Tapped Delay Line (TDL)</w:t>
      </w:r>
      <w:r w:rsidRPr="006133C6">
        <w:rPr>
          <w:highlight w:val="lightGray"/>
        </w:rPr>
        <w:t>.</w:t>
      </w:r>
    </w:p>
    <w:p w14:paraId="50CD50AC" w14:textId="77777777" w:rsidR="006133C6" w:rsidRPr="006133C6" w:rsidRDefault="006133C6" w:rsidP="006133C6">
      <w:pPr>
        <w:pStyle w:val="B1"/>
        <w:rPr>
          <w:highlight w:val="lightGray"/>
          <w:lang w:val="en-US"/>
        </w:rPr>
      </w:pPr>
      <w:r w:rsidRPr="006133C6">
        <w:rPr>
          <w:highlight w:val="lightGray"/>
          <w:lang w:val="en-US"/>
        </w:rPr>
        <w:t xml:space="preserve">Measurement Uncertainty: </w:t>
      </w:r>
    </w:p>
    <w:p w14:paraId="6F9CB39E" w14:textId="77777777" w:rsidR="006133C6" w:rsidRPr="006133C6" w:rsidRDefault="006133C6" w:rsidP="006133C6">
      <w:pPr>
        <w:pStyle w:val="B2"/>
        <w:rPr>
          <w:highlight w:val="lightGray"/>
        </w:rPr>
      </w:pPr>
      <w:r w:rsidRPr="006133C6">
        <w:rPr>
          <w:highlight w:val="lightGray"/>
          <w:lang w:val="en-US"/>
        </w:rPr>
        <w:t>-</w:t>
      </w:r>
      <w:r w:rsidRPr="006133C6">
        <w:rPr>
          <w:highlight w:val="lightGray"/>
        </w:rPr>
        <w:tab/>
        <w:t>It is likely that the measurement uncertainty budget for the RRM setup may contain additional measurement uncertainty elements relative to the setup defined in 5.2.1.</w:t>
      </w:r>
    </w:p>
    <w:p w14:paraId="69A3AC22" w14:textId="77777777" w:rsidR="006133C6" w:rsidRPr="006133C6" w:rsidRDefault="006133C6" w:rsidP="006133C6">
      <w:pPr>
        <w:pStyle w:val="B1"/>
        <w:rPr>
          <w:highlight w:val="lightGray"/>
        </w:rPr>
      </w:pPr>
      <w:r w:rsidRPr="006133C6">
        <w:rPr>
          <w:highlight w:val="lightGray"/>
        </w:rPr>
        <w:t>Applicability Criteria:</w:t>
      </w:r>
    </w:p>
    <w:p w14:paraId="470F7861" w14:textId="77777777" w:rsidR="006133C6" w:rsidRPr="006133C6" w:rsidRDefault="006133C6" w:rsidP="006133C6">
      <w:pPr>
        <w:pStyle w:val="B2"/>
        <w:rPr>
          <w:highlight w:val="lightGray"/>
        </w:rPr>
      </w:pPr>
      <w:r w:rsidRPr="006133C6">
        <w:rPr>
          <w:highlight w:val="lightGray"/>
          <w:lang w:val="en-US"/>
        </w:rPr>
        <w:t>-</w:t>
      </w:r>
      <w:r w:rsidRPr="006133C6">
        <w:rPr>
          <w:highlight w:val="lightGray"/>
        </w:rPr>
        <w:tab/>
        <w:t>The system applies at least to DUTs with a radiating aperture of D ≤ 5cm.</w:t>
      </w:r>
    </w:p>
    <w:p w14:paraId="378A0DE3" w14:textId="77777777" w:rsidR="006133C6" w:rsidRPr="006133C6" w:rsidRDefault="006133C6" w:rsidP="006133C6">
      <w:pPr>
        <w:pStyle w:val="B2"/>
        <w:rPr>
          <w:highlight w:val="lightGray"/>
        </w:rPr>
      </w:pPr>
      <w:r w:rsidRPr="006133C6">
        <w:rPr>
          <w:highlight w:val="lightGray"/>
        </w:rPr>
        <w:t>-</w:t>
      </w:r>
      <w:r w:rsidRPr="006133C6">
        <w:rPr>
          <w:highlight w:val="lightGray"/>
        </w:rPr>
        <w:tab/>
        <w:t>[A manufacturer declaration on the following elements is needed:</w:t>
      </w:r>
    </w:p>
    <w:p w14:paraId="46437F7A" w14:textId="77777777" w:rsidR="006133C6" w:rsidRPr="006133C6" w:rsidRDefault="006133C6" w:rsidP="006133C6">
      <w:pPr>
        <w:pStyle w:val="B3"/>
        <w:rPr>
          <w:highlight w:val="lightGray"/>
        </w:rPr>
      </w:pPr>
      <w:r w:rsidRPr="006133C6">
        <w:rPr>
          <w:highlight w:val="lightGray"/>
        </w:rPr>
        <w:t xml:space="preserve">- </w:t>
      </w:r>
      <w:r w:rsidRPr="006133C6">
        <w:rPr>
          <w:highlight w:val="lightGray"/>
        </w:rPr>
        <w:tab/>
        <w:t>Manufacturer declares antenna arrays size.</w:t>
      </w:r>
    </w:p>
    <w:p w14:paraId="267E4623" w14:textId="77777777" w:rsidR="006133C6" w:rsidRPr="004F0A52" w:rsidRDefault="006133C6" w:rsidP="006133C6">
      <w:pPr>
        <w:pStyle w:val="B3"/>
      </w:pPr>
      <w:r w:rsidRPr="006133C6">
        <w:rPr>
          <w:highlight w:val="lightGray"/>
        </w:rPr>
        <w:t>-</w:t>
      </w:r>
      <w:r w:rsidRPr="006133C6">
        <w:rPr>
          <w:highlight w:val="lightGray"/>
        </w:rPr>
        <w:tab/>
        <w:t>If multiple antenna panels that are phase coherent are defined as a single array, the criterion on DUT radiating aperture applies to this single array.]</w:t>
      </w:r>
    </w:p>
    <w:p w14:paraId="59D92B3E" w14:textId="3BB7CC8E" w:rsidR="00FC45FA" w:rsidRPr="00936FA1" w:rsidRDefault="002A659B" w:rsidP="00FC45FA">
      <w:pPr>
        <w:pStyle w:val="Heading1"/>
        <w:rPr>
          <w:rFonts w:cs="Arial"/>
        </w:rPr>
      </w:pPr>
      <w:r w:rsidRPr="00936FA1">
        <w:rPr>
          <w:rFonts w:cs="Arial"/>
        </w:rPr>
        <w:t>Discussion</w:t>
      </w:r>
    </w:p>
    <w:p w14:paraId="635E4EF5" w14:textId="77777777" w:rsidR="006133C6" w:rsidRDefault="006133C6" w:rsidP="00D821C8">
      <w:pPr>
        <w:rPr>
          <w:lang w:val="en-GB" w:eastAsia="en-US"/>
        </w:rPr>
      </w:pPr>
      <w:r>
        <w:rPr>
          <w:lang w:val="en-GB" w:eastAsia="en-US"/>
        </w:rPr>
        <w:t>From the definition of the baseline system above, a few key parameters can already be extracted:</w:t>
      </w:r>
    </w:p>
    <w:p w14:paraId="2757309E" w14:textId="6874A41B" w:rsidR="008537A8" w:rsidRPr="00426ADB" w:rsidRDefault="006133C6" w:rsidP="004608AE">
      <w:pPr>
        <w:pStyle w:val="ListParagraph"/>
        <w:numPr>
          <w:ilvl w:val="0"/>
          <w:numId w:val="5"/>
        </w:numPr>
        <w:rPr>
          <w:rFonts w:ascii="Arial" w:hAnsi="Arial" w:cs="Arial"/>
          <w:sz w:val="22"/>
          <w:szCs w:val="22"/>
          <w:lang w:val="en-GB"/>
        </w:rPr>
      </w:pPr>
      <w:r w:rsidRPr="006133C6">
        <w:rPr>
          <w:rFonts w:ascii="Arial" w:eastAsia="SimSun" w:hAnsi="Arial" w:cs="Arial"/>
          <w:sz w:val="22"/>
          <w:szCs w:val="22"/>
          <w:lang w:val="en-GB"/>
        </w:rPr>
        <w:t>The number of NR Cells</w:t>
      </w:r>
      <w:r>
        <w:rPr>
          <w:rFonts w:ascii="Arial" w:eastAsia="SimSun" w:hAnsi="Arial" w:cs="Arial"/>
          <w:sz w:val="22"/>
          <w:szCs w:val="22"/>
          <w:lang w:val="en-GB"/>
        </w:rPr>
        <w:t xml:space="preserve"> is limited to 2</w:t>
      </w:r>
      <w:r w:rsidR="008472A6" w:rsidRPr="006133C6">
        <w:rPr>
          <w:rFonts w:ascii="Arial" w:eastAsia="SimSun" w:hAnsi="Arial" w:cs="Arial"/>
          <w:sz w:val="22"/>
          <w:szCs w:val="22"/>
          <w:lang w:val="en-GB"/>
        </w:rPr>
        <w:t>.</w:t>
      </w:r>
    </w:p>
    <w:p w14:paraId="1BFAB5A7" w14:textId="56883382" w:rsidR="00426ADB" w:rsidRPr="00426ADB" w:rsidRDefault="00426ADB" w:rsidP="004608AE">
      <w:pPr>
        <w:pStyle w:val="ListParagraph"/>
        <w:numPr>
          <w:ilvl w:val="0"/>
          <w:numId w:val="5"/>
        </w:numPr>
        <w:rPr>
          <w:rFonts w:ascii="Arial" w:hAnsi="Arial" w:cs="Arial"/>
          <w:sz w:val="22"/>
          <w:szCs w:val="22"/>
          <w:lang w:val="en-GB"/>
        </w:rPr>
      </w:pPr>
      <w:r>
        <w:rPr>
          <w:rFonts w:ascii="Arial" w:eastAsia="SimSun" w:hAnsi="Arial" w:cs="Arial"/>
          <w:sz w:val="22"/>
          <w:szCs w:val="22"/>
          <w:lang w:val="en-GB"/>
        </w:rPr>
        <w:t xml:space="preserve">The number of </w:t>
      </w:r>
      <w:r w:rsidR="00A314C8">
        <w:rPr>
          <w:rFonts w:ascii="Arial" w:eastAsia="SimSun" w:hAnsi="Arial" w:cs="Arial"/>
          <w:sz w:val="22"/>
          <w:szCs w:val="22"/>
          <w:lang w:val="en-GB"/>
        </w:rPr>
        <w:t xml:space="preserve">simultaneously active </w:t>
      </w:r>
      <w:proofErr w:type="spellStart"/>
      <w:r>
        <w:rPr>
          <w:rFonts w:ascii="Arial" w:eastAsia="SimSun" w:hAnsi="Arial" w:cs="Arial"/>
          <w:sz w:val="22"/>
          <w:szCs w:val="22"/>
          <w:lang w:val="en-GB"/>
        </w:rPr>
        <w:t>AoAs</w:t>
      </w:r>
      <w:proofErr w:type="spellEnd"/>
      <w:r>
        <w:rPr>
          <w:rFonts w:ascii="Arial" w:eastAsia="SimSun" w:hAnsi="Arial" w:cs="Arial"/>
          <w:sz w:val="22"/>
          <w:szCs w:val="22"/>
          <w:lang w:val="en-GB"/>
        </w:rPr>
        <w:t xml:space="preserve"> is [2].</w:t>
      </w:r>
    </w:p>
    <w:p w14:paraId="64119568" w14:textId="5A67D167" w:rsidR="006133C6" w:rsidRDefault="006133C6" w:rsidP="004608AE">
      <w:pPr>
        <w:pStyle w:val="ListParagraph"/>
        <w:numPr>
          <w:ilvl w:val="0"/>
          <w:numId w:val="5"/>
        </w:numPr>
        <w:rPr>
          <w:rFonts w:ascii="Arial" w:hAnsi="Arial" w:cs="Arial"/>
          <w:sz w:val="22"/>
          <w:szCs w:val="22"/>
          <w:lang w:val="en-GB"/>
        </w:rPr>
      </w:pPr>
      <w:r>
        <w:rPr>
          <w:rFonts w:ascii="Arial" w:hAnsi="Arial" w:cs="Arial"/>
          <w:sz w:val="22"/>
          <w:szCs w:val="22"/>
          <w:lang w:val="en-GB"/>
        </w:rPr>
        <w:t>The fading (if required) is modelled as TDL.</w:t>
      </w:r>
    </w:p>
    <w:p w14:paraId="5BD93C2D" w14:textId="6EDA74D5" w:rsidR="006133C6" w:rsidRDefault="00426ADB" w:rsidP="004608AE">
      <w:pPr>
        <w:pStyle w:val="ListParagraph"/>
        <w:numPr>
          <w:ilvl w:val="0"/>
          <w:numId w:val="5"/>
        </w:numPr>
        <w:rPr>
          <w:rFonts w:ascii="Arial" w:hAnsi="Arial" w:cs="Arial"/>
          <w:sz w:val="22"/>
          <w:szCs w:val="22"/>
          <w:lang w:val="en-GB"/>
        </w:rPr>
      </w:pPr>
      <w:r>
        <w:rPr>
          <w:rFonts w:ascii="Arial" w:hAnsi="Arial" w:cs="Arial"/>
          <w:sz w:val="22"/>
          <w:szCs w:val="22"/>
          <w:lang w:val="en-GB"/>
        </w:rPr>
        <w:t>There is a positioning system to allow free rotation between the DUT and all the N antenna.</w:t>
      </w:r>
    </w:p>
    <w:p w14:paraId="4DC10C95" w14:textId="7813F546" w:rsidR="00426ADB" w:rsidRDefault="00426ADB" w:rsidP="004608AE">
      <w:pPr>
        <w:pStyle w:val="ListParagraph"/>
        <w:numPr>
          <w:ilvl w:val="0"/>
          <w:numId w:val="5"/>
        </w:numPr>
        <w:rPr>
          <w:rFonts w:ascii="Arial" w:hAnsi="Arial" w:cs="Arial"/>
          <w:sz w:val="22"/>
          <w:szCs w:val="22"/>
          <w:lang w:val="en-GB"/>
        </w:rPr>
      </w:pPr>
      <w:r>
        <w:rPr>
          <w:rFonts w:ascii="Arial" w:hAnsi="Arial" w:cs="Arial"/>
          <w:sz w:val="22"/>
          <w:szCs w:val="22"/>
          <w:lang w:val="en-GB"/>
        </w:rPr>
        <w:t xml:space="preserve">The angular relationship between </w:t>
      </w:r>
      <w:r w:rsidR="00470A10">
        <w:rPr>
          <w:rFonts w:ascii="Arial" w:hAnsi="Arial" w:cs="Arial"/>
          <w:sz w:val="22"/>
          <w:szCs w:val="22"/>
          <w:lang w:val="en-GB"/>
        </w:rPr>
        <w:t xml:space="preserve">the active </w:t>
      </w:r>
      <w:r>
        <w:rPr>
          <w:rFonts w:ascii="Arial" w:hAnsi="Arial" w:cs="Arial"/>
          <w:sz w:val="22"/>
          <w:szCs w:val="22"/>
          <w:lang w:val="en-GB"/>
        </w:rPr>
        <w:t>antenna</w:t>
      </w:r>
      <w:r w:rsidR="00470A10">
        <w:rPr>
          <w:rFonts w:ascii="Arial" w:hAnsi="Arial" w:cs="Arial"/>
          <w:sz w:val="22"/>
          <w:szCs w:val="22"/>
          <w:lang w:val="en-GB"/>
        </w:rPr>
        <w:t>s (2)</w:t>
      </w:r>
      <w:r>
        <w:rPr>
          <w:rFonts w:ascii="Arial" w:hAnsi="Arial" w:cs="Arial"/>
          <w:sz w:val="22"/>
          <w:szCs w:val="22"/>
          <w:lang w:val="en-GB"/>
        </w:rPr>
        <w:t xml:space="preserve"> and the DUT is fixed. These angles are:</w:t>
      </w:r>
      <w:r w:rsidRPr="00470A10">
        <w:rPr>
          <w:rFonts w:ascii="Arial" w:hAnsi="Arial" w:cs="Arial"/>
          <w:sz w:val="22"/>
          <w:szCs w:val="22"/>
          <w:lang w:val="en-US"/>
        </w:rPr>
        <w:t xml:space="preserve"> 30°, 60°, 90°, 120°, 150° and 180°</w:t>
      </w:r>
      <w:r>
        <w:rPr>
          <w:rFonts w:ascii="Arial" w:hAnsi="Arial" w:cs="Arial"/>
          <w:sz w:val="22"/>
          <w:szCs w:val="22"/>
          <w:lang w:val="en-GB"/>
        </w:rPr>
        <w:t>.</w:t>
      </w:r>
    </w:p>
    <w:p w14:paraId="1C6F2120" w14:textId="22EEC92F" w:rsidR="00426ADB" w:rsidRPr="00426ADB" w:rsidRDefault="00426ADB" w:rsidP="00426ADB">
      <w:pPr>
        <w:rPr>
          <w:i/>
          <w:lang w:val="en-GB"/>
        </w:rPr>
      </w:pPr>
      <w:r w:rsidRPr="00426ADB">
        <w:rPr>
          <w:b/>
          <w:i/>
          <w:lang w:val="en-GB"/>
        </w:rPr>
        <w:lastRenderedPageBreak/>
        <w:t>Observation 1:</w:t>
      </w:r>
      <w:r w:rsidRPr="00426ADB">
        <w:rPr>
          <w:i/>
          <w:lang w:val="en-GB"/>
        </w:rPr>
        <w:t xml:space="preserve"> These parameters are a result of the testability SI. The requirements in TS 38.533 </w:t>
      </w:r>
      <w:r w:rsidR="00470A10">
        <w:rPr>
          <w:i/>
          <w:lang w:val="en-GB"/>
        </w:rPr>
        <w:t>are not yet defined, although preferably they should comply</w:t>
      </w:r>
      <w:r w:rsidRPr="00426ADB">
        <w:rPr>
          <w:i/>
          <w:lang w:val="en-GB"/>
        </w:rPr>
        <w:t xml:space="preserve"> with the</w:t>
      </w:r>
      <w:r w:rsidR="00470A10">
        <w:rPr>
          <w:i/>
          <w:lang w:val="en-GB"/>
        </w:rPr>
        <w:t xml:space="preserve"> above</w:t>
      </w:r>
      <w:r w:rsidRPr="00426ADB">
        <w:rPr>
          <w:i/>
          <w:lang w:val="en-GB"/>
        </w:rPr>
        <w:t xml:space="preserve"> parameters.</w:t>
      </w:r>
    </w:p>
    <w:p w14:paraId="4A4E225B" w14:textId="28289462" w:rsidR="00426ADB" w:rsidRDefault="00426ADB" w:rsidP="00426ADB">
      <w:pPr>
        <w:rPr>
          <w:lang w:val="en-GB"/>
        </w:rPr>
      </w:pPr>
      <w:r w:rsidRPr="00426ADB">
        <w:rPr>
          <w:b/>
          <w:i/>
          <w:lang w:val="en-GB"/>
        </w:rPr>
        <w:t xml:space="preserve">Observation </w:t>
      </w:r>
      <w:r>
        <w:rPr>
          <w:b/>
          <w:i/>
          <w:lang w:val="en-GB"/>
        </w:rPr>
        <w:t>2</w:t>
      </w:r>
      <w:r w:rsidRPr="00426ADB">
        <w:rPr>
          <w:b/>
          <w:i/>
          <w:lang w:val="en-GB"/>
        </w:rPr>
        <w:t>:</w:t>
      </w:r>
      <w:r w:rsidRPr="00426ADB">
        <w:rPr>
          <w:i/>
          <w:lang w:val="en-GB"/>
        </w:rPr>
        <w:t xml:space="preserve"> </w:t>
      </w:r>
      <w:r>
        <w:rPr>
          <w:i/>
          <w:lang w:val="en-GB"/>
        </w:rPr>
        <w:t>It would be desirable from RAN5 perspective that the test requirements comply with the parameters on the Testability SI.</w:t>
      </w:r>
    </w:p>
    <w:p w14:paraId="72A7BBCA" w14:textId="65E4A790" w:rsidR="00426ADB" w:rsidRDefault="00426ADB" w:rsidP="00426ADB">
      <w:pPr>
        <w:rPr>
          <w:i/>
          <w:lang w:val="en-GB"/>
        </w:rPr>
      </w:pPr>
      <w:r w:rsidRPr="00426ADB">
        <w:rPr>
          <w:b/>
          <w:i/>
          <w:lang w:val="en-GB"/>
        </w:rPr>
        <w:t xml:space="preserve">Observation </w:t>
      </w:r>
      <w:r>
        <w:rPr>
          <w:b/>
          <w:i/>
          <w:lang w:val="en-GB"/>
        </w:rPr>
        <w:t>3</w:t>
      </w:r>
      <w:r w:rsidRPr="00426ADB">
        <w:rPr>
          <w:b/>
          <w:i/>
          <w:lang w:val="en-GB"/>
        </w:rPr>
        <w:t>:</w:t>
      </w:r>
      <w:r w:rsidRPr="00426ADB">
        <w:rPr>
          <w:i/>
          <w:lang w:val="en-GB"/>
        </w:rPr>
        <w:t xml:space="preserve"> </w:t>
      </w:r>
      <w:r>
        <w:rPr>
          <w:i/>
          <w:lang w:val="en-GB"/>
        </w:rPr>
        <w:t>Some of the parameters are still provisional. A discussion in RAN5 could help speeding up the process to finalize these.</w:t>
      </w:r>
    </w:p>
    <w:p w14:paraId="0FFD1FE6" w14:textId="25043C19" w:rsidR="00B01D17" w:rsidRDefault="00B01D17" w:rsidP="00B01D17">
      <w:pPr>
        <w:rPr>
          <w:lang w:val="en-GB"/>
        </w:rPr>
      </w:pPr>
      <w:r w:rsidRPr="00426ADB">
        <w:rPr>
          <w:b/>
          <w:i/>
          <w:lang w:val="en-GB"/>
        </w:rPr>
        <w:t xml:space="preserve">Observation </w:t>
      </w:r>
      <w:r>
        <w:rPr>
          <w:b/>
          <w:i/>
          <w:lang w:val="en-GB"/>
        </w:rPr>
        <w:t>4</w:t>
      </w:r>
      <w:r w:rsidRPr="00426ADB">
        <w:rPr>
          <w:b/>
          <w:i/>
          <w:lang w:val="en-GB"/>
        </w:rPr>
        <w:t>:</w:t>
      </w:r>
      <w:r w:rsidRPr="00426ADB">
        <w:rPr>
          <w:i/>
          <w:lang w:val="en-GB"/>
        </w:rPr>
        <w:t xml:space="preserve"> </w:t>
      </w:r>
      <w:r>
        <w:rPr>
          <w:i/>
          <w:lang w:val="en-GB"/>
        </w:rPr>
        <w:t>Opposite to RF, the RRM BSL is a description of what capabilities a TE shall support, but not a definition/restriction on how the TE should be implemented.</w:t>
      </w:r>
    </w:p>
    <w:p w14:paraId="32DA3186" w14:textId="032D618C" w:rsidR="00B9652A" w:rsidRPr="00426ADB" w:rsidRDefault="00F1205B" w:rsidP="00426ADB">
      <w:pPr>
        <w:rPr>
          <w:lang w:val="en-GB"/>
        </w:rPr>
      </w:pPr>
      <w:r>
        <w:rPr>
          <w:lang w:val="en-GB"/>
        </w:rPr>
        <w:t>The definition of the RRM B</w:t>
      </w:r>
      <w:r w:rsidR="001660C2">
        <w:rPr>
          <w:lang w:val="en-GB"/>
        </w:rPr>
        <w:t>L</w:t>
      </w:r>
      <w:r>
        <w:rPr>
          <w:lang w:val="en-GB"/>
        </w:rPr>
        <w:t xml:space="preserve">S has been a long process involving multiple parties, </w:t>
      </w:r>
      <w:r w:rsidR="00B9652A">
        <w:rPr>
          <w:lang w:val="en-GB"/>
        </w:rPr>
        <w:t>and most of the times more focused on “what can I do?” in the sense of what kind of scenarios can be supported, rather than on “what do I need?” i.e. what kind of test requirements do we need to fulfil</w:t>
      </w:r>
      <w:r w:rsidR="00B01D17">
        <w:rPr>
          <w:lang w:val="en-GB"/>
        </w:rPr>
        <w:t>, always within the given timeframe</w:t>
      </w:r>
      <w:r w:rsidR="00B9652A">
        <w:rPr>
          <w:lang w:val="en-GB"/>
        </w:rPr>
        <w:t xml:space="preserve">. </w:t>
      </w:r>
      <w:r>
        <w:rPr>
          <w:lang w:val="en-GB"/>
        </w:rPr>
        <w:t xml:space="preserve">Hence, in this contribution the proposal on how to finalize the remaining parameters on the </w:t>
      </w:r>
      <w:r w:rsidR="001660C2">
        <w:rPr>
          <w:lang w:val="en-GB"/>
        </w:rPr>
        <w:t>BLS</w:t>
      </w:r>
      <w:r>
        <w:rPr>
          <w:lang w:val="en-GB"/>
        </w:rPr>
        <w:t xml:space="preserve"> is based on the test </w:t>
      </w:r>
      <w:r w:rsidR="00B01D17">
        <w:rPr>
          <w:lang w:val="en-GB"/>
        </w:rPr>
        <w:t>requirement</w:t>
      </w:r>
      <w:r>
        <w:rPr>
          <w:lang w:val="en-GB"/>
        </w:rPr>
        <w:t xml:space="preserve"> analysis in [2].</w:t>
      </w:r>
      <w:r w:rsidR="00B9652A">
        <w:rPr>
          <w:lang w:val="en-GB"/>
        </w:rPr>
        <w:t xml:space="preserve"> Only after this analysis is done, it makes sense to start analysing whether the TE is feasible or any further simplifications are needed.</w:t>
      </w:r>
    </w:p>
    <w:p w14:paraId="44BFEAD4" w14:textId="723A8391" w:rsidR="00A314C8" w:rsidRDefault="00D97F3E" w:rsidP="00A749CF">
      <w:pPr>
        <w:rPr>
          <w:lang w:eastAsia="en-US"/>
        </w:rPr>
      </w:pPr>
      <w:r>
        <w:rPr>
          <w:lang w:eastAsia="en-US"/>
        </w:rPr>
        <w:t>Based on the analysis presented in [2], it can be noticed that all probable RRM NR FR2 Test Scenarios for Rel-15 can be covere</w:t>
      </w:r>
      <w:r w:rsidR="00A314C8">
        <w:rPr>
          <w:lang w:eastAsia="en-US"/>
        </w:rPr>
        <w:t xml:space="preserve">d with a maximum of 2 NR Cells, which is aligned with the current </w:t>
      </w:r>
      <w:r w:rsidR="001660C2">
        <w:rPr>
          <w:lang w:eastAsia="en-US"/>
        </w:rPr>
        <w:t>BLS</w:t>
      </w:r>
      <w:r w:rsidR="00A314C8">
        <w:rPr>
          <w:lang w:eastAsia="en-US"/>
        </w:rPr>
        <w:t xml:space="preserve">. </w:t>
      </w:r>
    </w:p>
    <w:p w14:paraId="48A73EF8" w14:textId="77777777" w:rsidR="00A314C8" w:rsidRDefault="00A314C8" w:rsidP="00A749CF">
      <w:pPr>
        <w:rPr>
          <w:lang w:eastAsia="en-US"/>
        </w:rPr>
      </w:pPr>
      <w:r>
        <w:rPr>
          <w:lang w:eastAsia="en-US"/>
        </w:rPr>
        <w:t xml:space="preserve">On the number of simultaneously active </w:t>
      </w:r>
      <w:proofErr w:type="spellStart"/>
      <w:r>
        <w:rPr>
          <w:lang w:eastAsia="en-US"/>
        </w:rPr>
        <w:t>AoAs</w:t>
      </w:r>
      <w:proofErr w:type="spellEnd"/>
      <w:r>
        <w:rPr>
          <w:lang w:eastAsia="en-US"/>
        </w:rPr>
        <w:t>, there are a few things to consider:</w:t>
      </w:r>
    </w:p>
    <w:p w14:paraId="5C4E7361" w14:textId="2821B497" w:rsidR="00A314C8" w:rsidRPr="00A314C8" w:rsidRDefault="00A314C8" w:rsidP="004608AE">
      <w:pPr>
        <w:pStyle w:val="ListParagraph"/>
        <w:numPr>
          <w:ilvl w:val="0"/>
          <w:numId w:val="6"/>
        </w:numPr>
        <w:rPr>
          <w:rFonts w:ascii="Arial" w:hAnsi="Arial" w:cs="Arial"/>
          <w:sz w:val="22"/>
          <w:szCs w:val="22"/>
          <w:lang w:val="en-GB"/>
        </w:rPr>
      </w:pPr>
      <w:r w:rsidRPr="00A314C8">
        <w:rPr>
          <w:rFonts w:ascii="Arial" w:hAnsi="Arial" w:cs="Arial"/>
          <w:sz w:val="22"/>
          <w:szCs w:val="22"/>
          <w:lang w:val="en-US"/>
        </w:rPr>
        <w:t xml:space="preserve">The fading model is </w:t>
      </w:r>
      <w:r w:rsidR="001660C2">
        <w:rPr>
          <w:rFonts w:ascii="Arial" w:hAnsi="Arial" w:cs="Arial"/>
          <w:sz w:val="22"/>
          <w:szCs w:val="22"/>
          <w:lang w:val="en-US"/>
        </w:rPr>
        <w:t>BLS</w:t>
      </w:r>
      <w:r>
        <w:rPr>
          <w:rFonts w:ascii="Arial" w:hAnsi="Arial" w:cs="Arial"/>
          <w:sz w:val="22"/>
          <w:szCs w:val="22"/>
          <w:lang w:val="en-US"/>
        </w:rPr>
        <w:t xml:space="preserve"> is TDL</w:t>
      </w:r>
      <w:r w:rsidR="00C63E9A">
        <w:rPr>
          <w:rFonts w:ascii="Arial" w:hAnsi="Arial" w:cs="Arial"/>
          <w:sz w:val="22"/>
          <w:szCs w:val="22"/>
          <w:lang w:val="en-US"/>
        </w:rPr>
        <w:t>.</w:t>
      </w:r>
    </w:p>
    <w:p w14:paraId="5C60AEEC" w14:textId="0F031F06" w:rsidR="00A314C8" w:rsidRPr="00A314C8" w:rsidRDefault="00A314C8" w:rsidP="004608AE">
      <w:pPr>
        <w:pStyle w:val="ListParagraph"/>
        <w:numPr>
          <w:ilvl w:val="0"/>
          <w:numId w:val="6"/>
        </w:numPr>
        <w:rPr>
          <w:rFonts w:ascii="Arial" w:hAnsi="Arial" w:cs="Arial"/>
          <w:sz w:val="22"/>
          <w:szCs w:val="22"/>
          <w:lang w:val="en-GB"/>
        </w:rPr>
      </w:pPr>
      <w:r>
        <w:rPr>
          <w:rFonts w:ascii="Arial" w:hAnsi="Arial" w:cs="Arial"/>
          <w:sz w:val="22"/>
          <w:szCs w:val="22"/>
          <w:lang w:val="en-US"/>
        </w:rPr>
        <w:t>I</w:t>
      </w:r>
      <w:r w:rsidRPr="00A314C8">
        <w:rPr>
          <w:rFonts w:ascii="Arial" w:hAnsi="Arial" w:cs="Arial"/>
          <w:sz w:val="22"/>
          <w:szCs w:val="22"/>
          <w:lang w:val="en-US"/>
        </w:rPr>
        <w:t>ntra-cell beam scenarios</w:t>
      </w:r>
      <w:r>
        <w:rPr>
          <w:rFonts w:ascii="Arial" w:hAnsi="Arial" w:cs="Arial"/>
          <w:sz w:val="22"/>
          <w:szCs w:val="22"/>
          <w:lang w:val="en-US"/>
        </w:rPr>
        <w:t xml:space="preserve"> (the DUT sees multiple beams from the same cell) and inter-cell scenarios (the DUT sees multiple cells) can be tested separately.</w:t>
      </w:r>
    </w:p>
    <w:p w14:paraId="24B7D724" w14:textId="4DF3BFCB" w:rsidR="00A749CF" w:rsidRPr="00C63E9A" w:rsidRDefault="00A314C8" w:rsidP="004608AE">
      <w:pPr>
        <w:pStyle w:val="ListParagraph"/>
        <w:numPr>
          <w:ilvl w:val="0"/>
          <w:numId w:val="6"/>
        </w:numPr>
        <w:rPr>
          <w:rFonts w:ascii="Arial" w:hAnsi="Arial" w:cs="Arial"/>
          <w:sz w:val="22"/>
          <w:szCs w:val="22"/>
          <w:lang w:val="en-GB"/>
        </w:rPr>
      </w:pPr>
      <w:r>
        <w:rPr>
          <w:rFonts w:ascii="Arial" w:hAnsi="Arial" w:cs="Arial"/>
          <w:sz w:val="22"/>
          <w:szCs w:val="22"/>
          <w:lang w:val="en-US"/>
        </w:rPr>
        <w:t>The number of simultaneously active antenna is critical for the test equipment complexity.</w:t>
      </w:r>
    </w:p>
    <w:p w14:paraId="1B11A969" w14:textId="3710860D" w:rsidR="00C63E9A" w:rsidRDefault="00C63E9A" w:rsidP="00C63E9A">
      <w:pPr>
        <w:rPr>
          <w:lang w:val="en-GB"/>
        </w:rPr>
      </w:pPr>
      <w:r>
        <w:rPr>
          <w:lang w:val="en-GB"/>
        </w:rPr>
        <w:t>Based on these considerations, it is proposed that the number of simultaneously active AoA remains fixed at 2. This would allow to have the antenna distributed in an arc within the anechoic chamber and would also limit the number of HW resources required.</w:t>
      </w:r>
    </w:p>
    <w:p w14:paraId="0FF36C54" w14:textId="5FDB7073" w:rsidR="00C63E9A" w:rsidRDefault="00C63E9A" w:rsidP="00C63E9A">
      <w:pPr>
        <w:rPr>
          <w:i/>
          <w:lang w:val="en-GB"/>
        </w:rPr>
      </w:pPr>
      <w:r>
        <w:rPr>
          <w:b/>
          <w:i/>
          <w:lang w:val="en-GB"/>
        </w:rPr>
        <w:t xml:space="preserve">Observation </w:t>
      </w:r>
      <w:r w:rsidR="006725B6">
        <w:rPr>
          <w:b/>
          <w:i/>
          <w:lang w:val="en-GB"/>
        </w:rPr>
        <w:t>5</w:t>
      </w:r>
      <w:r w:rsidRPr="00426ADB">
        <w:rPr>
          <w:b/>
          <w:i/>
          <w:lang w:val="en-GB"/>
        </w:rPr>
        <w:t>:</w:t>
      </w:r>
      <w:r w:rsidRPr="00426ADB">
        <w:rPr>
          <w:i/>
          <w:lang w:val="en-GB"/>
        </w:rPr>
        <w:t xml:space="preserve"> </w:t>
      </w:r>
      <w:r>
        <w:rPr>
          <w:i/>
          <w:lang w:val="en-GB"/>
        </w:rPr>
        <w:t>A maximum number of simultaneously active AoA for Rel-15 RRM NR FR2 tests of 2 is desirable from Test Equipment complexity point of view.</w:t>
      </w:r>
    </w:p>
    <w:p w14:paraId="6C6CA441" w14:textId="181D83B4" w:rsidR="00C63E9A" w:rsidRDefault="00C63E9A" w:rsidP="00C63E9A">
      <w:pPr>
        <w:rPr>
          <w:lang w:val="en-GB"/>
        </w:rPr>
      </w:pPr>
      <w:r>
        <w:rPr>
          <w:lang w:val="en-GB"/>
        </w:rPr>
        <w:t xml:space="preserve">Regarding the set of angular relationships between the two active antenna and the DUT, RAN5 should discuss whether the 180° are really required. At 180°, the signals coming from the two antenna at opposite directions into the quiet zone will highly interfere with each other, affecting the quality of the quiet zone. Also, the question is whether such scenario is relevant in reality. For that scenario to happen, the DUT should be seeing two NR </w:t>
      </w:r>
      <w:proofErr w:type="spellStart"/>
      <w:r>
        <w:rPr>
          <w:lang w:val="en-GB"/>
        </w:rPr>
        <w:t>gNBs</w:t>
      </w:r>
      <w:proofErr w:type="spellEnd"/>
      <w:r>
        <w:rPr>
          <w:lang w:val="en-GB"/>
        </w:rPr>
        <w:t xml:space="preserve"> at exactly opposite points in the horizon plane. Geometrically, that is possible only in three situations: </w:t>
      </w:r>
    </w:p>
    <w:p w14:paraId="3F525F24" w14:textId="4BE98008" w:rsidR="00C63E9A" w:rsidRDefault="00C63E9A" w:rsidP="004608AE">
      <w:pPr>
        <w:pStyle w:val="ListParagraph"/>
        <w:numPr>
          <w:ilvl w:val="0"/>
          <w:numId w:val="7"/>
        </w:numPr>
        <w:rPr>
          <w:rFonts w:ascii="Arial" w:hAnsi="Arial" w:cs="Arial"/>
          <w:sz w:val="22"/>
          <w:szCs w:val="22"/>
          <w:lang w:val="en-GB"/>
        </w:rPr>
      </w:pPr>
      <w:r w:rsidRPr="00C63E9A">
        <w:rPr>
          <w:rFonts w:ascii="Arial" w:hAnsi="Arial" w:cs="Arial"/>
          <w:sz w:val="22"/>
          <w:szCs w:val="22"/>
          <w:lang w:val="en-GB"/>
        </w:rPr>
        <w:t xml:space="preserve">Both </w:t>
      </w:r>
      <w:proofErr w:type="spellStart"/>
      <w:r>
        <w:rPr>
          <w:rFonts w:ascii="Arial" w:hAnsi="Arial" w:cs="Arial"/>
          <w:sz w:val="22"/>
          <w:szCs w:val="22"/>
          <w:lang w:val="en-GB"/>
        </w:rPr>
        <w:t>gNBs</w:t>
      </w:r>
      <w:proofErr w:type="spellEnd"/>
      <w:r>
        <w:rPr>
          <w:rFonts w:ascii="Arial" w:hAnsi="Arial" w:cs="Arial"/>
          <w:sz w:val="22"/>
          <w:szCs w:val="22"/>
          <w:lang w:val="en-GB"/>
        </w:rPr>
        <w:t xml:space="preserve"> are at an infinite distance in exactly opposite directions.</w:t>
      </w:r>
    </w:p>
    <w:p w14:paraId="48BF0DB4" w14:textId="270F3FB1" w:rsidR="00C63E9A" w:rsidRDefault="00D04143" w:rsidP="004608AE">
      <w:pPr>
        <w:pStyle w:val="ListParagraph"/>
        <w:numPr>
          <w:ilvl w:val="0"/>
          <w:numId w:val="7"/>
        </w:numPr>
        <w:rPr>
          <w:rFonts w:ascii="Arial" w:hAnsi="Arial" w:cs="Arial"/>
          <w:sz w:val="22"/>
          <w:szCs w:val="22"/>
          <w:lang w:val="en-GB"/>
        </w:rPr>
      </w:pPr>
      <w:r>
        <w:rPr>
          <w:rFonts w:ascii="Arial" w:hAnsi="Arial" w:cs="Arial"/>
          <w:sz w:val="22"/>
          <w:szCs w:val="22"/>
          <w:lang w:val="en-GB"/>
        </w:rPr>
        <w:t xml:space="preserve">The two </w:t>
      </w:r>
      <w:proofErr w:type="spellStart"/>
      <w:r>
        <w:rPr>
          <w:rFonts w:ascii="Arial" w:hAnsi="Arial" w:cs="Arial"/>
          <w:sz w:val="22"/>
          <w:szCs w:val="22"/>
          <w:lang w:val="en-GB"/>
        </w:rPr>
        <w:t>gNBs</w:t>
      </w:r>
      <w:proofErr w:type="spellEnd"/>
      <w:r>
        <w:rPr>
          <w:rFonts w:ascii="Arial" w:hAnsi="Arial" w:cs="Arial"/>
          <w:sz w:val="22"/>
          <w:szCs w:val="22"/>
          <w:lang w:val="en-GB"/>
        </w:rPr>
        <w:t xml:space="preserve"> and the DUT are at exactly the same altitude.</w:t>
      </w:r>
    </w:p>
    <w:p w14:paraId="0F0B25FF" w14:textId="719328E9" w:rsidR="00D04143" w:rsidRDefault="00D04143" w:rsidP="004608AE">
      <w:pPr>
        <w:pStyle w:val="ListParagraph"/>
        <w:numPr>
          <w:ilvl w:val="0"/>
          <w:numId w:val="7"/>
        </w:numPr>
        <w:rPr>
          <w:rFonts w:ascii="Arial" w:hAnsi="Arial" w:cs="Arial"/>
          <w:sz w:val="22"/>
          <w:szCs w:val="22"/>
          <w:lang w:val="en-GB"/>
        </w:rPr>
      </w:pPr>
      <w:r>
        <w:rPr>
          <w:rFonts w:ascii="Arial" w:hAnsi="Arial" w:cs="Arial"/>
          <w:sz w:val="22"/>
          <w:szCs w:val="22"/>
          <w:lang w:val="en-GB"/>
        </w:rPr>
        <w:lastRenderedPageBreak/>
        <w:t xml:space="preserve">One of the </w:t>
      </w:r>
      <w:proofErr w:type="spellStart"/>
      <w:r>
        <w:rPr>
          <w:rFonts w:ascii="Arial" w:hAnsi="Arial" w:cs="Arial"/>
          <w:sz w:val="22"/>
          <w:szCs w:val="22"/>
          <w:lang w:val="en-GB"/>
        </w:rPr>
        <w:t>gNB</w:t>
      </w:r>
      <w:proofErr w:type="spellEnd"/>
      <w:r>
        <w:rPr>
          <w:rFonts w:ascii="Arial" w:hAnsi="Arial" w:cs="Arial"/>
          <w:sz w:val="22"/>
          <w:szCs w:val="22"/>
          <w:lang w:val="en-GB"/>
        </w:rPr>
        <w:t xml:space="preserve"> is at lower altitude than the DUT.</w:t>
      </w:r>
    </w:p>
    <w:p w14:paraId="35956835" w14:textId="720C1A24" w:rsidR="00D04143" w:rsidRDefault="00D04143" w:rsidP="00D04143">
      <w:pPr>
        <w:rPr>
          <w:lang w:val="en-GB"/>
        </w:rPr>
      </w:pPr>
      <w:r>
        <w:rPr>
          <w:lang w:val="en-GB"/>
        </w:rPr>
        <w:t>Situation 1 is not possible in reality. Situations 2 and 3 although possible are unpractical</w:t>
      </w:r>
      <w:r w:rsidR="006725B6">
        <w:rPr>
          <w:lang w:val="en-GB"/>
        </w:rPr>
        <w:t xml:space="preserve"> / corner cases</w:t>
      </w:r>
      <w:r>
        <w:rPr>
          <w:lang w:val="en-GB"/>
        </w:rPr>
        <w:t>, especially if the DUT is a mobile phone.</w:t>
      </w:r>
    </w:p>
    <w:p w14:paraId="04B13252" w14:textId="36BC5E2F" w:rsidR="00D04143" w:rsidRDefault="00D04143" w:rsidP="00D04143">
      <w:pPr>
        <w:rPr>
          <w:i/>
          <w:lang w:val="en-GB"/>
        </w:rPr>
      </w:pPr>
      <w:r w:rsidRPr="00D04143">
        <w:rPr>
          <w:b/>
          <w:i/>
          <w:lang w:val="en-GB"/>
        </w:rPr>
        <w:t xml:space="preserve">Observation </w:t>
      </w:r>
      <w:r w:rsidR="006725B6">
        <w:rPr>
          <w:b/>
          <w:i/>
          <w:lang w:val="en-GB"/>
        </w:rPr>
        <w:t>6</w:t>
      </w:r>
      <w:r>
        <w:rPr>
          <w:b/>
          <w:i/>
          <w:lang w:val="en-GB"/>
        </w:rPr>
        <w:t xml:space="preserve">: </w:t>
      </w:r>
      <w:r>
        <w:rPr>
          <w:i/>
          <w:lang w:val="en-GB"/>
        </w:rPr>
        <w:t>An angular relationship of 180° between two active antenna and the DUT does not seem very realistic and presen</w:t>
      </w:r>
      <w:r w:rsidR="001660C2">
        <w:rPr>
          <w:i/>
          <w:lang w:val="en-GB"/>
        </w:rPr>
        <w:t>ts severe technical challenges.</w:t>
      </w:r>
    </w:p>
    <w:p w14:paraId="3803A7B0" w14:textId="6EFF4A0F" w:rsidR="001660C2" w:rsidRDefault="001660C2" w:rsidP="00D04143">
      <w:pPr>
        <w:rPr>
          <w:lang w:val="en-GB"/>
        </w:rPr>
      </w:pPr>
      <w:r>
        <w:rPr>
          <w:lang w:val="en-GB"/>
        </w:rPr>
        <w:t xml:space="preserve">From [2], it can be seen that the only RRM tests configuring any kind of MIMO (more than the usual Rx Diversity) are the RLM test cases. According to the BLS, for these tests the </w:t>
      </w:r>
      <w:proofErr w:type="spellStart"/>
      <w:r>
        <w:rPr>
          <w:lang w:val="en-GB"/>
        </w:rPr>
        <w:t>Tx</w:t>
      </w:r>
      <w:proofErr w:type="spellEnd"/>
      <w:r>
        <w:rPr>
          <w:lang w:val="en-GB"/>
        </w:rPr>
        <w:t xml:space="preserve"> Diversity will be reached by using polarization diversity (transmitting on both H and V polarizations on the transmit antenna).</w:t>
      </w:r>
    </w:p>
    <w:p w14:paraId="52C90F5E" w14:textId="64E9AA21" w:rsidR="001660C2" w:rsidRDefault="001660C2" w:rsidP="001660C2">
      <w:pPr>
        <w:rPr>
          <w:i/>
          <w:lang w:val="en-GB"/>
        </w:rPr>
      </w:pPr>
      <w:r w:rsidRPr="00D04143">
        <w:rPr>
          <w:b/>
          <w:i/>
          <w:lang w:val="en-GB"/>
        </w:rPr>
        <w:t xml:space="preserve">Observation </w:t>
      </w:r>
      <w:r w:rsidR="006725B6">
        <w:rPr>
          <w:b/>
          <w:i/>
          <w:lang w:val="en-GB"/>
        </w:rPr>
        <w:t>7</w:t>
      </w:r>
      <w:r>
        <w:rPr>
          <w:b/>
          <w:i/>
          <w:lang w:val="en-GB"/>
        </w:rPr>
        <w:t xml:space="preserve">: </w:t>
      </w:r>
      <w:r w:rsidR="00B40942">
        <w:rPr>
          <w:i/>
          <w:lang w:val="en-GB"/>
        </w:rPr>
        <w:t>For RLM test cases, if</w:t>
      </w:r>
      <w:r>
        <w:rPr>
          <w:i/>
          <w:lang w:val="en-GB"/>
        </w:rPr>
        <w:t xml:space="preserve"> </w:t>
      </w:r>
      <w:proofErr w:type="spellStart"/>
      <w:r>
        <w:rPr>
          <w:i/>
          <w:lang w:val="en-GB"/>
        </w:rPr>
        <w:t>Tx</w:t>
      </w:r>
      <w:proofErr w:type="spellEnd"/>
      <w:r>
        <w:rPr>
          <w:i/>
          <w:lang w:val="en-GB"/>
        </w:rPr>
        <w:t xml:space="preserve"> Diversity scheme </w:t>
      </w:r>
      <w:r w:rsidR="00B40942">
        <w:rPr>
          <w:i/>
          <w:lang w:val="en-GB"/>
        </w:rPr>
        <w:t xml:space="preserve">is required, it </w:t>
      </w:r>
      <w:r>
        <w:rPr>
          <w:i/>
          <w:lang w:val="en-GB"/>
        </w:rPr>
        <w:t>will be modelled as polarization diversity.</w:t>
      </w:r>
    </w:p>
    <w:p w14:paraId="79200030" w14:textId="04711310" w:rsidR="00A36459" w:rsidRDefault="00A36459" w:rsidP="001660C2">
      <w:pPr>
        <w:rPr>
          <w:lang w:val="en-GB"/>
        </w:rPr>
      </w:pPr>
      <w:r>
        <w:rPr>
          <w:lang w:val="en-GB"/>
        </w:rPr>
        <w:t xml:space="preserve">From [2], another important point is that combined complexity (i.e. mixing high number of </w:t>
      </w:r>
      <w:proofErr w:type="spellStart"/>
      <w:r>
        <w:rPr>
          <w:lang w:val="en-GB"/>
        </w:rPr>
        <w:t>TRxPs</w:t>
      </w:r>
      <w:proofErr w:type="spellEnd"/>
      <w:r>
        <w:rPr>
          <w:lang w:val="en-GB"/>
        </w:rPr>
        <w:t xml:space="preserve"> with complex channel models and/or MIMO schemes) should be avoided if possible, as it greatly increases the complexity of the TE.</w:t>
      </w:r>
    </w:p>
    <w:p w14:paraId="00F4FC19" w14:textId="22A5F214" w:rsidR="00A36459" w:rsidRPr="00A36459" w:rsidRDefault="00A36459" w:rsidP="001660C2">
      <w:pPr>
        <w:rPr>
          <w:lang w:val="en-GB"/>
        </w:rPr>
      </w:pPr>
      <w:r w:rsidRPr="00A36459">
        <w:rPr>
          <w:b/>
          <w:i/>
          <w:lang w:val="en-GB"/>
        </w:rPr>
        <w:t>Observation 8</w:t>
      </w:r>
      <w:r>
        <w:rPr>
          <w:lang w:val="en-GB"/>
        </w:rPr>
        <w:t xml:space="preserve">: Combined complexity should be avoided whenever possible. Scenarios with 2 </w:t>
      </w:r>
      <w:proofErr w:type="spellStart"/>
      <w:r>
        <w:rPr>
          <w:lang w:val="en-GB"/>
        </w:rPr>
        <w:t>TRxP</w:t>
      </w:r>
      <w:proofErr w:type="spellEnd"/>
      <w:r>
        <w:rPr>
          <w:lang w:val="en-GB"/>
        </w:rPr>
        <w:t xml:space="preserve"> should not incorporate additional complexity like MIMO.</w:t>
      </w:r>
    </w:p>
    <w:bookmarkEnd w:id="0"/>
    <w:bookmarkEnd w:id="1"/>
    <w:p w14:paraId="6A30F3C3" w14:textId="56A02F49" w:rsidR="00EE0AC3" w:rsidRPr="00936FA1" w:rsidRDefault="007B2E12" w:rsidP="00EE0AC3">
      <w:pPr>
        <w:pStyle w:val="Heading1"/>
        <w:rPr>
          <w:rFonts w:cs="Arial"/>
        </w:rPr>
      </w:pPr>
      <w:r>
        <w:rPr>
          <w:rFonts w:cs="Arial"/>
        </w:rPr>
        <w:t>Conclusion</w:t>
      </w:r>
    </w:p>
    <w:p w14:paraId="02278556" w14:textId="7700FF54" w:rsidR="00A749CF" w:rsidRDefault="004608AE" w:rsidP="00A749CF">
      <w:pPr>
        <w:rPr>
          <w:lang w:val="en-GB" w:eastAsia="en-US"/>
        </w:rPr>
      </w:pPr>
      <w:bookmarkStart w:id="4" w:name="_Ref473660868"/>
      <w:bookmarkStart w:id="5" w:name="_Ref473660708"/>
      <w:bookmarkStart w:id="6" w:name="OLE_LINK6"/>
      <w:bookmarkStart w:id="7" w:name="OLE_LINK7"/>
      <w:r>
        <w:rPr>
          <w:lang w:val="en-GB" w:eastAsia="en-US"/>
        </w:rPr>
        <w:t>Based on the discussion presented in this paper, the following action is proposed:</w:t>
      </w:r>
    </w:p>
    <w:p w14:paraId="42776984" w14:textId="77777777" w:rsidR="004608AE" w:rsidRPr="004608AE" w:rsidRDefault="004608AE" w:rsidP="00A749CF">
      <w:pPr>
        <w:rPr>
          <w:i/>
          <w:lang w:val="en-GB" w:eastAsia="en-US"/>
        </w:rPr>
      </w:pPr>
      <w:r w:rsidRPr="004608AE">
        <w:rPr>
          <w:b/>
          <w:i/>
          <w:lang w:val="en-GB" w:eastAsia="en-US"/>
        </w:rPr>
        <w:t xml:space="preserve">Proposal 1: </w:t>
      </w:r>
      <w:r w:rsidRPr="004608AE">
        <w:rPr>
          <w:i/>
          <w:lang w:val="en-GB" w:eastAsia="en-US"/>
        </w:rPr>
        <w:t>RAN5 to send an LS to RAN4 stating that the currently proposed baseline system in TR 38.810 is technically feasible and encouraging them to close the remaining open points with the values proposed in this paper to limit the complexity of the TE:</w:t>
      </w:r>
    </w:p>
    <w:p w14:paraId="7C5036CB" w14:textId="00473960" w:rsidR="004608AE" w:rsidRPr="004608AE" w:rsidRDefault="00A36459" w:rsidP="004608AE">
      <w:pPr>
        <w:pStyle w:val="ListParagraph"/>
        <w:numPr>
          <w:ilvl w:val="0"/>
          <w:numId w:val="8"/>
        </w:numPr>
        <w:rPr>
          <w:i/>
          <w:lang w:val="en-GB"/>
        </w:rPr>
      </w:pPr>
      <w:r>
        <w:rPr>
          <w:rFonts w:ascii="Arial" w:hAnsi="Arial" w:cs="Arial"/>
          <w:i/>
          <w:sz w:val="22"/>
          <w:szCs w:val="22"/>
          <w:lang w:val="en-GB"/>
        </w:rPr>
        <w:t xml:space="preserve">Finalize </w:t>
      </w:r>
      <w:r w:rsidR="004608AE" w:rsidRPr="004608AE">
        <w:rPr>
          <w:rFonts w:ascii="Arial" w:hAnsi="Arial" w:cs="Arial"/>
          <w:i/>
          <w:sz w:val="22"/>
          <w:szCs w:val="22"/>
          <w:lang w:val="en-GB"/>
        </w:rPr>
        <w:t>the maximum number of simultaneously active AoA as 2</w:t>
      </w:r>
      <w:r w:rsidR="004608AE" w:rsidRPr="004608AE">
        <w:rPr>
          <w:i/>
          <w:lang w:val="en-GB"/>
        </w:rPr>
        <w:t>.</w:t>
      </w:r>
    </w:p>
    <w:p w14:paraId="0ABE29F3" w14:textId="7A31DCFB" w:rsidR="004608AE" w:rsidRPr="004608AE" w:rsidRDefault="004608AE" w:rsidP="004608AE">
      <w:pPr>
        <w:pStyle w:val="ListParagraph"/>
        <w:numPr>
          <w:ilvl w:val="0"/>
          <w:numId w:val="8"/>
        </w:numPr>
        <w:rPr>
          <w:i/>
          <w:lang w:val="en-GB"/>
        </w:rPr>
      </w:pPr>
      <w:r w:rsidRPr="004608AE">
        <w:rPr>
          <w:rFonts w:ascii="Arial" w:hAnsi="Arial" w:cs="Arial"/>
          <w:i/>
          <w:sz w:val="22"/>
          <w:szCs w:val="22"/>
          <w:lang w:val="en-GB"/>
        </w:rPr>
        <w:t>Consider removing 180° from the list of angular relationships to support.</w:t>
      </w:r>
    </w:p>
    <w:p w14:paraId="40F02D92" w14:textId="03B6182B" w:rsidR="00A36459" w:rsidRDefault="00A36459" w:rsidP="004608AE">
      <w:pPr>
        <w:rPr>
          <w:i/>
          <w:lang w:val="en-GB" w:eastAsia="en-US"/>
        </w:rPr>
      </w:pPr>
      <w:r>
        <w:rPr>
          <w:b/>
          <w:i/>
          <w:lang w:val="en-GB" w:eastAsia="en-US"/>
        </w:rPr>
        <w:t>Proposal 2</w:t>
      </w:r>
      <w:r w:rsidRPr="004608AE">
        <w:rPr>
          <w:b/>
          <w:i/>
          <w:lang w:val="en-GB" w:eastAsia="en-US"/>
        </w:rPr>
        <w:t xml:space="preserve">: </w:t>
      </w:r>
      <w:r w:rsidR="004608AE" w:rsidRPr="004608AE">
        <w:rPr>
          <w:i/>
          <w:lang w:val="en-GB" w:eastAsia="en-US"/>
        </w:rPr>
        <w:t xml:space="preserve">The LS should also point out that </w:t>
      </w:r>
      <w:r w:rsidR="00613FDF">
        <w:rPr>
          <w:i/>
          <w:lang w:val="en-GB" w:eastAsia="en-US"/>
        </w:rPr>
        <w:t xml:space="preserve">from RAN5 perspective </w:t>
      </w:r>
      <w:r w:rsidR="004608AE" w:rsidRPr="004608AE">
        <w:rPr>
          <w:i/>
          <w:lang w:val="en-GB" w:eastAsia="en-US"/>
        </w:rPr>
        <w:t>it would be very beneficial if</w:t>
      </w:r>
      <w:r>
        <w:rPr>
          <w:i/>
          <w:lang w:val="en-GB" w:eastAsia="en-US"/>
        </w:rPr>
        <w:t>:</w:t>
      </w:r>
    </w:p>
    <w:p w14:paraId="65F781AB" w14:textId="7356ABE2" w:rsidR="004608AE" w:rsidRDefault="00A36459" w:rsidP="00A36459">
      <w:pPr>
        <w:pStyle w:val="ListParagraph"/>
        <w:numPr>
          <w:ilvl w:val="0"/>
          <w:numId w:val="9"/>
        </w:numPr>
        <w:rPr>
          <w:i/>
          <w:lang w:val="en-GB"/>
        </w:rPr>
      </w:pPr>
      <w:r>
        <w:rPr>
          <w:rFonts w:ascii="Arial" w:hAnsi="Arial" w:cs="Arial"/>
          <w:i/>
          <w:sz w:val="22"/>
          <w:szCs w:val="22"/>
          <w:lang w:val="en-GB"/>
        </w:rPr>
        <w:t>It is ensured that t</w:t>
      </w:r>
      <w:r w:rsidR="004608AE" w:rsidRPr="00A36459">
        <w:rPr>
          <w:rFonts w:ascii="Arial" w:hAnsi="Arial" w:cs="Arial"/>
          <w:i/>
          <w:sz w:val="22"/>
          <w:szCs w:val="22"/>
          <w:lang w:val="en-GB"/>
        </w:rPr>
        <w:t>he actual test</w:t>
      </w:r>
      <w:r w:rsidR="004608AE" w:rsidRPr="00A36459">
        <w:rPr>
          <w:i/>
          <w:lang w:val="en-GB"/>
        </w:rPr>
        <w:t xml:space="preserve"> </w:t>
      </w:r>
      <w:r w:rsidR="004608AE" w:rsidRPr="00A36459">
        <w:rPr>
          <w:rFonts w:ascii="Arial" w:hAnsi="Arial" w:cs="Arial"/>
          <w:i/>
          <w:sz w:val="22"/>
          <w:szCs w:val="22"/>
          <w:lang w:val="en-GB"/>
        </w:rPr>
        <w:t xml:space="preserve">requirements </w:t>
      </w:r>
      <w:r>
        <w:rPr>
          <w:rFonts w:ascii="Arial" w:hAnsi="Arial" w:cs="Arial"/>
          <w:i/>
          <w:sz w:val="22"/>
          <w:szCs w:val="22"/>
          <w:lang w:val="en-GB"/>
        </w:rPr>
        <w:t xml:space="preserve">are testable </w:t>
      </w:r>
      <w:r w:rsidR="004608AE" w:rsidRPr="00A36459">
        <w:rPr>
          <w:rFonts w:ascii="Arial" w:hAnsi="Arial" w:cs="Arial"/>
          <w:i/>
          <w:sz w:val="22"/>
          <w:szCs w:val="22"/>
          <w:lang w:val="en-GB"/>
        </w:rPr>
        <w:t xml:space="preserve">with the </w:t>
      </w:r>
      <w:r>
        <w:rPr>
          <w:rFonts w:ascii="Arial" w:hAnsi="Arial" w:cs="Arial"/>
          <w:i/>
          <w:sz w:val="22"/>
          <w:szCs w:val="22"/>
          <w:lang w:val="en-GB"/>
        </w:rPr>
        <w:t>capabilities of</w:t>
      </w:r>
      <w:r w:rsidR="004608AE" w:rsidRPr="00A36459">
        <w:rPr>
          <w:rFonts w:ascii="Arial" w:hAnsi="Arial" w:cs="Arial"/>
          <w:i/>
          <w:sz w:val="22"/>
          <w:szCs w:val="22"/>
          <w:lang w:val="en-GB"/>
        </w:rPr>
        <w:t xml:space="preserve"> the baseline system</w:t>
      </w:r>
      <w:r w:rsidR="004608AE" w:rsidRPr="00A36459">
        <w:rPr>
          <w:i/>
          <w:lang w:val="en-GB"/>
        </w:rPr>
        <w:t>.</w:t>
      </w:r>
    </w:p>
    <w:p w14:paraId="7E34AC3D" w14:textId="0EB0744D" w:rsidR="00A36459" w:rsidRPr="00A36459" w:rsidRDefault="00A36459" w:rsidP="00A36459">
      <w:pPr>
        <w:pStyle w:val="ListParagraph"/>
        <w:numPr>
          <w:ilvl w:val="0"/>
          <w:numId w:val="9"/>
        </w:numPr>
        <w:rPr>
          <w:rFonts w:ascii="Arial" w:hAnsi="Arial" w:cs="Arial"/>
          <w:i/>
          <w:sz w:val="22"/>
          <w:szCs w:val="22"/>
          <w:lang w:val="en-GB"/>
        </w:rPr>
      </w:pPr>
      <w:r>
        <w:rPr>
          <w:rFonts w:ascii="Arial" w:hAnsi="Arial" w:cs="Arial"/>
          <w:i/>
          <w:sz w:val="22"/>
          <w:szCs w:val="22"/>
          <w:lang w:val="en-GB"/>
        </w:rPr>
        <w:t>Combined complexity is avoided</w:t>
      </w:r>
      <w:r w:rsidR="00613FDF">
        <w:rPr>
          <w:i/>
          <w:lang w:val="en-GB"/>
        </w:rPr>
        <w:t xml:space="preserve">: </w:t>
      </w:r>
      <w:r w:rsidR="00613FDF">
        <w:rPr>
          <w:rFonts w:ascii="Arial" w:hAnsi="Arial" w:cs="Arial"/>
          <w:i/>
          <w:sz w:val="22"/>
          <w:szCs w:val="22"/>
          <w:lang w:val="en-GB"/>
        </w:rPr>
        <w:t>e.g.</w:t>
      </w:r>
      <w:r>
        <w:rPr>
          <w:i/>
          <w:lang w:val="en-GB"/>
        </w:rPr>
        <w:t xml:space="preserve"> </w:t>
      </w:r>
      <w:r w:rsidR="00613FDF" w:rsidRPr="00613FDF">
        <w:rPr>
          <w:rFonts w:ascii="Arial" w:hAnsi="Arial" w:cs="Arial"/>
          <w:i/>
          <w:sz w:val="22"/>
          <w:szCs w:val="22"/>
          <w:lang w:val="en-GB"/>
        </w:rPr>
        <w:t>f</w:t>
      </w:r>
      <w:r w:rsidRPr="00A36459">
        <w:rPr>
          <w:rFonts w:ascii="Arial" w:hAnsi="Arial" w:cs="Arial"/>
          <w:i/>
          <w:sz w:val="22"/>
          <w:szCs w:val="22"/>
          <w:lang w:val="en-GB"/>
        </w:rPr>
        <w:t xml:space="preserve">or the scenario with 2 </w:t>
      </w:r>
      <w:proofErr w:type="spellStart"/>
      <w:r w:rsidRPr="00A36459">
        <w:rPr>
          <w:rFonts w:ascii="Arial" w:hAnsi="Arial" w:cs="Arial"/>
          <w:i/>
          <w:sz w:val="22"/>
          <w:szCs w:val="22"/>
          <w:lang w:val="en-GB"/>
        </w:rPr>
        <w:t>TRxP</w:t>
      </w:r>
      <w:proofErr w:type="spellEnd"/>
      <w:r w:rsidRPr="00A36459">
        <w:rPr>
          <w:rFonts w:ascii="Arial" w:hAnsi="Arial" w:cs="Arial"/>
          <w:i/>
          <w:sz w:val="22"/>
          <w:szCs w:val="22"/>
          <w:lang w:val="en-GB"/>
        </w:rPr>
        <w:t xml:space="preserve">, consider not </w:t>
      </w:r>
      <w:r>
        <w:rPr>
          <w:rFonts w:ascii="Arial" w:hAnsi="Arial" w:cs="Arial"/>
          <w:i/>
          <w:sz w:val="22"/>
          <w:szCs w:val="22"/>
          <w:lang w:val="en-GB"/>
        </w:rPr>
        <w:t>adding additional complexity (e.g. MIMO, fading, etc</w:t>
      </w:r>
      <w:r w:rsidR="00613FDF">
        <w:rPr>
          <w:rFonts w:ascii="Arial" w:hAnsi="Arial" w:cs="Arial"/>
          <w:i/>
          <w:sz w:val="22"/>
          <w:szCs w:val="22"/>
          <w:lang w:val="en-GB"/>
        </w:rPr>
        <w:t>.</w:t>
      </w:r>
      <w:r>
        <w:rPr>
          <w:rFonts w:ascii="Arial" w:hAnsi="Arial" w:cs="Arial"/>
          <w:i/>
          <w:sz w:val="22"/>
          <w:szCs w:val="22"/>
          <w:lang w:val="en-GB"/>
        </w:rPr>
        <w:t>) if not strictly necessary</w:t>
      </w:r>
      <w:r w:rsidRPr="00A36459">
        <w:rPr>
          <w:rFonts w:ascii="Arial" w:hAnsi="Arial" w:cs="Arial"/>
          <w:i/>
          <w:sz w:val="22"/>
          <w:szCs w:val="22"/>
          <w:lang w:val="en-GB"/>
        </w:rPr>
        <w:t>.</w:t>
      </w:r>
    </w:p>
    <w:p w14:paraId="1559997D" w14:textId="01C347E3" w:rsidR="00030A7F" w:rsidRPr="00936FA1" w:rsidRDefault="00030A7F" w:rsidP="00030A7F">
      <w:pPr>
        <w:pStyle w:val="Heading1"/>
        <w:numPr>
          <w:ilvl w:val="0"/>
          <w:numId w:val="0"/>
        </w:numPr>
        <w:ind w:left="432" w:hanging="432"/>
        <w:rPr>
          <w:rFonts w:cs="Arial"/>
        </w:rPr>
      </w:pPr>
      <w:r w:rsidRPr="00936FA1">
        <w:rPr>
          <w:rFonts w:cs="Arial"/>
        </w:rPr>
        <w:t>References</w:t>
      </w:r>
    </w:p>
    <w:p w14:paraId="296212CC" w14:textId="5C18EE66" w:rsidR="008D552A" w:rsidRDefault="00CA1882" w:rsidP="004608AE">
      <w:pPr>
        <w:pStyle w:val="ListParagraph"/>
        <w:numPr>
          <w:ilvl w:val="0"/>
          <w:numId w:val="4"/>
        </w:numPr>
        <w:spacing w:after="0" w:line="240" w:lineRule="auto"/>
        <w:rPr>
          <w:lang w:val="en-GB"/>
        </w:rPr>
      </w:pPr>
      <w:r>
        <w:rPr>
          <w:lang w:val="en-GB"/>
        </w:rPr>
        <w:t>R</w:t>
      </w:r>
      <w:r w:rsidR="006133C6">
        <w:rPr>
          <w:lang w:val="en-GB"/>
        </w:rPr>
        <w:t>P</w:t>
      </w:r>
      <w:r>
        <w:rPr>
          <w:lang w:val="en-GB"/>
        </w:rPr>
        <w:t>-18</w:t>
      </w:r>
      <w:r w:rsidR="006133C6">
        <w:rPr>
          <w:lang w:val="en-GB"/>
        </w:rPr>
        <w:t>0181: 3GPP TR 38.810 v2.0.0</w:t>
      </w:r>
      <w:r>
        <w:rPr>
          <w:lang w:val="en-GB"/>
        </w:rPr>
        <w:t>.</w:t>
      </w:r>
    </w:p>
    <w:p w14:paraId="11474743" w14:textId="4B6B983A" w:rsidR="006416C1" w:rsidRDefault="00F1205B" w:rsidP="004608AE">
      <w:pPr>
        <w:pStyle w:val="ListParagraph"/>
        <w:numPr>
          <w:ilvl w:val="0"/>
          <w:numId w:val="4"/>
        </w:numPr>
        <w:spacing w:after="0" w:line="240" w:lineRule="auto"/>
        <w:rPr>
          <w:lang w:val="en-GB"/>
        </w:rPr>
      </w:pPr>
      <w:r>
        <w:rPr>
          <w:lang w:val="en-GB"/>
        </w:rPr>
        <w:t>R5-18</w:t>
      </w:r>
      <w:r w:rsidR="00FC22F5">
        <w:rPr>
          <w:lang w:val="en-GB"/>
        </w:rPr>
        <w:t>1778</w:t>
      </w:r>
      <w:r>
        <w:rPr>
          <w:lang w:val="en-GB"/>
        </w:rPr>
        <w:t>: Analysis of potential RRM 5G NR Test Scenarios for FR2</w:t>
      </w:r>
      <w:bookmarkEnd w:id="4"/>
      <w:bookmarkEnd w:id="5"/>
      <w:bookmarkEnd w:id="6"/>
      <w:bookmarkEnd w:id="7"/>
      <w:r w:rsidR="002E36B2">
        <w:rPr>
          <w:lang w:val="en-GB"/>
        </w:rPr>
        <w:t xml:space="preserve">, RAN5 #2 5G NR </w:t>
      </w:r>
      <w:proofErr w:type="spellStart"/>
      <w:r w:rsidR="002E36B2">
        <w:rPr>
          <w:lang w:val="en-GB"/>
        </w:rPr>
        <w:t>Adhoc</w:t>
      </w:r>
      <w:bookmarkStart w:id="8" w:name="_GoBack"/>
      <w:bookmarkEnd w:id="8"/>
      <w:proofErr w:type="spellEnd"/>
    </w:p>
    <w:sectPr w:rsidR="006416C1" w:rsidSect="003838EA">
      <w:footerReference w:type="default" r:id="rId9"/>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D4E19" w14:textId="77777777" w:rsidR="0001730A" w:rsidRDefault="0001730A" w:rsidP="00371D7D">
      <w:r>
        <w:separator/>
      </w:r>
    </w:p>
  </w:endnote>
  <w:endnote w:type="continuationSeparator" w:id="0">
    <w:p w14:paraId="2EE0E061" w14:textId="77777777" w:rsidR="0001730A" w:rsidRDefault="0001730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A335B10"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613FDF">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0E70D" w14:textId="77777777" w:rsidR="0001730A" w:rsidRDefault="0001730A" w:rsidP="00371D7D">
      <w:r>
        <w:separator/>
      </w:r>
    </w:p>
  </w:footnote>
  <w:footnote w:type="continuationSeparator" w:id="0">
    <w:p w14:paraId="1FE08BEC" w14:textId="77777777" w:rsidR="0001730A" w:rsidRDefault="0001730A"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327"/>
    <w:multiLevelType w:val="hybridMultilevel"/>
    <w:tmpl w:val="5A96B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756E7"/>
    <w:multiLevelType w:val="hybridMultilevel"/>
    <w:tmpl w:val="C2E691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71E61"/>
    <w:multiLevelType w:val="hybridMultilevel"/>
    <w:tmpl w:val="560C8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04408"/>
    <w:multiLevelType w:val="hybridMultilevel"/>
    <w:tmpl w:val="5C3ABA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7" w15:restartNumberingAfterBreak="0">
    <w:nsid w:val="53DA0F60"/>
    <w:multiLevelType w:val="hybridMultilevel"/>
    <w:tmpl w:val="F63286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6"/>
  </w:num>
  <w:num w:numId="2">
    <w:abstractNumId w:val="8"/>
  </w:num>
  <w:num w:numId="3">
    <w:abstractNumId w:val="4"/>
  </w:num>
  <w:num w:numId="4">
    <w:abstractNumId w:val="5"/>
  </w:num>
  <w:num w:numId="5">
    <w:abstractNumId w:val="2"/>
  </w:num>
  <w:num w:numId="6">
    <w:abstractNumId w:val="0"/>
  </w:num>
  <w:num w:numId="7">
    <w:abstractNumId w:val="1"/>
  </w:num>
  <w:num w:numId="8">
    <w:abstractNumId w:val="7"/>
  </w:num>
  <w:num w:numId="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0F354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3745"/>
    <w:rsid w:val="00126CE6"/>
    <w:rsid w:val="00132BDD"/>
    <w:rsid w:val="001339FF"/>
    <w:rsid w:val="001378A7"/>
    <w:rsid w:val="0015068F"/>
    <w:rsid w:val="001530C0"/>
    <w:rsid w:val="00153604"/>
    <w:rsid w:val="001553DE"/>
    <w:rsid w:val="0015692F"/>
    <w:rsid w:val="0016379A"/>
    <w:rsid w:val="00164040"/>
    <w:rsid w:val="001660C2"/>
    <w:rsid w:val="00167CAD"/>
    <w:rsid w:val="00167FB4"/>
    <w:rsid w:val="0017275D"/>
    <w:rsid w:val="00172D17"/>
    <w:rsid w:val="001747B0"/>
    <w:rsid w:val="00174ED5"/>
    <w:rsid w:val="00176658"/>
    <w:rsid w:val="00176791"/>
    <w:rsid w:val="00180494"/>
    <w:rsid w:val="001810A2"/>
    <w:rsid w:val="00184003"/>
    <w:rsid w:val="00193A32"/>
    <w:rsid w:val="001A042A"/>
    <w:rsid w:val="001A07A7"/>
    <w:rsid w:val="001A2E0D"/>
    <w:rsid w:val="001B0670"/>
    <w:rsid w:val="001B0742"/>
    <w:rsid w:val="001B137F"/>
    <w:rsid w:val="001B1908"/>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6B2"/>
    <w:rsid w:val="002E3CF0"/>
    <w:rsid w:val="002E434E"/>
    <w:rsid w:val="002E543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61F"/>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26ADB"/>
    <w:rsid w:val="0043036D"/>
    <w:rsid w:val="004324FB"/>
    <w:rsid w:val="004325A5"/>
    <w:rsid w:val="004340EB"/>
    <w:rsid w:val="00434839"/>
    <w:rsid w:val="004372AD"/>
    <w:rsid w:val="00442027"/>
    <w:rsid w:val="00445FD4"/>
    <w:rsid w:val="00446661"/>
    <w:rsid w:val="00451093"/>
    <w:rsid w:val="00455988"/>
    <w:rsid w:val="00457548"/>
    <w:rsid w:val="00457EE8"/>
    <w:rsid w:val="00460804"/>
    <w:rsid w:val="004608AE"/>
    <w:rsid w:val="004614C5"/>
    <w:rsid w:val="0046181B"/>
    <w:rsid w:val="0046280F"/>
    <w:rsid w:val="004641CE"/>
    <w:rsid w:val="00465DA7"/>
    <w:rsid w:val="0046755F"/>
    <w:rsid w:val="00470182"/>
    <w:rsid w:val="00470A10"/>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3A8E"/>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33C6"/>
    <w:rsid w:val="00613FDF"/>
    <w:rsid w:val="006141B4"/>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6C1"/>
    <w:rsid w:val="00641EC6"/>
    <w:rsid w:val="00645237"/>
    <w:rsid w:val="006466C9"/>
    <w:rsid w:val="00654178"/>
    <w:rsid w:val="0066196E"/>
    <w:rsid w:val="00664F1A"/>
    <w:rsid w:val="00667A9C"/>
    <w:rsid w:val="006725B6"/>
    <w:rsid w:val="00674D96"/>
    <w:rsid w:val="00675624"/>
    <w:rsid w:val="00676F5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211B6"/>
    <w:rsid w:val="008222DF"/>
    <w:rsid w:val="00825E45"/>
    <w:rsid w:val="00831E58"/>
    <w:rsid w:val="0083554F"/>
    <w:rsid w:val="00836315"/>
    <w:rsid w:val="00837DB8"/>
    <w:rsid w:val="00844428"/>
    <w:rsid w:val="00846CBA"/>
    <w:rsid w:val="008472A6"/>
    <w:rsid w:val="008537A8"/>
    <w:rsid w:val="00861EA4"/>
    <w:rsid w:val="00862AFA"/>
    <w:rsid w:val="0086305C"/>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2E59"/>
    <w:rsid w:val="0096527D"/>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C"/>
    <w:rsid w:val="009C5C15"/>
    <w:rsid w:val="009C6FFB"/>
    <w:rsid w:val="009D35E8"/>
    <w:rsid w:val="009D52EB"/>
    <w:rsid w:val="009D580B"/>
    <w:rsid w:val="009D5AB6"/>
    <w:rsid w:val="009D713C"/>
    <w:rsid w:val="009D7EBE"/>
    <w:rsid w:val="009E49C0"/>
    <w:rsid w:val="009E4CBE"/>
    <w:rsid w:val="009E4DFF"/>
    <w:rsid w:val="009E4FE7"/>
    <w:rsid w:val="009E6538"/>
    <w:rsid w:val="009E77AD"/>
    <w:rsid w:val="009F0573"/>
    <w:rsid w:val="009F0831"/>
    <w:rsid w:val="009F0941"/>
    <w:rsid w:val="009F116B"/>
    <w:rsid w:val="009F1522"/>
    <w:rsid w:val="009F1E5D"/>
    <w:rsid w:val="009F31B9"/>
    <w:rsid w:val="009F71B3"/>
    <w:rsid w:val="00A00598"/>
    <w:rsid w:val="00A01054"/>
    <w:rsid w:val="00A02E39"/>
    <w:rsid w:val="00A04379"/>
    <w:rsid w:val="00A04558"/>
    <w:rsid w:val="00A04F9C"/>
    <w:rsid w:val="00A0759F"/>
    <w:rsid w:val="00A130E4"/>
    <w:rsid w:val="00A14EBC"/>
    <w:rsid w:val="00A15983"/>
    <w:rsid w:val="00A24150"/>
    <w:rsid w:val="00A314C8"/>
    <w:rsid w:val="00A32070"/>
    <w:rsid w:val="00A33D3A"/>
    <w:rsid w:val="00A353DC"/>
    <w:rsid w:val="00A36459"/>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3CCC"/>
    <w:rsid w:val="00A749CF"/>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1D17"/>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0942"/>
    <w:rsid w:val="00B413A7"/>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0F1"/>
    <w:rsid w:val="00B81E4C"/>
    <w:rsid w:val="00B81FC7"/>
    <w:rsid w:val="00B8385A"/>
    <w:rsid w:val="00B838DA"/>
    <w:rsid w:val="00B846F3"/>
    <w:rsid w:val="00B92991"/>
    <w:rsid w:val="00B92F4B"/>
    <w:rsid w:val="00B96064"/>
    <w:rsid w:val="00B9652A"/>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BC9"/>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3E9A"/>
    <w:rsid w:val="00C665B6"/>
    <w:rsid w:val="00C66AEC"/>
    <w:rsid w:val="00C67824"/>
    <w:rsid w:val="00C70448"/>
    <w:rsid w:val="00C72138"/>
    <w:rsid w:val="00C72DE3"/>
    <w:rsid w:val="00C75C55"/>
    <w:rsid w:val="00C76401"/>
    <w:rsid w:val="00C7683E"/>
    <w:rsid w:val="00C77B2F"/>
    <w:rsid w:val="00C802EE"/>
    <w:rsid w:val="00C8107C"/>
    <w:rsid w:val="00C829FB"/>
    <w:rsid w:val="00C8381D"/>
    <w:rsid w:val="00C83A62"/>
    <w:rsid w:val="00C85E97"/>
    <w:rsid w:val="00C94068"/>
    <w:rsid w:val="00C97B69"/>
    <w:rsid w:val="00CA1045"/>
    <w:rsid w:val="00CA1882"/>
    <w:rsid w:val="00CA2954"/>
    <w:rsid w:val="00CA419D"/>
    <w:rsid w:val="00CA4CB3"/>
    <w:rsid w:val="00CA5316"/>
    <w:rsid w:val="00CB0D44"/>
    <w:rsid w:val="00CB415C"/>
    <w:rsid w:val="00CB63DF"/>
    <w:rsid w:val="00CB6C80"/>
    <w:rsid w:val="00CC40C2"/>
    <w:rsid w:val="00CC6B35"/>
    <w:rsid w:val="00CC6DB6"/>
    <w:rsid w:val="00CD04C0"/>
    <w:rsid w:val="00CD1034"/>
    <w:rsid w:val="00CD46C7"/>
    <w:rsid w:val="00CD6B1A"/>
    <w:rsid w:val="00CD771E"/>
    <w:rsid w:val="00CE0D0F"/>
    <w:rsid w:val="00CE2567"/>
    <w:rsid w:val="00CE6A12"/>
    <w:rsid w:val="00CE7B33"/>
    <w:rsid w:val="00CF23C9"/>
    <w:rsid w:val="00CF3ECE"/>
    <w:rsid w:val="00CF41D2"/>
    <w:rsid w:val="00D0035A"/>
    <w:rsid w:val="00D00B3C"/>
    <w:rsid w:val="00D04143"/>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2DB"/>
    <w:rsid w:val="00D4043B"/>
    <w:rsid w:val="00D424E3"/>
    <w:rsid w:val="00D42662"/>
    <w:rsid w:val="00D42AF3"/>
    <w:rsid w:val="00D512B6"/>
    <w:rsid w:val="00D52C2F"/>
    <w:rsid w:val="00D60B40"/>
    <w:rsid w:val="00D61671"/>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97F3E"/>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33CF"/>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05B"/>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2F5"/>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 w:type="paragraph" w:customStyle="1" w:styleId="B1">
    <w:name w:val="B1"/>
    <w:basedOn w:val="List"/>
    <w:link w:val="B1Char"/>
    <w:rsid w:val="006133C6"/>
    <w:pPr>
      <w:spacing w:after="180" w:line="240" w:lineRule="auto"/>
      <w:ind w:left="568" w:hanging="284"/>
      <w:contextualSpacing w:val="0"/>
    </w:pPr>
    <w:rPr>
      <w:rFonts w:ascii="Times New Roman" w:eastAsia="Malgun Gothic" w:hAnsi="Times New Roman" w:cs="Times New Roman"/>
      <w:sz w:val="20"/>
      <w:szCs w:val="20"/>
      <w:lang w:val="en-GB" w:eastAsia="x-none"/>
    </w:rPr>
  </w:style>
  <w:style w:type="paragraph" w:customStyle="1" w:styleId="B2">
    <w:name w:val="B2"/>
    <w:basedOn w:val="List2"/>
    <w:rsid w:val="006133C6"/>
    <w:pPr>
      <w:spacing w:after="180" w:line="240" w:lineRule="auto"/>
      <w:ind w:left="851" w:hanging="284"/>
      <w:contextualSpacing w:val="0"/>
    </w:pPr>
    <w:rPr>
      <w:rFonts w:ascii="Times New Roman" w:eastAsia="Malgun Gothic" w:hAnsi="Times New Roman" w:cs="Times New Roman"/>
      <w:sz w:val="20"/>
      <w:szCs w:val="20"/>
      <w:lang w:val="en-GB" w:eastAsia="en-US"/>
    </w:rPr>
  </w:style>
  <w:style w:type="paragraph" w:customStyle="1" w:styleId="B3">
    <w:name w:val="B3"/>
    <w:basedOn w:val="List3"/>
    <w:rsid w:val="006133C6"/>
    <w:pPr>
      <w:spacing w:after="180" w:line="240" w:lineRule="auto"/>
      <w:ind w:left="1135" w:hanging="284"/>
      <w:contextualSpacing w:val="0"/>
    </w:pPr>
    <w:rPr>
      <w:rFonts w:ascii="Times New Roman" w:eastAsia="Malgun Gothic" w:hAnsi="Times New Roman" w:cs="Times New Roman"/>
      <w:sz w:val="20"/>
      <w:szCs w:val="20"/>
      <w:lang w:val="en-GB" w:eastAsia="en-US"/>
    </w:rPr>
  </w:style>
  <w:style w:type="character" w:customStyle="1" w:styleId="B1Char">
    <w:name w:val="B1 Char"/>
    <w:link w:val="B1"/>
    <w:rsid w:val="006133C6"/>
    <w:rPr>
      <w:rFonts w:ascii="Times New Roman" w:eastAsia="Malgun Gothic" w:hAnsi="Times New Roman"/>
      <w:lang w:val="en-GB" w:eastAsia="x-none"/>
    </w:rPr>
  </w:style>
  <w:style w:type="paragraph" w:styleId="List">
    <w:name w:val="List"/>
    <w:basedOn w:val="Normal"/>
    <w:uiPriority w:val="99"/>
    <w:semiHidden/>
    <w:unhideWhenUsed/>
    <w:rsid w:val="006133C6"/>
    <w:pPr>
      <w:ind w:left="283" w:hanging="283"/>
      <w:contextualSpacing/>
    </w:pPr>
  </w:style>
  <w:style w:type="paragraph" w:styleId="List2">
    <w:name w:val="List 2"/>
    <w:basedOn w:val="Normal"/>
    <w:uiPriority w:val="99"/>
    <w:semiHidden/>
    <w:unhideWhenUsed/>
    <w:rsid w:val="006133C6"/>
    <w:pPr>
      <w:ind w:left="566" w:hanging="283"/>
      <w:contextualSpacing/>
    </w:pPr>
  </w:style>
  <w:style w:type="paragraph" w:styleId="List3">
    <w:name w:val="List 3"/>
    <w:basedOn w:val="Normal"/>
    <w:uiPriority w:val="99"/>
    <w:semiHidden/>
    <w:unhideWhenUsed/>
    <w:rsid w:val="006133C6"/>
    <w:pPr>
      <w:ind w:left="849" w:hanging="283"/>
      <w:contextualSpacing/>
    </w:pPr>
  </w:style>
  <w:style w:type="paragraph" w:styleId="Revision">
    <w:name w:val="Revision"/>
    <w:hidden/>
    <w:uiPriority w:val="99"/>
    <w:semiHidden/>
    <w:rsid w:val="00C76401"/>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2050E-CA6C-4744-859A-9C8EB9589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1267</Words>
  <Characters>7225</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8476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7</cp:revision>
  <dcterms:created xsi:type="dcterms:W3CDTF">2018-04-03T14:00:00Z</dcterms:created>
  <dcterms:modified xsi:type="dcterms:W3CDTF">2018-04-04T05:18:00Z</dcterms:modified>
  <cp:category/>
</cp:coreProperties>
</file>