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R5-224258</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38.508-1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2444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Editorial correction to Table 4.3.1.0C-1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Tejet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2022-08-02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Typos need to be corrected in </w:t>
            </w:r>
            <w:r>
              <w:t>Table 4.3.1.0C-1</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In </w:t>
            </w:r>
            <w:r>
              <w:t>Table 4.3.1.0C-1</w:t>
            </w:r>
            <w:r>
              <w:rPr>
                <w:rFonts w:hint="eastAsia" w:eastAsia="宋体"/>
                <w:lang w:val="en-US" w:eastAsia="zh-CN"/>
              </w:rPr>
              <w:t>,</w:t>
            </w:r>
          </w:p>
          <w:p>
            <w:pPr>
              <w:pStyle w:val="81"/>
              <w:spacing w:after="0"/>
              <w:ind w:left="100"/>
              <w:rPr>
                <w:rFonts w:hint="eastAsia" w:eastAsia="宋体"/>
                <w:lang w:val="en-US" w:eastAsia="zh-CN"/>
              </w:rPr>
            </w:pPr>
            <w:r>
              <w:rPr>
                <w:rFonts w:hint="eastAsia" w:eastAsia="宋体"/>
                <w:lang w:val="en-US" w:eastAsia="zh-CN"/>
              </w:rPr>
              <w:t>-Correct high corner mark of n38.</w:t>
            </w:r>
          </w:p>
          <w:p>
            <w:pPr>
              <w:pStyle w:val="81"/>
              <w:spacing w:after="0"/>
              <w:ind w:left="100"/>
              <w:rPr>
                <w:rFonts w:hint="default" w:eastAsia="宋体"/>
                <w:lang w:val="en-US" w:eastAsia="zh-CN"/>
              </w:rPr>
            </w:pPr>
            <w:r>
              <w:rPr>
                <w:rFonts w:hint="eastAsia" w:eastAsia="宋体"/>
                <w:lang w:val="en-US" w:eastAsia="zh-CN"/>
              </w:rPr>
              <w:t>-Fix up format issues for some bands.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User of this spec</w:t>
            </w:r>
            <w:bookmarkStart w:id="21" w:name="_GoBack"/>
            <w:bookmarkEnd w:id="21"/>
            <w:r>
              <w:rPr>
                <w:rFonts w:hint="eastAsia" w:eastAsia="宋体"/>
                <w:lang w:val="en-US" w:eastAsia="zh-CN"/>
              </w:rPr>
              <w:t xml:space="preserve"> might be confused by the incorrect high corner mark of n38.</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t>4.3.1.0C</w:t>
            </w:r>
            <w:r>
              <w:rPr>
                <w:rFonts w:hint="eastAsia" w:eastAsia="宋体"/>
                <w:lang w:val="en-US" w:eastAsia="zh-CN"/>
              </w:rPr>
              <w:t>(</w:t>
            </w:r>
            <w:r>
              <w:t>Table 4.3.1.0C-1</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hint="default" w:eastAsia="宋体"/>
          <w:b/>
          <w:bCs/>
          <w:color w:val="FF0000"/>
          <w:lang w:val="en-US" w:eastAsia="zh-CN"/>
        </w:rPr>
      </w:pPr>
      <w:bookmarkStart w:id="1" w:name="_Toc52447000"/>
      <w:bookmarkStart w:id="2" w:name="_Toc21353555"/>
      <w:bookmarkStart w:id="3" w:name="_Toc36227959"/>
      <w:bookmarkStart w:id="4" w:name="_Toc84849629"/>
      <w:bookmarkStart w:id="5" w:name="_Toc44454512"/>
      <w:bookmarkStart w:id="6" w:name="_Toc52455774"/>
      <w:bookmarkStart w:id="7" w:name="_Toc52457886"/>
      <w:bookmarkStart w:id="8" w:name="_Toc52447121"/>
      <w:bookmarkStart w:id="9" w:name="_Toc52456565"/>
      <w:bookmarkStart w:id="10" w:name="_Toc36228927"/>
      <w:bookmarkStart w:id="11" w:name="_Toc58228813"/>
      <w:bookmarkStart w:id="12" w:name="_Toc52457008"/>
      <w:bookmarkStart w:id="13" w:name="_Toc44454964"/>
      <w:bookmarkStart w:id="14" w:name="_Toc58235297"/>
      <w:bookmarkStart w:id="15" w:name="_Toc27749156"/>
      <w:bookmarkStart w:id="16" w:name="_Toc36228710"/>
      <w:bookmarkStart w:id="17" w:name="_Toc92808356"/>
      <w:bookmarkStart w:id="18" w:name="_Toc52456404"/>
      <w:bookmarkStart w:id="19" w:name="_Toc36228255"/>
      <w:bookmarkStart w:id="20" w:name="_Toc77005725"/>
      <w:r>
        <w:rPr>
          <w:rFonts w:hint="eastAsia" w:eastAsia="宋体"/>
          <w:b/>
          <w:bCs/>
          <w:color w:val="FF0000"/>
          <w:lang w:val="en-US" w:eastAsia="zh-CN"/>
        </w:rPr>
        <w:t>&lt;Start of Changes&gt;</w:t>
      </w:r>
    </w:p>
    <w:p>
      <w:pPr>
        <w:pStyle w:val="5"/>
      </w:pPr>
      <w:r>
        <w:t>4.3.1.0C</w:t>
      </w:r>
      <w:r>
        <w:tab/>
      </w:r>
      <w:r>
        <w:t>High test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
        <w:t>The high test channel bandwidth definition for RF is given in Table 4.3.1.0C-1 and Table 4.3.1.0C-2 for FR1 and FR2 respectively.</w:t>
      </w:r>
    </w:p>
    <w:p>
      <w:pPr>
        <w:pStyle w:val="55"/>
        <w:rPr>
          <w:rFonts w:eastAsia="Yu Mincho"/>
        </w:rPr>
      </w:pPr>
      <w:r>
        <w:rPr>
          <w:rFonts w:eastAsia="Yu Mincho"/>
        </w:rPr>
        <w:t>Table 4.3.1.0C-1: High Test Channel bandwidths for each NR band, FR1</w:t>
      </w:r>
    </w:p>
    <w:tbl>
      <w:tblPr>
        <w:tblStyle w:val="42"/>
        <w:tblW w:w="4527" w:type="pct"/>
        <w:jc w:val="center"/>
        <w:tblLayout w:type="autofit"/>
        <w:tblCellMar>
          <w:top w:w="0" w:type="dxa"/>
          <w:left w:w="108" w:type="dxa"/>
          <w:bottom w:w="0" w:type="dxa"/>
          <w:right w:w="108" w:type="dxa"/>
        </w:tblCellMar>
      </w:tblPr>
      <w:tblGrid>
        <w:gridCol w:w="876"/>
        <w:gridCol w:w="4024"/>
        <w:gridCol w:w="4023"/>
      </w:tblGrid>
      <w:tr>
        <w:tblPrEx>
          <w:tblCellMar>
            <w:top w:w="0" w:type="dxa"/>
            <w:left w:w="108" w:type="dxa"/>
            <w:bottom w:w="0" w:type="dxa"/>
            <w:right w:w="108" w:type="dxa"/>
          </w:tblCellMar>
        </w:tblPrEx>
        <w:trPr>
          <w:trHeight w:val="225" w:hRule="atLeast"/>
          <w:jc w:val="center"/>
        </w:trPr>
        <w:tc>
          <w:tcPr>
            <w:tcW w:w="491" w:type="pct"/>
            <w:tcBorders>
              <w:top w:val="nil"/>
              <w:left w:val="single" w:color="auto" w:sz="8" w:space="0"/>
              <w:bottom w:val="single" w:color="auto" w:sz="4" w:space="0"/>
              <w:right w:val="single" w:color="auto" w:sz="8" w:space="0"/>
            </w:tcBorders>
            <w:vAlign w:val="center"/>
          </w:tcPr>
          <w:p>
            <w:pPr>
              <w:pStyle w:val="51"/>
              <w:rPr>
                <w:rFonts w:eastAsia="Yu Mincho"/>
                <w:color w:val="auto"/>
                <w:lang w:eastAsia="en-US"/>
              </w:rPr>
            </w:pPr>
            <w:r>
              <w:rPr>
                <w:lang w:eastAsia="zh-CN"/>
              </w:rPr>
              <w:t>NR Band</w:t>
            </w:r>
          </w:p>
        </w:tc>
        <w:tc>
          <w:tcPr>
            <w:tcW w:w="2255" w:type="pct"/>
            <w:tcBorders>
              <w:top w:val="single" w:color="auto" w:sz="4" w:space="0"/>
              <w:left w:val="single" w:color="auto" w:sz="8" w:space="0"/>
              <w:bottom w:val="single" w:color="auto" w:sz="4" w:space="0"/>
              <w:right w:val="single" w:color="auto" w:sz="4" w:space="0"/>
            </w:tcBorders>
          </w:tcPr>
          <w:p>
            <w:pPr>
              <w:pStyle w:val="51"/>
              <w:rPr>
                <w:rFonts w:eastAsiaTheme="minorEastAsia"/>
                <w:lang w:eastAsia="zh-CN"/>
              </w:rPr>
            </w:pPr>
            <w:r>
              <w:rPr>
                <w:lang w:eastAsia="zh-CN"/>
              </w:rPr>
              <w:t>UE High Test Channel bandwidth</w:t>
            </w:r>
            <w:r>
              <w:rPr>
                <w:lang w:eastAsia="zh-CN"/>
              </w:rPr>
              <w:br w:type="textWrapping"/>
            </w:r>
            <w:r>
              <w:rPr>
                <w:lang w:eastAsia="zh-CN"/>
              </w:rPr>
              <w:t>[MHz]</w:t>
            </w:r>
            <w:r>
              <w:rPr>
                <w:vertAlign w:val="superscript"/>
                <w:lang w:eastAsia="zh-CN"/>
              </w:rPr>
              <w:t>10, 11, 12</w:t>
            </w:r>
          </w:p>
        </w:tc>
        <w:tc>
          <w:tcPr>
            <w:tcW w:w="2254"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RedCap UE High Test Channel bandwidth</w:t>
            </w:r>
            <w:r>
              <w:rPr>
                <w:lang w:eastAsia="zh-CN"/>
              </w:rPr>
              <w:br w:type="textWrapping"/>
            </w:r>
            <w:r>
              <w:rPr>
                <w:lang w:eastAsia="zh-CN"/>
              </w:rPr>
              <w:t>[MHz]</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en-US"/>
              </w:rPr>
            </w:pPr>
            <w:r>
              <w:rPr>
                <w:rFonts w:eastAsia="Yu Mincho"/>
              </w:rPr>
              <w:t>n1</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n2</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40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n3</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n5</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r>
              <w:rPr>
                <w:rFonts w:eastAsia="Yu Mincho"/>
                <w:vertAlign w:val="superscript"/>
              </w:rPr>
              <w:t>1</w:t>
            </w:r>
            <w:r>
              <w:rPr>
                <w:rFonts w:eastAsia="Yu Mincho"/>
              </w:rPr>
              <w:t>, 25</w:t>
            </w:r>
            <w:r>
              <w:rPr>
                <w:rFonts w:eastAsia="Yu Mincho"/>
                <w:vertAlign w:val="superscript"/>
              </w:rPr>
              <w:t>2</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n7</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n8</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r>
              <w:rPr>
                <w:rFonts w:eastAsia="Yu Mincho"/>
                <w:vertAlign w:val="superscript"/>
              </w:rPr>
              <w:t>1</w:t>
            </w:r>
            <w:r>
              <w:rPr>
                <w:rFonts w:eastAsia="Yu Mincho"/>
              </w:rPr>
              <w:t>, 35</w:t>
            </w:r>
            <w:r>
              <w:rPr>
                <w:rFonts w:eastAsia="Yu Mincho"/>
                <w:vertAlign w:val="superscript"/>
              </w:rPr>
              <w:t>2,10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n12</w:t>
            </w:r>
          </w:p>
        </w:tc>
        <w:tc>
          <w:tcPr>
            <w:tcW w:w="225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c>
          <w:tcPr>
            <w:tcW w:w="2254"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n14</w:t>
            </w:r>
          </w:p>
        </w:tc>
        <w:tc>
          <w:tcPr>
            <w:tcW w:w="225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10</w:t>
            </w:r>
          </w:p>
        </w:tc>
        <w:tc>
          <w:tcPr>
            <w:tcW w:w="225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n20</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n24</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r>
      <w:tr>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n25</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40</w:t>
            </w:r>
            <w:r>
              <w:rPr>
                <w:rFonts w:eastAsia="Yu Mincho"/>
                <w:vertAlign w:val="superscript"/>
              </w:rPr>
              <w:t>1</w:t>
            </w:r>
            <w:del w:id="0" w:author="Tejet" w:date="2022-08-05T17:27:55Z">
              <w:r>
                <w:rPr>
                  <w:rFonts w:eastAsia="Yu Mincho"/>
                  <w:vertAlign w:val="superscript"/>
                </w:rPr>
                <w:delText>.</w:delText>
              </w:r>
            </w:del>
            <w:del w:id="1" w:author="Tejet" w:date="2022-08-05T17:27:54Z">
              <w:r>
                <w:rPr>
                  <w:rFonts w:eastAsia="Yu Mincho"/>
                  <w:vertAlign w:val="superscript"/>
                </w:rPr>
                <w:delText>,</w:delText>
              </w:r>
            </w:del>
            <w:ins w:id="2" w:author="Tejet" w:date="2022-08-05T17:27:49Z">
              <w:r>
                <w:rPr>
                  <w:lang w:eastAsia="zh-CN"/>
                </w:rPr>
                <w:t xml:space="preserve">, </w:t>
              </w:r>
            </w:ins>
            <w:del w:id="3" w:author="Tejet" w:date="2022-08-05T17:27:59Z">
              <w:r>
                <w:rPr>
                  <w:rFonts w:eastAsia="Yu Mincho"/>
                  <w:vertAlign w:val="superscript"/>
                </w:rPr>
                <w:delText xml:space="preserve"> </w:delText>
              </w:r>
            </w:del>
            <w:r>
              <w:rPr>
                <w:rFonts w:eastAsia="Yu Mincho"/>
              </w:rPr>
              <w:t>45</w:t>
            </w:r>
            <w:r>
              <w:rPr>
                <w:rFonts w:eastAsia="Yu Mincho"/>
                <w:vertAlign w:val="superscript"/>
              </w:rPr>
              <w:t>2</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n26</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n28</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30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eastAsia="宋体"/>
                <w:sz w:val="18"/>
                <w:lang w:eastAsia="zh-CN"/>
              </w:rPr>
              <w:t>n29</w:t>
            </w:r>
          </w:p>
        </w:tc>
        <w:tc>
          <w:tcPr>
            <w:tcW w:w="225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eastAsia="宋体"/>
                <w:sz w:val="18"/>
                <w:lang w:eastAsia="zh-CN"/>
              </w:rPr>
              <w:t>10</w:t>
            </w:r>
            <w:r>
              <w:rPr>
                <w:rFonts w:ascii="Arial" w:hAnsi="Arial" w:eastAsia="宋体"/>
                <w:sz w:val="18"/>
                <w:vertAlign w:val="superscript"/>
                <w:lang w:eastAsia="zh-CN"/>
              </w:rPr>
              <w:t>2</w:t>
            </w:r>
          </w:p>
        </w:tc>
        <w:tc>
          <w:tcPr>
            <w:tcW w:w="225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eastAsia="宋体"/>
                <w:sz w:val="18"/>
                <w:lang w:eastAsia="zh-CN"/>
              </w:rPr>
              <w:t>N/A</w:t>
            </w:r>
          </w:p>
        </w:tc>
      </w:tr>
      <w:tr>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eastAsia="宋体"/>
                <w:sz w:val="18"/>
                <w:lang w:eastAsia="zh-CN"/>
              </w:rPr>
              <w:t>n30</w:t>
            </w:r>
          </w:p>
        </w:tc>
        <w:tc>
          <w:tcPr>
            <w:tcW w:w="225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eastAsia="宋体"/>
                <w:sz w:val="18"/>
                <w:lang w:eastAsia="zh-CN"/>
              </w:rPr>
              <w:t>10</w:t>
            </w:r>
          </w:p>
        </w:tc>
        <w:tc>
          <w:tcPr>
            <w:tcW w:w="225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eastAsia="宋体"/>
                <w:sz w:val="18"/>
                <w:lang w:eastAsia="zh-CN"/>
              </w:rPr>
              <w:t>10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n34</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n38</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25, 40</w:t>
            </w:r>
            <w:r>
              <w:rPr>
                <w:vertAlign w:val="superscript"/>
                <w:lang w:eastAsia="zh-CN"/>
              </w:rPr>
              <w:t>13</w:t>
            </w:r>
            <w:del w:id="4" w:author="Tejet" w:date="2022-08-05T17:28:12Z">
              <w:r>
                <w:rPr>
                  <w:vertAlign w:val="superscript"/>
                  <w:lang w:eastAsia="zh-CN"/>
                </w:rPr>
                <w:delText>9</w:delText>
              </w:r>
            </w:del>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n39</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40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n40</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n41</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eastAsia="宋体"/>
                <w:sz w:val="18"/>
                <w:lang w:eastAsia="zh-CN"/>
              </w:rPr>
              <w:t>n48</w:t>
            </w:r>
          </w:p>
        </w:tc>
        <w:tc>
          <w:tcPr>
            <w:tcW w:w="225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eastAsia="宋体"/>
                <w:sz w:val="18"/>
                <w:lang w:eastAsia="zh-CN"/>
              </w:rPr>
              <w:t>40</w:t>
            </w:r>
            <w:r>
              <w:rPr>
                <w:rFonts w:ascii="Arial" w:hAnsi="Arial" w:eastAsia="宋体"/>
                <w:sz w:val="18"/>
                <w:vertAlign w:val="superscript"/>
                <w:lang w:eastAsia="zh-CN"/>
              </w:rPr>
              <w:t>1,3</w:t>
            </w:r>
            <w:r>
              <w:rPr>
                <w:rFonts w:ascii="Arial" w:hAnsi="Arial" w:eastAsia="宋体"/>
                <w:sz w:val="18"/>
                <w:lang w:eastAsia="zh-CN"/>
              </w:rPr>
              <w:t>, 100</w:t>
            </w:r>
            <w:r>
              <w:rPr>
                <w:rFonts w:ascii="Arial" w:hAnsi="Arial" w:eastAsia="宋体"/>
                <w:sz w:val="18"/>
                <w:vertAlign w:val="superscript"/>
                <w:lang w:eastAsia="zh-CN"/>
              </w:rPr>
              <w:t>4</w:t>
            </w:r>
          </w:p>
        </w:tc>
        <w:tc>
          <w:tcPr>
            <w:tcW w:w="225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eastAsia="宋体"/>
                <w:sz w:val="18"/>
                <w:lang w:eastAsia="zh-CN"/>
              </w:rPr>
              <w:t>20</w:t>
            </w:r>
          </w:p>
        </w:tc>
      </w:tr>
      <w:tr>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n50</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60</w:t>
            </w:r>
            <w:r>
              <w:rPr>
                <w:vertAlign w:val="superscript"/>
                <w:lang w:eastAsia="zh-CN"/>
              </w:rPr>
              <w:t>1</w:t>
            </w:r>
            <w:r>
              <w:rPr>
                <w:lang w:eastAsia="zh-CN"/>
              </w:rPr>
              <w:t>, 80</w:t>
            </w:r>
            <w:r>
              <w:rPr>
                <w:vertAlign w:val="superscript"/>
                <w:lang w:eastAsia="zh-CN"/>
              </w:rPr>
              <w:t>2</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n51</w:t>
            </w:r>
          </w:p>
        </w:tc>
        <w:tc>
          <w:tcPr>
            <w:tcW w:w="2255"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5</w:t>
            </w:r>
          </w:p>
        </w:tc>
        <w:tc>
          <w:tcPr>
            <w:tcW w:w="225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eastAsia="Yu Mincho"/>
                <w:sz w:val="18"/>
              </w:rPr>
              <w:t>n53</w:t>
            </w:r>
          </w:p>
        </w:tc>
        <w:tc>
          <w:tcPr>
            <w:tcW w:w="225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eastAsia="Yu Mincho"/>
                <w:sz w:val="18"/>
              </w:rPr>
              <w:t>10</w:t>
            </w:r>
          </w:p>
        </w:tc>
        <w:tc>
          <w:tcPr>
            <w:tcW w:w="225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eastAsia="Yu Mincho"/>
                <w:sz w:val="18"/>
              </w:rPr>
              <w:t>10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eastAsia="宋体"/>
                <w:sz w:val="18"/>
                <w:lang w:eastAsia="zh-CN"/>
              </w:rPr>
              <w:t>n65</w:t>
            </w:r>
          </w:p>
        </w:tc>
        <w:tc>
          <w:tcPr>
            <w:tcW w:w="225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ascii="Arial" w:hAnsi="Arial" w:eastAsia="宋体"/>
                <w:sz w:val="18"/>
                <w:lang w:eastAsia="zh-CN"/>
              </w:rPr>
              <w:t>50</w:t>
            </w:r>
          </w:p>
        </w:tc>
        <w:tc>
          <w:tcPr>
            <w:tcW w:w="225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ascii="Arial" w:hAnsi="Arial" w:eastAsia="宋体"/>
                <w:sz w:val="18"/>
                <w:lang w:eastAsia="zh-CN"/>
              </w:rPr>
              <w:t>20</w:t>
            </w:r>
          </w:p>
        </w:tc>
      </w:tr>
      <w:tr>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n66</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45</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n70</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r>
              <w:rPr>
                <w:rFonts w:eastAsia="Yu Mincho"/>
                <w:vertAlign w:val="superscript"/>
              </w:rPr>
              <w:t>1</w:t>
            </w:r>
            <w:r>
              <w:rPr>
                <w:rFonts w:eastAsia="Yu Mincho"/>
              </w:rPr>
              <w:t>, 25</w:t>
            </w:r>
            <w:r>
              <w:rPr>
                <w:rFonts w:eastAsia="Yu Mincho"/>
                <w:vertAlign w:val="superscript"/>
              </w:rPr>
              <w:t>2</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r>
              <w:rPr>
                <w:rFonts w:eastAsia="Yu Mincho"/>
                <w:vertAlign w:val="superscript"/>
              </w:rPr>
              <w:t>1</w:t>
            </w:r>
            <w:ins w:id="5" w:author="Tejet" w:date="2022-08-05T17:28:24Z">
              <w:r>
                <w:rPr>
                  <w:lang w:eastAsia="zh-CN"/>
                </w:rPr>
                <w:t xml:space="preserve">, </w:t>
              </w:r>
            </w:ins>
            <w:del w:id="6" w:author="Tejet" w:date="2022-08-05T17:28:22Z">
              <w:r>
                <w:rPr>
                  <w:rFonts w:eastAsia="Yu Mincho"/>
                </w:rPr>
                <w:delText>/</w:delText>
              </w:r>
            </w:del>
            <w:r>
              <w:rPr>
                <w:rFonts w:eastAsia="Yu Mincho"/>
              </w:rPr>
              <w:t>20</w:t>
            </w:r>
            <w:r>
              <w:rPr>
                <w:rFonts w:eastAsia="Yu Mincho"/>
                <w:vertAlign w:val="superscript"/>
              </w:rPr>
              <w:t>2</w:t>
            </w:r>
          </w:p>
        </w:tc>
      </w:tr>
      <w:tr>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n71</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r>
              <w:rPr>
                <w:rFonts w:eastAsia="Yu Mincho"/>
                <w:vertAlign w:val="superscript"/>
              </w:rPr>
              <w:t>1</w:t>
            </w:r>
            <w:r>
              <w:rPr>
                <w:rFonts w:eastAsia="Yu Mincho"/>
              </w:rPr>
              <w:t>, 35</w:t>
            </w:r>
            <w:r>
              <w:rPr>
                <w:rFonts w:eastAsia="Yu Mincho"/>
                <w:vertAlign w:val="superscript"/>
              </w:rPr>
              <w:t>2</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n74</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20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n75</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N/A</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n76</w:t>
            </w:r>
          </w:p>
        </w:tc>
        <w:tc>
          <w:tcPr>
            <w:tcW w:w="2255"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5</w:t>
            </w:r>
            <w:r>
              <w:rPr>
                <w:rFonts w:eastAsia="Yu Mincho"/>
                <w:vertAlign w:val="superscript"/>
              </w:rPr>
              <w:t>2</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N/A</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en-US"/>
              </w:rPr>
            </w:pPr>
            <w:r>
              <w:rPr>
                <w:rFonts w:eastAsia="Yu Mincho"/>
              </w:rPr>
              <w:t>n77</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n78</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n79</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n80</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40</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n81</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n82</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n83</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n84</w:t>
            </w:r>
          </w:p>
        </w:tc>
        <w:tc>
          <w:tcPr>
            <w:tcW w:w="225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lang w:eastAsia="zh-CN"/>
              </w:rPr>
              <w:t>n86</w:t>
            </w:r>
          </w:p>
        </w:tc>
        <w:tc>
          <w:tcPr>
            <w:tcW w:w="225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n95</w:t>
            </w:r>
          </w:p>
        </w:tc>
        <w:tc>
          <w:tcPr>
            <w:tcW w:w="2255"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15</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[15]</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lang w:eastAsia="zh-CN"/>
              </w:rPr>
              <w:t>n97</w:t>
            </w:r>
          </w:p>
        </w:tc>
        <w:tc>
          <w:tcPr>
            <w:tcW w:w="225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n99</w:t>
            </w:r>
          </w:p>
        </w:tc>
        <w:tc>
          <w:tcPr>
            <w:tcW w:w="225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r>
              <w:rPr>
                <w:vertAlign w:val="superscript"/>
                <w:lang w:eastAsia="zh-CN"/>
              </w:rPr>
              <w:t>1</w:t>
            </w:r>
          </w:p>
        </w:tc>
        <w:tc>
          <w:tcPr>
            <w:tcW w:w="2254"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r>
      <w:tr>
        <w:tblPrEx>
          <w:tblCellMar>
            <w:top w:w="0" w:type="dxa"/>
            <w:left w:w="108" w:type="dxa"/>
            <w:bottom w:w="0" w:type="dxa"/>
            <w:right w:w="108" w:type="dxa"/>
          </w:tblCellMar>
        </w:tblPrEx>
        <w:trPr>
          <w:trHeight w:val="225"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pStyle w:val="66"/>
              <w:rPr>
                <w:lang w:eastAsia="en-US"/>
              </w:rPr>
            </w:pPr>
            <w:r>
              <w:t>Note 1:</w:t>
            </w:r>
            <w:r>
              <w:tab/>
            </w:r>
            <w:r>
              <w:t>This UE channel bandwidth is applicable only to uplink.</w:t>
            </w:r>
          </w:p>
          <w:p>
            <w:pPr>
              <w:pStyle w:val="66"/>
            </w:pPr>
            <w:r>
              <w:t>Note 2:</w:t>
            </w:r>
            <w:r>
              <w:tab/>
            </w:r>
            <w:r>
              <w:t>This UE channel bandwidth is applicable only to downlink.</w:t>
            </w:r>
          </w:p>
          <w:p>
            <w:pPr>
              <w:pStyle w:val="66"/>
            </w:pPr>
            <w:r>
              <w:t>Note 3:</w:t>
            </w:r>
            <w:r>
              <w:tab/>
            </w:r>
            <w:r>
              <w:t>Applicable for use as single carrier, PCell in CA or PCell in DC configuration.</w:t>
            </w:r>
          </w:p>
          <w:p>
            <w:pPr>
              <w:pStyle w:val="66"/>
            </w:pPr>
            <w:r>
              <w:t>Note 4:</w:t>
            </w:r>
            <w:r>
              <w:tab/>
            </w:r>
            <w:r>
              <w:t>Applicable for use as DL SCell in CA or DL SCell in DC configuration.</w:t>
            </w:r>
          </w:p>
          <w:p>
            <w:pPr>
              <w:pStyle w:val="66"/>
            </w:pPr>
            <w:r>
              <w:t>Note 5:</w:t>
            </w:r>
            <w:r>
              <w:tab/>
            </w:r>
            <w:r>
              <w:t>Void</w:t>
            </w:r>
          </w:p>
          <w:p>
            <w:pPr>
              <w:pStyle w:val="66"/>
            </w:pPr>
            <w:r>
              <w:t>Note 6:</w:t>
            </w:r>
            <w:r>
              <w:tab/>
            </w:r>
            <w:r>
              <w:t>Void</w:t>
            </w:r>
          </w:p>
          <w:p>
            <w:pPr>
              <w:pStyle w:val="66"/>
            </w:pPr>
            <w:r>
              <w:t>Note 7:</w:t>
            </w:r>
            <w:r>
              <w:tab/>
            </w:r>
            <w:r>
              <w:t>Void</w:t>
            </w:r>
          </w:p>
          <w:p>
            <w:pPr>
              <w:pStyle w:val="66"/>
            </w:pPr>
            <w:r>
              <w:t>Note 8:</w:t>
            </w:r>
            <w:r>
              <w:tab/>
            </w:r>
            <w:r>
              <w:t>Void</w:t>
            </w:r>
          </w:p>
          <w:p>
            <w:pPr>
              <w:pStyle w:val="66"/>
            </w:pPr>
            <w:r>
              <w:t>Note 9:</w:t>
            </w:r>
            <w:r>
              <w:tab/>
            </w:r>
            <w:r>
              <w:t>Void</w:t>
            </w:r>
          </w:p>
          <w:p>
            <w:pPr>
              <w:pStyle w:val="66"/>
              <w:jc w:val="both"/>
              <w:rPr>
                <w:lang w:eastAsia="zh-CN"/>
              </w:rPr>
            </w:pPr>
            <w:r>
              <w:t>Note 10:</w:t>
            </w:r>
            <w:r>
              <w:rPr>
                <w:rFonts w:eastAsia="Yu Mincho"/>
              </w:rPr>
              <w:tab/>
            </w:r>
            <w:r>
              <w:rPr>
                <w:lang w:eastAsia="zh-CN"/>
              </w:rPr>
              <w:t xml:space="preserve">Maximum values among all the possible channel BW combinations per band in Table 5.3.5-1 of TS 38.521-1 [14] are listed. </w:t>
            </w:r>
          </w:p>
          <w:p>
            <w:pPr>
              <w:pStyle w:val="66"/>
              <w:ind w:left="870" w:firstLine="0"/>
              <w:jc w:val="both"/>
              <w:rPr>
                <w:lang w:eastAsia="zh-CN"/>
              </w:rPr>
            </w:pPr>
            <w:r>
              <w:rPr>
                <w:lang w:eastAsia="zh-CN"/>
              </w:rPr>
              <w:t xml:space="preserve">In case such bandwidth is not applicable for a given subcarrier spacing, the maximum bandwidth applicable for such subcarrier spacing shall be tested. </w:t>
            </w:r>
          </w:p>
          <w:p>
            <w:pPr>
              <w:pStyle w:val="66"/>
              <w:ind w:left="870" w:firstLine="0"/>
              <w:jc w:val="both"/>
              <w:rPr>
                <w:lang w:eastAsia="zh-CN"/>
              </w:rPr>
            </w:pPr>
            <w:r>
              <w:rPr>
                <w:lang w:eastAsia="zh-CN"/>
              </w:rPr>
              <w:t xml:space="preserve">In case such bandwidth is not defined in the UE release specification according to 38.101-1 [7] Table 5.3.5-1, the maximum bandwidth defined for that band in the UE release specification shall be tested. </w:t>
            </w:r>
          </w:p>
          <w:p>
            <w:pPr>
              <w:pStyle w:val="66"/>
              <w:ind w:left="870" w:firstLine="0"/>
              <w:jc w:val="both"/>
              <w:rPr>
                <w:rFonts w:eastAsia="Yu Mincho"/>
              </w:rPr>
            </w:pPr>
            <w:r>
              <w:rPr>
                <w:lang w:eastAsia="zh-CN"/>
              </w:rPr>
              <w:t>In case such bandwidth is optional in the UE release specification according to 38.101-1 [7] Table 5.3.5-1 and not supported by the UE, the maximum non-optional bandwidth for the UE release specification shall be tested.</w:t>
            </w:r>
          </w:p>
          <w:p>
            <w:pPr>
              <w:pStyle w:val="66"/>
              <w:jc w:val="both"/>
              <w:rPr>
                <w:rFonts w:cs="Arial"/>
              </w:rPr>
            </w:pPr>
            <w:r>
              <w:rPr>
                <w:rFonts w:eastAsia="Yu Mincho"/>
              </w:rPr>
              <w:t>Note 11:</w:t>
            </w:r>
            <w:r>
              <w:rPr>
                <w:rFonts w:eastAsia="Yu Mincho"/>
              </w:rPr>
              <w:tab/>
            </w:r>
            <w:r>
              <w:rPr>
                <w:rFonts w:eastAsia="Yu Mincho"/>
              </w:rPr>
              <w:t>Values listed in this table assume that t</w:t>
            </w:r>
            <w:r>
              <w:rPr>
                <w:rFonts w:cs="Arial"/>
              </w:rPr>
              <w:t xml:space="preserve">he maximum (non-optional) channel bandwidth specified in Table 5.3.5-1 of TS 38.101-1 [7]is mandatory without capability parameter (i.e., purely mandatory) as defined in [55] TS 38.306 clause 4,2,1 for </w:t>
            </w:r>
            <w:r>
              <w:rPr>
                <w:rFonts w:eastAsia="Yu Mincho"/>
                <w:i/>
                <w:iCs/>
              </w:rPr>
              <w:t>supportedBandwidthDL/</w:t>
            </w:r>
            <w:r>
              <w:rPr>
                <w:rFonts w:eastAsia="Yu Mincho"/>
              </w:rPr>
              <w:t xml:space="preserve"> </w:t>
            </w:r>
            <w:r>
              <w:rPr>
                <w:rFonts w:eastAsia="Yu Mincho"/>
                <w:i/>
                <w:iCs/>
              </w:rPr>
              <w:t xml:space="preserve">supportedBandwidthUL </w:t>
            </w:r>
            <w:r>
              <w:rPr>
                <w:rFonts w:eastAsia="Yu Mincho"/>
              </w:rPr>
              <w:t xml:space="preserve">parameters </w:t>
            </w:r>
            <w:r>
              <w:rPr>
                <w:rFonts w:cs="Arial"/>
              </w:rPr>
              <w:t>in a band combination with a single band entry and a single CC entry (i.e., non-CA band combination).</w:t>
            </w:r>
          </w:p>
          <w:p>
            <w:pPr>
              <w:pStyle w:val="66"/>
              <w:jc w:val="both"/>
            </w:pPr>
            <w:r>
              <w:t>Note 12:</w:t>
            </w:r>
            <w:r>
              <w:rPr>
                <w:rFonts w:eastAsia="Yu Mincho"/>
              </w:rPr>
              <w:tab/>
            </w:r>
            <w:r>
              <w:t xml:space="preserve">For CA, DC, SDL and SUL, the High-test channel bandwidth per component carrier is chosen to allow maximum aggregated bandwidth defined for a given bandwidth combination set. </w:t>
            </w:r>
            <w:r>
              <w:rPr>
                <w:rFonts w:eastAsia="Yu Mincho"/>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pPr>
              <w:pStyle w:val="66"/>
              <w:rPr>
                <w:lang w:eastAsia="zh-CN"/>
              </w:rPr>
            </w:pPr>
            <w:r>
              <w:t>Note 13:</w:t>
            </w:r>
            <w:r>
              <w:rPr>
                <w:rFonts w:eastAsia="Yu Mincho"/>
              </w:rPr>
              <w:tab/>
            </w:r>
            <w:r>
              <w:t>These UE channel bandwidths are applicable to sidelink operation</w:t>
            </w:r>
          </w:p>
        </w:tc>
      </w:tr>
    </w:tbl>
    <w:p>
      <w:pPr>
        <w:rPr>
          <w:rFonts w:eastAsia="Yu Mincho"/>
          <w:lang w:eastAsia="en-US"/>
        </w:rPr>
      </w:pPr>
    </w:p>
    <w:p>
      <w:pPr>
        <w:pStyle w:val="56"/>
        <w:rPr>
          <w:rFonts w:eastAsia="Yu Mincho"/>
          <w:highlight w:val="cyan"/>
        </w:rPr>
      </w:pPr>
      <w:r>
        <w:rPr>
          <w:rFonts w:eastAsia="Yu Mincho"/>
        </w:rPr>
        <w:t xml:space="preserve">NOTE 1 (Informative): In case values listed in table above are higher than those signalled by the UE in </w:t>
      </w:r>
      <w:r>
        <w:rPr>
          <w:rFonts w:eastAsia="Yu Mincho"/>
          <w:i/>
          <w:iCs/>
        </w:rPr>
        <w:t>supportedBandwidthDL/supportedBandwidthUL</w:t>
      </w:r>
      <w:r>
        <w:rPr>
          <w:rFonts w:eastAsia="Yu Mincho"/>
        </w:rPr>
        <w:t xml:space="preserve">, some flexibility could be provided to the ecosystem for Rel-15 and Rel-16 so the value signalled by the UE in </w:t>
      </w:r>
      <w:r>
        <w:rPr>
          <w:rFonts w:eastAsia="Yu Mincho"/>
          <w:i/>
          <w:iCs/>
        </w:rPr>
        <w:t>supportedBandwidthDL/supportedBandwidthUL</w:t>
      </w:r>
      <w:r>
        <w:rPr>
          <w:rFonts w:eastAsia="Yu Mincho"/>
        </w:rPr>
        <w:t xml:space="preserve"> is used in single carrier operation instead values described in Table 4.3.1.0C-1.</w:t>
      </w:r>
    </w:p>
    <w:p>
      <w:pPr>
        <w:rPr>
          <w:rFonts w:hint="default" w:eastAsia="宋体"/>
          <w:b/>
          <w:bCs/>
          <w:color w:val="FF0000"/>
          <w:lang w:val="en-US" w:eastAsia="zh-CN"/>
        </w:rPr>
      </w:pPr>
      <w:r>
        <w:rPr>
          <w:rFonts w:hint="eastAsia" w:eastAsia="宋体"/>
          <w:b/>
          <w:bCs/>
          <w:color w:val="FF0000"/>
          <w:lang w:val="en-US" w:eastAsia="zh-CN"/>
        </w:rPr>
        <w:t>&lt;End of Changes&gt;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ejet">
    <w15:presenceInfo w15:providerId="None" w15:userId="Tej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3A3830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unhideWhenUsed="0" w:uiPriority="0" w:name="toc 7"/>
    <w:lsdException w:qFormat="1" w:unhideWhenUsed="0" w:uiPriority="0" w:name="toc 8"/>
    <w:lsdException w:unhideWhenUsed="0" w:uiPriority="0" w:name="toc 9"/>
    <w:lsdException w:uiPriority="0" w:name="Normal Indent"/>
    <w:lsdException w:qFormat="1"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7</TotalTime>
  <ScaleCrop>false</ScaleCrop>
  <LinksUpToDate>false</LinksUpToDate>
  <CharactersWithSpaces>2376</CharactersWithSpaces>
  <Application>WPS Office_11.1.0.11579_F1E327BC-269C-435d-A152-05C5408002CA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Tejet</cp:lastModifiedBy>
  <cp:lastPrinted>2411-12-31T23:00:00Z</cp:lastPrinted>
  <dcterms:modified xsi:type="dcterms:W3CDTF">2022-08-05T09:43:00Z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R5-224258</vt:lpwstr>
  </property>
  <property fmtid="{D5CDD505-2E9C-101B-9397-08002B2CF9AE}" pid="10" name="Spec#">
    <vt:lpwstr>38.508-1</vt:lpwstr>
  </property>
  <property fmtid="{D5CDD505-2E9C-101B-9397-08002B2CF9AE}" pid="11" name="Cr#">
    <vt:lpwstr>2444</vt:lpwstr>
  </property>
  <property fmtid="{D5CDD505-2E9C-101B-9397-08002B2CF9AE}" pid="12" name="Revision">
    <vt:lpwstr>-</vt:lpwstr>
  </property>
  <property fmtid="{D5CDD505-2E9C-101B-9397-08002B2CF9AE}" pid="13" name="Version">
    <vt:lpwstr>17.5.0</vt:lpwstr>
  </property>
  <property fmtid="{D5CDD505-2E9C-101B-9397-08002B2CF9AE}" pid="14" name="CrTitle">
    <vt:lpwstr>Editorial correction to Table 4.3.1.0C-1</vt:lpwstr>
  </property>
  <property fmtid="{D5CDD505-2E9C-101B-9397-08002B2CF9AE}" pid="15" name="SourceIfWg">
    <vt:lpwstr>Tejet</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2022-08-02</vt:lpwstr>
  </property>
  <property fmtid="{D5CDD505-2E9C-101B-9397-08002B2CF9AE}" pid="20" name="Release">
    <vt:lpwstr>Rel-17</vt:lpwstr>
  </property>
  <property fmtid="{D5CDD505-2E9C-101B-9397-08002B2CF9AE}" pid="21" name="KSOProductBuildVer">
    <vt:lpwstr>2052-11.1.0.11579</vt:lpwstr>
  </property>
  <property fmtid="{D5CDD505-2E9C-101B-9397-08002B2CF9AE}" pid="22" name="ICV">
    <vt:lpwstr>8A3B6CBC8D2541C08897734C0B0ADD35</vt:lpwstr>
  </property>
</Properties>
</file>