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10423" w:type="dxa"/>
        <w:tblInd w:w="0" w:type="dxa"/>
        <w:tblLayout w:type="autofit"/>
        <w:tblCellMar>
          <w:top w:w="0" w:type="dxa"/>
          <w:left w:w="108" w:type="dxa"/>
          <w:bottom w:w="0" w:type="dxa"/>
          <w:right w:w="108" w:type="dxa"/>
        </w:tblCellMar>
      </w:tblPr>
      <w:tblGrid>
        <w:gridCol w:w="4883"/>
        <w:gridCol w:w="5540"/>
      </w:tblGrid>
      <w:tr>
        <w:tblPrEx>
          <w:tblCellMar>
            <w:top w:w="0" w:type="dxa"/>
            <w:left w:w="108" w:type="dxa"/>
            <w:bottom w:w="0" w:type="dxa"/>
            <w:right w:w="108" w:type="dxa"/>
          </w:tblCellMar>
        </w:tblPrEx>
        <w:tc>
          <w:tcPr>
            <w:tcW w:w="10423" w:type="dxa"/>
            <w:gridSpan w:val="2"/>
            <w:shd w:val="clear" w:color="auto" w:fill="auto"/>
          </w:tcPr>
          <w:p>
            <w:pPr>
              <w:pStyle w:val="51"/>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 xml:space="preserve">RAN5 PRD </w:t>
            </w:r>
            <w:bookmarkEnd w:id="1"/>
            <w:r>
              <w:rPr>
                <w:sz w:val="64"/>
                <w:lang w:val="sv-SE"/>
              </w:rPr>
              <w:t>2</w:t>
            </w:r>
            <w:r>
              <w:rPr>
                <w:rFonts w:eastAsia="宋体"/>
                <w:sz w:val="64"/>
                <w:lang w:val="sv-SE" w:eastAsia="zh-CN"/>
              </w:rPr>
              <w:t>1</w:t>
            </w:r>
            <w:r>
              <w:rPr>
                <w:sz w:val="64"/>
                <w:lang w:val="sv-SE"/>
              </w:rPr>
              <w:t xml:space="preserve"> </w:t>
            </w:r>
            <w:bookmarkStart w:id="2" w:name="specVersion"/>
            <w:r>
              <w:rPr>
                <w:lang w:val="sv-SE"/>
              </w:rPr>
              <w:t>Draft v</w:t>
            </w:r>
            <w:r>
              <w:rPr>
                <w:rFonts w:eastAsia="宋体"/>
                <w:lang w:val="sv-SE" w:eastAsia="zh-CN"/>
              </w:rPr>
              <w:t>0</w:t>
            </w:r>
            <w:r>
              <w:rPr>
                <w:lang w:val="sv-SE"/>
              </w:rPr>
              <w:t>.</w:t>
            </w:r>
            <w:r>
              <w:rPr>
                <w:rFonts w:eastAsia="宋体"/>
                <w:lang w:val="sv-SE" w:eastAsia="zh-CN"/>
              </w:rPr>
              <w:t>1</w:t>
            </w:r>
            <w:r>
              <w:rPr>
                <w:lang w:val="sv-SE"/>
              </w:rPr>
              <w:t>.</w:t>
            </w:r>
            <w:bookmarkEnd w:id="2"/>
            <w:r>
              <w:rPr>
                <w:lang w:val="sv-SE"/>
              </w:rPr>
              <w:t xml:space="preserve">0 </w:t>
            </w:r>
            <w:r>
              <w:rPr>
                <w:sz w:val="32"/>
                <w:lang w:val="sv-SE"/>
              </w:rPr>
              <w:t>(</w:t>
            </w:r>
            <w:bookmarkStart w:id="3" w:name="issueDate"/>
            <w:r>
              <w:rPr>
                <w:sz w:val="32"/>
                <w:lang w:val="sv-SE"/>
              </w:rPr>
              <w:t>202</w:t>
            </w:r>
            <w:r>
              <w:rPr>
                <w:rFonts w:eastAsia="宋体"/>
                <w:sz w:val="32"/>
                <w:lang w:val="sv-SE" w:eastAsia="zh-CN"/>
              </w:rPr>
              <w:t>2</w:t>
            </w:r>
            <w:r>
              <w:rPr>
                <w:sz w:val="32"/>
                <w:lang w:val="sv-SE"/>
              </w:rPr>
              <w:t>-</w:t>
            </w:r>
            <w:bookmarkEnd w:id="3"/>
            <w:r>
              <w:rPr>
                <w:rFonts w:eastAsia="宋体"/>
                <w:sz w:val="32"/>
                <w:lang w:val="sv-SE" w:eastAsia="zh-CN"/>
              </w:rPr>
              <w:t>2</w:t>
            </w:r>
            <w:r>
              <w:rPr>
                <w:sz w:val="32"/>
                <w:lang w:val="sv-SE"/>
              </w:rPr>
              <w:t>)</w:t>
            </w:r>
          </w:p>
        </w:tc>
      </w:tr>
      <w:tr>
        <w:tblPrEx>
          <w:tblCellMar>
            <w:top w:w="0" w:type="dxa"/>
            <w:left w:w="108" w:type="dxa"/>
            <w:bottom w:w="0" w:type="dxa"/>
            <w:right w:w="108" w:type="dxa"/>
          </w:tblCellMar>
        </w:tblPrEx>
        <w:trPr>
          <w:trHeight w:val="536" w:hRule="exact"/>
        </w:trPr>
        <w:tc>
          <w:tcPr>
            <w:tcW w:w="10423" w:type="dxa"/>
            <w:gridSpan w:val="2"/>
            <w:shd w:val="clear" w:color="auto" w:fill="auto"/>
          </w:tcPr>
          <w:p>
            <w:pPr>
              <w:pStyle w:val="52"/>
              <w:framePr w:w="0" w:hRule="auto" w:wrap="auto" w:vAnchor="margin" w:hAnchor="text" w:yAlign="inline"/>
            </w:pPr>
            <w:r>
              <w:t>Permanent Reference Document</w:t>
            </w:r>
          </w:p>
        </w:tc>
      </w:tr>
      <w:tr>
        <w:tblPrEx>
          <w:tblCellMar>
            <w:top w:w="0" w:type="dxa"/>
            <w:left w:w="108" w:type="dxa"/>
            <w:bottom w:w="0" w:type="dxa"/>
            <w:right w:w="108" w:type="dxa"/>
          </w:tblCellMar>
        </w:tblPrEx>
        <w:trPr>
          <w:trHeight w:val="3686" w:hRule="exact"/>
        </w:trPr>
        <w:tc>
          <w:tcPr>
            <w:tcW w:w="10423" w:type="dxa"/>
            <w:gridSpan w:val="2"/>
            <w:shd w:val="clear" w:color="auto" w:fill="auto"/>
          </w:tcPr>
          <w:p>
            <w:pPr>
              <w:pStyle w:val="53"/>
              <w:framePr w:wrap="auto" w:vAnchor="margin" w:hAnchor="text" w:yAlign="inline"/>
            </w:pPr>
            <w:r>
              <w:t>3rd Generation Partnership Project;</w:t>
            </w:r>
          </w:p>
          <w:p>
            <w:pPr>
              <w:pStyle w:val="53"/>
              <w:framePr w:wrap="auto" w:vAnchor="margin" w:hAnchor="text" w:yAlign="inline"/>
            </w:pPr>
            <w:r>
              <w:t xml:space="preserve">Technical Specification Group </w:t>
            </w:r>
            <w:bookmarkStart w:id="4" w:name="specTitle"/>
            <w:r>
              <w:t>RAN WG5</w:t>
            </w:r>
            <w:bookmarkEnd w:id="4"/>
            <w:r>
              <w:t>;</w:t>
            </w:r>
          </w:p>
          <w:p>
            <w:pPr>
              <w:pStyle w:val="53"/>
              <w:framePr w:wrap="auto" w:vAnchor="margin" w:hAnchor="text" w:yAlign="inline"/>
            </w:pPr>
            <w:bookmarkStart w:id="5" w:name="_Hlk87610242"/>
            <w:r>
              <w:t>Permanent Reference Document (PRD);</w:t>
            </w:r>
          </w:p>
          <w:p>
            <w:pPr>
              <w:pStyle w:val="53"/>
              <w:framePr w:wrap="auto" w:vAnchor="margin" w:hAnchor="text" w:yAlign="inline"/>
            </w:pPr>
            <w:bookmarkStart w:id="6" w:name="_Hlk87434339"/>
            <w:r>
              <w:rPr>
                <w:rFonts w:eastAsia="宋体"/>
                <w:lang w:val="en-US" w:eastAsia="zh-CN"/>
              </w:rPr>
              <w:t>NR bands and 5G NR</w:t>
            </w:r>
            <w:r>
              <w:t xml:space="preserve"> CA</w:t>
            </w:r>
            <w:r>
              <w:rPr>
                <w:rFonts w:eastAsia="宋体"/>
                <w:lang w:val="en-US" w:eastAsia="zh-CN"/>
              </w:rPr>
              <w:t>DC</w:t>
            </w:r>
            <w:r>
              <w:t xml:space="preserve"> configuration handling in RAN5</w:t>
            </w:r>
            <w:bookmarkEnd w:id="6"/>
          </w:p>
          <w:p>
            <w:pPr>
              <w:pStyle w:val="53"/>
              <w:framePr w:wrap="auto" w:vAnchor="margin" w:hAnchor="text" w:yAlign="inline"/>
            </w:pPr>
            <w:r>
              <w:t>(</w:t>
            </w:r>
            <w:r>
              <w:rPr>
                <w:rStyle w:val="33"/>
              </w:rPr>
              <w:t>Release 1</w:t>
            </w:r>
            <w:r>
              <w:rPr>
                <w:rStyle w:val="33"/>
                <w:rFonts w:eastAsia="宋体"/>
                <w:lang w:val="en-US" w:eastAsia="zh-CN"/>
              </w:rPr>
              <w:t>5</w:t>
            </w:r>
            <w:r>
              <w:rPr>
                <w:rStyle w:val="33"/>
              </w:rPr>
              <w:t xml:space="preserve"> and later releases</w:t>
            </w:r>
            <w:r>
              <w:t>)</w:t>
            </w:r>
            <w:bookmarkEnd w:id="5"/>
          </w:p>
          <w:p>
            <w:pPr>
              <w:pStyle w:val="53"/>
              <w:framePr w:wrap="auto" w:vAnchor="margin" w:hAnchor="text" w:yAlign="inline"/>
              <w:rPr>
                <w:i/>
                <w:sz w:val="28"/>
              </w:rPr>
            </w:pPr>
          </w:p>
        </w:tc>
      </w:tr>
      <w:tr>
        <w:tblPrEx>
          <w:tblCellMar>
            <w:top w:w="0" w:type="dxa"/>
            <w:left w:w="108" w:type="dxa"/>
            <w:bottom w:w="0" w:type="dxa"/>
            <w:right w:w="108" w:type="dxa"/>
          </w:tblCellMar>
        </w:tblPrEx>
        <w:tc>
          <w:tcPr>
            <w:tcW w:w="10423" w:type="dxa"/>
            <w:gridSpan w:val="2"/>
            <w:shd w:val="clear" w:color="auto" w:fill="auto"/>
          </w:tcPr>
          <w:p>
            <w:pPr>
              <w:pStyle w:val="54"/>
              <w:framePr w:w="0" w:wrap="auto" w:vAnchor="margin" w:hAnchor="text" w:yAlign="inline"/>
              <w:tabs>
                <w:tab w:val="right" w:pos="10206"/>
              </w:tabs>
              <w:jc w:val="left"/>
              <w:rPr>
                <w:color w:val="0000FF"/>
              </w:rPr>
            </w:pPr>
            <w:r>
              <w:rPr>
                <w:color w:val="0000FF"/>
              </w:rPr>
              <w:tab/>
            </w:r>
          </w:p>
        </w:tc>
      </w:tr>
      <w:tr>
        <w:tblPrEx>
          <w:tblCellMar>
            <w:top w:w="0" w:type="dxa"/>
            <w:left w:w="108" w:type="dxa"/>
            <w:bottom w:w="0" w:type="dxa"/>
            <w:right w:w="108" w:type="dxa"/>
          </w:tblCellMar>
        </w:tblPrEx>
        <w:trPr>
          <w:trHeight w:val="1531" w:hRule="exact"/>
        </w:trPr>
        <w:tc>
          <w:tcPr>
            <w:tcW w:w="4883" w:type="dxa"/>
            <w:shd w:val="clear" w:color="auto" w:fill="auto"/>
          </w:tcPr>
          <w:p/>
        </w:tc>
        <w:tc>
          <w:tcPr>
            <w:tcW w:w="5540" w:type="dxa"/>
            <w:shd w:val="clear" w:color="auto" w:fill="auto"/>
          </w:tcPr>
          <w:p>
            <w:pPr>
              <w:jc w:val="right"/>
            </w:pPr>
            <w:bookmarkStart w:id="7" w:name="logos"/>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7"/>
          </w:p>
        </w:tc>
      </w:tr>
      <w:tr>
        <w:tblPrEx>
          <w:tblCellMar>
            <w:top w:w="0" w:type="dxa"/>
            <w:left w:w="108" w:type="dxa"/>
            <w:bottom w:w="0" w:type="dxa"/>
            <w:right w:w="108" w:type="dxa"/>
          </w:tblCellMar>
        </w:tblPrEx>
        <w:trPr>
          <w:trHeight w:val="5783" w:hRule="exact"/>
        </w:trPr>
        <w:tc>
          <w:tcPr>
            <w:tcW w:w="10423" w:type="dxa"/>
            <w:gridSpan w:val="2"/>
            <w:shd w:val="clear" w:color="auto" w:fill="auto"/>
          </w:tcPr>
          <w:p>
            <w:pPr>
              <w:pStyle w:val="66"/>
              <w:rPr>
                <w:b/>
              </w:rPr>
            </w:pPr>
          </w:p>
        </w:tc>
      </w:tr>
      <w:tr>
        <w:tblPrEx>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4"/>
            </w:pPr>
          </w:p>
          <w:p>
            <w:pPr>
              <w:rPr>
                <w:sz w:val="16"/>
              </w:rPr>
            </w:pPr>
          </w:p>
        </w:tc>
      </w:tr>
      <w:bookmarkEnd w:id="0"/>
    </w:tbl>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134" w:right="851" w:bottom="397" w:left="851" w:header="0" w:footer="0" w:gutter="0"/>
          <w:cols w:space="720" w:num="1"/>
        </w:sectPr>
      </w:pPr>
    </w:p>
    <w:tbl>
      <w:tblPr>
        <w:tblStyle w:val="26"/>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6"/>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5"/>
              <w:spacing w:after="240"/>
              <w:ind w:left="2835" w:right="2835"/>
              <w:jc w:val="center"/>
              <w:rPr>
                <w:rFonts w:ascii="Arial" w:hAnsi="Arial"/>
                <w:b/>
                <w:i/>
              </w:rPr>
            </w:pPr>
            <w:bookmarkStart w:id="10" w:name="coords3gpp"/>
            <w:r>
              <w:rPr>
                <w:rFonts w:ascii="Arial" w:hAnsi="Arial"/>
                <w:b/>
                <w:i/>
              </w:rPr>
              <w:t>3GPP</w:t>
            </w:r>
          </w:p>
          <w:p>
            <w:pPr>
              <w:pStyle w:val="45"/>
              <w:pBdr>
                <w:bottom w:val="single" w:color="auto" w:sz="6" w:space="1"/>
              </w:pBdr>
              <w:ind w:left="2835" w:right="2835"/>
              <w:jc w:val="center"/>
            </w:pPr>
            <w:r>
              <w:t>Postal address</w:t>
            </w:r>
          </w:p>
          <w:p>
            <w:pPr>
              <w:pStyle w:val="45"/>
              <w:ind w:left="2835" w:right="2835"/>
              <w:jc w:val="center"/>
              <w:rPr>
                <w:rFonts w:ascii="Arial" w:hAnsi="Arial"/>
                <w:sz w:val="18"/>
              </w:rPr>
            </w:pPr>
          </w:p>
          <w:p>
            <w:pPr>
              <w:pStyle w:val="45"/>
              <w:pBdr>
                <w:bottom w:val="single" w:color="auto" w:sz="6" w:space="1"/>
              </w:pBdr>
              <w:spacing w:before="240"/>
              <w:ind w:left="2835" w:right="2835"/>
              <w:jc w:val="center"/>
            </w:pPr>
            <w:r>
              <w:t>3GPP support office address</w:t>
            </w:r>
          </w:p>
          <w:p>
            <w:pPr>
              <w:pStyle w:val="45"/>
              <w:ind w:left="2835" w:right="2835"/>
              <w:jc w:val="center"/>
              <w:rPr>
                <w:rFonts w:ascii="Arial" w:hAnsi="Arial"/>
                <w:sz w:val="18"/>
              </w:rPr>
            </w:pPr>
            <w:r>
              <w:rPr>
                <w:rFonts w:ascii="Arial" w:hAnsi="Arial"/>
                <w:sz w:val="18"/>
              </w:rPr>
              <w:t>650 Route des Lucioles - Sophia Antipolis</w:t>
            </w:r>
          </w:p>
          <w:p>
            <w:pPr>
              <w:pStyle w:val="45"/>
              <w:ind w:left="2835" w:right="2835"/>
              <w:jc w:val="center"/>
              <w:rPr>
                <w:rFonts w:ascii="Arial" w:hAnsi="Arial"/>
                <w:sz w:val="18"/>
              </w:rPr>
            </w:pPr>
            <w:r>
              <w:rPr>
                <w:rFonts w:ascii="Arial" w:hAnsi="Arial"/>
                <w:sz w:val="18"/>
              </w:rPr>
              <w:t>Valbonne - FRANCE</w:t>
            </w:r>
          </w:p>
          <w:p>
            <w:pPr>
              <w:pStyle w:val="45"/>
              <w:spacing w:after="20"/>
              <w:ind w:left="2835" w:right="2835"/>
              <w:jc w:val="center"/>
              <w:rPr>
                <w:rFonts w:ascii="Arial" w:hAnsi="Arial"/>
                <w:sz w:val="18"/>
              </w:rPr>
            </w:pPr>
            <w:r>
              <w:rPr>
                <w:rFonts w:ascii="Arial" w:hAnsi="Arial"/>
                <w:sz w:val="18"/>
              </w:rPr>
              <w:t>Tel.: +33 4 92 94 42 00 Fax: +33 4 93 65 47 16</w:t>
            </w:r>
          </w:p>
          <w:p>
            <w:pPr>
              <w:pStyle w:val="45"/>
              <w:pBdr>
                <w:bottom w:val="single" w:color="auto" w:sz="6" w:space="1"/>
              </w:pBdr>
              <w:spacing w:before="240"/>
              <w:ind w:left="2835" w:right="2835"/>
              <w:jc w:val="center"/>
            </w:pPr>
            <w:r>
              <w:t>Internet</w:t>
            </w:r>
          </w:p>
          <w:p>
            <w:pPr>
              <w:pStyle w:val="45"/>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5"/>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5"/>
              <w:jc w:val="center"/>
            </w:pPr>
            <w:r>
              <w:t>No part may be reproduced except as authorized by written permission.</w:t>
            </w:r>
            <w:r>
              <w:br w:type="textWrapping"/>
            </w:r>
            <w:r>
              <w:t>The copyright and the foregoing restriction extend to reproduction in all media.</w:t>
            </w:r>
          </w:p>
          <w:p>
            <w:pPr>
              <w:pStyle w:val="45"/>
              <w:jc w:val="center"/>
            </w:pPr>
          </w:p>
          <w:p>
            <w:pPr>
              <w:pStyle w:val="45"/>
              <w:jc w:val="center"/>
              <w:rPr>
                <w:sz w:val="18"/>
              </w:rPr>
            </w:pPr>
            <w:r>
              <w:rPr>
                <w:sz w:val="18"/>
              </w:rPr>
              <w:t>© 2021, 3GPP Organizational Partners (ARIB, ATIS, CCSA, ETSI, TSDSI, TTA, TTC).</w:t>
            </w:r>
            <w:bookmarkStart w:id="12" w:name="copyrightaddon"/>
            <w:bookmarkEnd w:id="12"/>
          </w:p>
          <w:p>
            <w:pPr>
              <w:pStyle w:val="45"/>
              <w:jc w:val="center"/>
              <w:rPr>
                <w:sz w:val="18"/>
              </w:rPr>
            </w:pPr>
            <w:r>
              <w:rPr>
                <w:sz w:val="18"/>
              </w:rPr>
              <w:t>All rights reserved.</w:t>
            </w:r>
          </w:p>
          <w:p>
            <w:pPr>
              <w:pStyle w:val="45"/>
              <w:rPr>
                <w:sz w:val="18"/>
              </w:rPr>
            </w:pPr>
          </w:p>
          <w:p>
            <w:pPr>
              <w:pStyle w:val="45"/>
              <w:rPr>
                <w:sz w:val="18"/>
              </w:rPr>
            </w:pPr>
            <w:r>
              <w:rPr>
                <w:sz w:val="18"/>
              </w:rPr>
              <w:t>UMTS™ is a Trade Mark of ETSI registered for the benefit of its members</w:t>
            </w:r>
          </w:p>
          <w:p>
            <w:pPr>
              <w:pStyle w:val="4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5"/>
              <w:rPr>
                <w:sz w:val="18"/>
              </w:rPr>
            </w:pPr>
            <w:r>
              <w:rPr>
                <w:sz w:val="18"/>
              </w:rPr>
              <w:t>GSM® and the GSM logo are registered and owned by the GSM Association</w:t>
            </w:r>
            <w:bookmarkEnd w:id="11"/>
          </w:p>
          <w:p/>
        </w:tc>
      </w:tr>
      <w:bookmarkEnd w:id="9"/>
    </w:tbl>
    <w:p>
      <w:pPr>
        <w:pStyle w:val="35"/>
      </w:pPr>
      <w:r>
        <w:br w:type="page"/>
      </w:r>
      <w:bookmarkStart w:id="13" w:name="tableOfContents"/>
      <w:bookmarkEnd w:id="13"/>
      <w:r>
        <w:t>Contents</w:t>
      </w:r>
    </w:p>
    <w:p>
      <w:pPr>
        <w:pStyle w:val="18"/>
        <w:tabs>
          <w:tab w:val="right" w:leader="dot" w:pos="9641"/>
          <w:tab w:val="clear" w:pos="9639"/>
        </w:tabs>
      </w:pPr>
      <w:r>
        <w:fldChar w:fldCharType="begin"/>
      </w:r>
      <w:r>
        <w:instrText xml:space="preserve"> TOC \o "1-9" </w:instrText>
      </w:r>
      <w:r>
        <w:fldChar w:fldCharType="separate"/>
      </w:r>
      <w:r>
        <w:t>Foreword</w:t>
      </w:r>
      <w:r>
        <w:tab/>
      </w:r>
      <w:r>
        <w:fldChar w:fldCharType="begin"/>
      </w:r>
      <w:r>
        <w:instrText xml:space="preserve"> PAGEREF _Toc25283 \h </w:instrText>
      </w:r>
      <w:r>
        <w:fldChar w:fldCharType="separate"/>
      </w:r>
      <w:r>
        <w:t>4</w:t>
      </w:r>
      <w:r>
        <w:fldChar w:fldCharType="end"/>
      </w:r>
    </w:p>
    <w:p>
      <w:pPr>
        <w:pStyle w:val="18"/>
        <w:tabs>
          <w:tab w:val="right" w:leader="dot" w:pos="9641"/>
          <w:tab w:val="clear" w:pos="9639"/>
        </w:tabs>
      </w:pPr>
      <w:r>
        <w:t>Introduction</w:t>
      </w:r>
      <w:r>
        <w:tab/>
      </w:r>
      <w:r>
        <w:fldChar w:fldCharType="begin"/>
      </w:r>
      <w:r>
        <w:instrText xml:space="preserve"> PAGEREF _Toc13382 \h </w:instrText>
      </w:r>
      <w:r>
        <w:fldChar w:fldCharType="separate"/>
      </w:r>
      <w:r>
        <w:t>5</w:t>
      </w:r>
      <w:r>
        <w:fldChar w:fldCharType="end"/>
      </w:r>
    </w:p>
    <w:p>
      <w:pPr>
        <w:pStyle w:val="18"/>
        <w:tabs>
          <w:tab w:val="right" w:pos="2000"/>
          <w:tab w:val="right" w:leader="dot" w:pos="9641"/>
          <w:tab w:val="clear" w:pos="9639"/>
        </w:tabs>
      </w:pPr>
      <w:r>
        <w:t>1</w:t>
      </w:r>
      <w:r>
        <w:tab/>
      </w:r>
      <w:r>
        <w:t>Scope</w:t>
      </w:r>
      <w:r>
        <w:tab/>
      </w:r>
      <w:r>
        <w:fldChar w:fldCharType="begin"/>
      </w:r>
      <w:r>
        <w:instrText xml:space="preserve"> PAGEREF _Toc10628 \h </w:instrText>
      </w:r>
      <w:r>
        <w:fldChar w:fldCharType="separate"/>
      </w:r>
      <w:r>
        <w:t>5</w:t>
      </w:r>
      <w:r>
        <w:fldChar w:fldCharType="end"/>
      </w:r>
    </w:p>
    <w:p>
      <w:pPr>
        <w:pStyle w:val="18"/>
        <w:tabs>
          <w:tab w:val="right" w:pos="2000"/>
          <w:tab w:val="right" w:leader="dot" w:pos="9641"/>
          <w:tab w:val="clear" w:pos="9639"/>
        </w:tabs>
      </w:pPr>
      <w:r>
        <w:t>2</w:t>
      </w:r>
      <w:r>
        <w:tab/>
      </w:r>
      <w:r>
        <w:t>References</w:t>
      </w:r>
      <w:r>
        <w:tab/>
      </w:r>
      <w:r>
        <w:fldChar w:fldCharType="begin"/>
      </w:r>
      <w:r>
        <w:instrText xml:space="preserve"> PAGEREF _Toc676 \h </w:instrText>
      </w:r>
      <w:r>
        <w:fldChar w:fldCharType="separate"/>
      </w:r>
      <w:r>
        <w:t>6</w:t>
      </w:r>
      <w:r>
        <w:fldChar w:fldCharType="end"/>
      </w:r>
    </w:p>
    <w:p>
      <w:pPr>
        <w:pStyle w:val="18"/>
        <w:tabs>
          <w:tab w:val="right" w:pos="2000"/>
          <w:tab w:val="right" w:leader="dot" w:pos="9641"/>
          <w:tab w:val="clear" w:pos="9639"/>
        </w:tabs>
      </w:pPr>
      <w:r>
        <w:t>3</w:t>
      </w:r>
      <w:r>
        <w:tab/>
      </w:r>
      <w:r>
        <w:t>Definitions of terms, symbols and abbreviations</w:t>
      </w:r>
      <w:r>
        <w:tab/>
      </w:r>
      <w:r>
        <w:fldChar w:fldCharType="begin"/>
      </w:r>
      <w:r>
        <w:instrText xml:space="preserve"> PAGEREF _Toc10796 \h </w:instrText>
      </w:r>
      <w:r>
        <w:fldChar w:fldCharType="separate"/>
      </w:r>
      <w:r>
        <w:t>7</w:t>
      </w:r>
      <w:r>
        <w:fldChar w:fldCharType="end"/>
      </w:r>
    </w:p>
    <w:p>
      <w:pPr>
        <w:pStyle w:val="17"/>
        <w:tabs>
          <w:tab w:val="right" w:pos="2000"/>
          <w:tab w:val="right" w:leader="dot" w:pos="9641"/>
          <w:tab w:val="clear" w:pos="9639"/>
        </w:tabs>
      </w:pPr>
      <w:r>
        <w:t>3.1</w:t>
      </w:r>
      <w:r>
        <w:tab/>
      </w:r>
      <w:r>
        <w:t>Terms</w:t>
      </w:r>
      <w:r>
        <w:tab/>
      </w:r>
      <w:r>
        <w:fldChar w:fldCharType="begin"/>
      </w:r>
      <w:r>
        <w:instrText xml:space="preserve"> PAGEREF _Toc17040 \h </w:instrText>
      </w:r>
      <w:r>
        <w:fldChar w:fldCharType="separate"/>
      </w:r>
      <w:r>
        <w:t>7</w:t>
      </w:r>
      <w:r>
        <w:fldChar w:fldCharType="end"/>
      </w:r>
    </w:p>
    <w:p>
      <w:pPr>
        <w:pStyle w:val="17"/>
        <w:tabs>
          <w:tab w:val="right" w:pos="2000"/>
          <w:tab w:val="right" w:leader="dot" w:pos="9641"/>
          <w:tab w:val="clear" w:pos="9639"/>
        </w:tabs>
      </w:pPr>
      <w:r>
        <w:t>3.2</w:t>
      </w:r>
      <w:r>
        <w:tab/>
      </w:r>
      <w:r>
        <w:t>Symbols</w:t>
      </w:r>
      <w:r>
        <w:tab/>
      </w:r>
      <w:r>
        <w:fldChar w:fldCharType="begin"/>
      </w:r>
      <w:r>
        <w:instrText xml:space="preserve"> PAGEREF _Toc5466 \h </w:instrText>
      </w:r>
      <w:r>
        <w:fldChar w:fldCharType="separate"/>
      </w:r>
      <w:r>
        <w:t>7</w:t>
      </w:r>
      <w:r>
        <w:fldChar w:fldCharType="end"/>
      </w:r>
    </w:p>
    <w:p>
      <w:pPr>
        <w:pStyle w:val="17"/>
        <w:tabs>
          <w:tab w:val="right" w:pos="2000"/>
          <w:tab w:val="right" w:leader="dot" w:pos="9641"/>
          <w:tab w:val="clear" w:pos="9639"/>
        </w:tabs>
      </w:pPr>
      <w:r>
        <w:t>3.3</w:t>
      </w:r>
      <w:r>
        <w:tab/>
      </w:r>
      <w:r>
        <w:t>Abbreviations</w:t>
      </w:r>
      <w:r>
        <w:tab/>
      </w:r>
      <w:r>
        <w:fldChar w:fldCharType="begin"/>
      </w:r>
      <w:r>
        <w:instrText xml:space="preserve"> PAGEREF _Toc11846 \h </w:instrText>
      </w:r>
      <w:r>
        <w:fldChar w:fldCharType="separate"/>
      </w:r>
      <w:r>
        <w:t>7</w:t>
      </w:r>
      <w:r>
        <w:fldChar w:fldCharType="end"/>
      </w:r>
    </w:p>
    <w:p>
      <w:pPr>
        <w:pStyle w:val="18"/>
        <w:tabs>
          <w:tab w:val="right" w:pos="2000"/>
          <w:tab w:val="right" w:leader="dot" w:pos="9641"/>
          <w:tab w:val="clear" w:pos="9639"/>
        </w:tabs>
      </w:pPr>
      <w:r>
        <w:rPr>
          <w:lang w:val="en-US"/>
        </w:rPr>
        <w:t>4</w:t>
      </w:r>
      <w:r>
        <w:tab/>
      </w:r>
      <w:r>
        <w:rPr>
          <w:lang w:val="en-US"/>
        </w:rPr>
        <w:t>G</w:t>
      </w:r>
      <w:r>
        <w:t xml:space="preserve">uidelines </w:t>
      </w:r>
      <w:r>
        <w:rPr>
          <w:lang w:val="en-US"/>
        </w:rPr>
        <w:t>to handle the</w:t>
      </w:r>
      <w:r>
        <w:t xml:space="preserve"> RAN5 work items covered by PRD2</w:t>
      </w:r>
      <w:r>
        <w:rPr>
          <w:lang w:val="en-US"/>
        </w:rPr>
        <w:t>1</w:t>
      </w:r>
      <w:r>
        <w:tab/>
      </w:r>
      <w:r>
        <w:fldChar w:fldCharType="begin"/>
      </w:r>
      <w:r>
        <w:instrText xml:space="preserve"> PAGEREF _Toc16405 \h </w:instrText>
      </w:r>
      <w:r>
        <w:fldChar w:fldCharType="separate"/>
      </w:r>
      <w:r>
        <w:t>7</w:t>
      </w:r>
      <w:r>
        <w:fldChar w:fldCharType="end"/>
      </w:r>
    </w:p>
    <w:p>
      <w:pPr>
        <w:pStyle w:val="17"/>
        <w:tabs>
          <w:tab w:val="right" w:pos="2000"/>
          <w:tab w:val="right" w:leader="dot" w:pos="9641"/>
          <w:tab w:val="clear" w:pos="9639"/>
        </w:tabs>
      </w:pPr>
      <w:r>
        <w:rPr>
          <w:lang w:val="en-US"/>
        </w:rPr>
        <w:t>4.1</w:t>
      </w:r>
      <w:r>
        <w:rPr>
          <w:lang w:val="en-US"/>
        </w:rPr>
        <w:tab/>
      </w:r>
      <w:r>
        <w:rPr>
          <w:lang w:val="en-US"/>
        </w:rPr>
        <w:t>Guidelines to handle the 5G NR configuration specific WIs</w:t>
      </w:r>
      <w:r>
        <w:tab/>
      </w:r>
      <w:r>
        <w:fldChar w:fldCharType="begin"/>
      </w:r>
      <w:r>
        <w:instrText xml:space="preserve"> PAGEREF _Toc925 \h </w:instrText>
      </w:r>
      <w:r>
        <w:fldChar w:fldCharType="separate"/>
      </w:r>
      <w:r>
        <w:t>7</w:t>
      </w:r>
      <w:r>
        <w:fldChar w:fldCharType="end"/>
      </w:r>
    </w:p>
    <w:p>
      <w:pPr>
        <w:pStyle w:val="17"/>
        <w:tabs>
          <w:tab w:val="right" w:pos="2000"/>
          <w:tab w:val="right" w:leader="dot" w:pos="9641"/>
          <w:tab w:val="clear" w:pos="9639"/>
        </w:tabs>
      </w:pPr>
      <w:r>
        <w:rPr>
          <w:lang w:val="en-US"/>
        </w:rPr>
        <w:t>4.2</w:t>
      </w:r>
      <w:r>
        <w:tab/>
      </w:r>
      <w:r>
        <w:rPr>
          <w:lang w:val="en-US"/>
        </w:rPr>
        <w:t>Guidelines to handle the New NR bands and extension of existing NR bands WIs impacting</w:t>
      </w:r>
      <w:r>
        <w:t xml:space="preserve"> 5G NR CADC configurations</w:t>
      </w:r>
      <w:r>
        <w:tab/>
      </w:r>
      <w:r>
        <w:fldChar w:fldCharType="begin"/>
      </w:r>
      <w:r>
        <w:instrText xml:space="preserve"> PAGEREF _Toc25113 \h </w:instrText>
      </w:r>
      <w:r>
        <w:fldChar w:fldCharType="separate"/>
      </w:r>
      <w:r>
        <w:t>9</w:t>
      </w:r>
      <w:r>
        <w:fldChar w:fldCharType="end"/>
      </w:r>
    </w:p>
    <w:p>
      <w:pPr>
        <w:pStyle w:val="17"/>
        <w:tabs>
          <w:tab w:val="right" w:pos="2000"/>
          <w:tab w:val="right" w:leader="dot" w:pos="9641"/>
          <w:tab w:val="clear" w:pos="9639"/>
        </w:tabs>
      </w:pPr>
      <w:r>
        <w:rPr>
          <w:lang w:val="en-US"/>
        </w:rPr>
        <w:t>4.3</w:t>
      </w:r>
      <w:r>
        <w:tab/>
      </w:r>
      <w:r>
        <w:rPr>
          <w:lang w:val="en-US"/>
        </w:rPr>
        <w:t>Guidelines to handle the 5G NR feature specific WI</w:t>
      </w:r>
      <w:r>
        <w:t>s impacting 5G NR CADC configurations</w:t>
      </w:r>
      <w:r>
        <w:tab/>
      </w:r>
      <w:r>
        <w:fldChar w:fldCharType="begin"/>
      </w:r>
      <w:r>
        <w:instrText xml:space="preserve"> PAGEREF _Toc20379 \h </w:instrText>
      </w:r>
      <w:r>
        <w:fldChar w:fldCharType="separate"/>
      </w:r>
      <w:r>
        <w:t>9</w:t>
      </w:r>
      <w:r>
        <w:fldChar w:fldCharType="end"/>
      </w:r>
    </w:p>
    <w:p>
      <w:pPr>
        <w:pStyle w:val="17"/>
        <w:tabs>
          <w:tab w:val="right" w:pos="2000"/>
          <w:tab w:val="right" w:leader="dot" w:pos="9641"/>
          <w:tab w:val="clear" w:pos="9639"/>
        </w:tabs>
      </w:pPr>
      <w:r>
        <w:rPr>
          <w:lang w:val="en-US"/>
        </w:rPr>
        <w:t>4.4</w:t>
      </w:r>
      <w:r>
        <w:tab/>
      </w:r>
      <w:r>
        <w:rPr>
          <w:lang w:val="en-US"/>
        </w:rPr>
        <w:t>Guidelines to handle the 5G NR High Power WI</w:t>
      </w:r>
      <w:r>
        <w:t>s impacting 5G NR CADC configurations</w:t>
      </w:r>
      <w:r>
        <w:tab/>
      </w:r>
      <w:r>
        <w:fldChar w:fldCharType="begin"/>
      </w:r>
      <w:r>
        <w:instrText xml:space="preserve"> PAGEREF _Toc8100 \h </w:instrText>
      </w:r>
      <w:r>
        <w:fldChar w:fldCharType="separate"/>
      </w:r>
      <w:r>
        <w:t>10</w:t>
      </w:r>
      <w:r>
        <w:fldChar w:fldCharType="end"/>
      </w:r>
    </w:p>
    <w:p>
      <w:pPr>
        <w:pStyle w:val="17"/>
        <w:tabs>
          <w:tab w:val="right" w:pos="2000"/>
          <w:tab w:val="right" w:leader="dot" w:pos="9641"/>
          <w:tab w:val="clear" w:pos="9639"/>
        </w:tabs>
      </w:pPr>
      <w:r>
        <w:rPr>
          <w:lang w:val="en-US"/>
        </w:rPr>
        <w:t>4.5</w:t>
      </w:r>
      <w:r>
        <w:tab/>
      </w:r>
      <w:r>
        <w:rPr>
          <w:lang w:val="en-US"/>
        </w:rPr>
        <w:t>Guidelines to handle the 5G NR CADC fallback configurations without Interested Operator</w:t>
      </w:r>
      <w:r>
        <w:tab/>
      </w:r>
      <w:r>
        <w:fldChar w:fldCharType="begin"/>
      </w:r>
      <w:r>
        <w:instrText xml:space="preserve"> PAGEREF _Toc2960 \h </w:instrText>
      </w:r>
      <w:r>
        <w:fldChar w:fldCharType="separate"/>
      </w:r>
      <w:r>
        <w:t>10</w:t>
      </w:r>
      <w:r>
        <w:fldChar w:fldCharType="end"/>
      </w:r>
    </w:p>
    <w:p>
      <w:pPr>
        <w:pStyle w:val="18"/>
        <w:tabs>
          <w:tab w:val="right" w:pos="2000"/>
          <w:tab w:val="right" w:leader="dot" w:pos="9641"/>
          <w:tab w:val="clear" w:pos="9639"/>
        </w:tabs>
      </w:pPr>
      <w:r>
        <w:t>5</w:t>
      </w:r>
      <w:r>
        <w:tab/>
      </w:r>
      <w:r>
        <w:rPr>
          <w:lang w:val="en-US"/>
        </w:rPr>
        <w:t>5G NR bands and CADC</w:t>
      </w:r>
      <w:r>
        <w:t xml:space="preserve"> </w:t>
      </w:r>
      <w:r>
        <w:rPr>
          <w:lang w:val="en-US"/>
        </w:rPr>
        <w:t xml:space="preserve">configurations </w:t>
      </w:r>
      <w:r>
        <w:t>list</w:t>
      </w:r>
      <w:r>
        <w:tab/>
      </w:r>
      <w:r>
        <w:fldChar w:fldCharType="begin"/>
      </w:r>
      <w:r>
        <w:instrText xml:space="preserve"> PAGEREF _Toc679 \h </w:instrText>
      </w:r>
      <w:r>
        <w:fldChar w:fldCharType="separate"/>
      </w:r>
      <w:r>
        <w:t>10</w:t>
      </w:r>
      <w:r>
        <w:fldChar w:fldCharType="end"/>
      </w:r>
    </w:p>
    <w:p>
      <w:pPr>
        <w:pStyle w:val="17"/>
        <w:tabs>
          <w:tab w:val="right" w:pos="2000"/>
          <w:tab w:val="right" w:leader="dot" w:pos="9641"/>
          <w:tab w:val="clear" w:pos="9639"/>
        </w:tabs>
      </w:pPr>
      <w:r>
        <w:t>5.1</w:t>
      </w:r>
      <w:r>
        <w:tab/>
      </w:r>
      <w:r>
        <w:t>General</w:t>
      </w:r>
      <w:r>
        <w:tab/>
      </w:r>
      <w:r>
        <w:fldChar w:fldCharType="begin"/>
      </w:r>
      <w:r>
        <w:instrText xml:space="preserve"> PAGEREF _Toc16385 \h </w:instrText>
      </w:r>
      <w:r>
        <w:fldChar w:fldCharType="separate"/>
      </w:r>
      <w:r>
        <w:t>10</w:t>
      </w:r>
      <w:r>
        <w:fldChar w:fldCharType="end"/>
      </w:r>
    </w:p>
    <w:p>
      <w:pPr>
        <w:pStyle w:val="17"/>
        <w:tabs>
          <w:tab w:val="right" w:pos="2000"/>
          <w:tab w:val="right" w:leader="dot" w:pos="9641"/>
          <w:tab w:val="clear" w:pos="9639"/>
        </w:tabs>
      </w:pPr>
      <w:r>
        <w:t>5.2</w:t>
      </w:r>
      <w:r>
        <w:tab/>
      </w:r>
      <w:r>
        <w:t>Introduction worksheet</w:t>
      </w:r>
      <w:r>
        <w:tab/>
      </w:r>
      <w:r>
        <w:fldChar w:fldCharType="begin"/>
      </w:r>
      <w:r>
        <w:instrText xml:space="preserve"> PAGEREF _Toc26247 \h </w:instrText>
      </w:r>
      <w:r>
        <w:fldChar w:fldCharType="separate"/>
      </w:r>
      <w:r>
        <w:t>11</w:t>
      </w:r>
      <w:r>
        <w:fldChar w:fldCharType="end"/>
      </w:r>
    </w:p>
    <w:p>
      <w:pPr>
        <w:pStyle w:val="17"/>
        <w:tabs>
          <w:tab w:val="right" w:pos="2000"/>
          <w:tab w:val="right" w:leader="dot" w:pos="9641"/>
          <w:tab w:val="clear" w:pos="9639"/>
        </w:tabs>
      </w:pPr>
      <w:r>
        <w:t>5.3</w:t>
      </w:r>
      <w:r>
        <w:tab/>
      </w:r>
      <w:r>
        <w:t>NR bands worksheet</w:t>
      </w:r>
      <w:r>
        <w:tab/>
      </w:r>
      <w:r>
        <w:fldChar w:fldCharType="begin"/>
      </w:r>
      <w:r>
        <w:instrText xml:space="preserve"> PAGEREF _Toc17387 \h </w:instrText>
      </w:r>
      <w:r>
        <w:fldChar w:fldCharType="separate"/>
      </w:r>
      <w:r>
        <w:t>11</w:t>
      </w:r>
      <w:r>
        <w:fldChar w:fldCharType="end"/>
      </w:r>
    </w:p>
    <w:p>
      <w:pPr>
        <w:pStyle w:val="16"/>
        <w:tabs>
          <w:tab w:val="right" w:pos="2000"/>
          <w:tab w:val="right" w:leader="dot" w:pos="9641"/>
          <w:tab w:val="clear" w:pos="9639"/>
        </w:tabs>
      </w:pPr>
      <w:r>
        <w:t>5.3.1</w:t>
      </w:r>
      <w:r>
        <w:tab/>
      </w:r>
      <w:r>
        <w:t>Overview</w:t>
      </w:r>
      <w:r>
        <w:tab/>
      </w:r>
      <w:r>
        <w:fldChar w:fldCharType="begin"/>
      </w:r>
      <w:r>
        <w:instrText xml:space="preserve"> PAGEREF _Toc13005 \h </w:instrText>
      </w:r>
      <w:r>
        <w:fldChar w:fldCharType="separate"/>
      </w:r>
      <w:r>
        <w:t>11</w:t>
      </w:r>
      <w:r>
        <w:fldChar w:fldCharType="end"/>
      </w:r>
    </w:p>
    <w:p>
      <w:pPr>
        <w:pStyle w:val="16"/>
        <w:tabs>
          <w:tab w:val="right" w:pos="2000"/>
          <w:tab w:val="right" w:leader="dot" w:pos="9641"/>
          <w:tab w:val="clear" w:pos="9639"/>
        </w:tabs>
      </w:pPr>
      <w:r>
        <w:t>5.3.2</w:t>
      </w:r>
      <w:r>
        <w:tab/>
      </w:r>
      <w:r>
        <w:t>Requesting assignment of NR bands and NR band CBW extensions</w:t>
      </w:r>
      <w:r>
        <w:tab/>
      </w:r>
      <w:r>
        <w:fldChar w:fldCharType="begin"/>
      </w:r>
      <w:r>
        <w:instrText xml:space="preserve"> PAGEREF _Toc9000 \h </w:instrText>
      </w:r>
      <w:r>
        <w:fldChar w:fldCharType="separate"/>
      </w:r>
      <w:r>
        <w:t>12</w:t>
      </w:r>
      <w:r>
        <w:fldChar w:fldCharType="end"/>
      </w:r>
    </w:p>
    <w:p>
      <w:pPr>
        <w:pStyle w:val="17"/>
        <w:tabs>
          <w:tab w:val="right" w:pos="2000"/>
          <w:tab w:val="right" w:leader="dot" w:pos="9641"/>
          <w:tab w:val="clear" w:pos="9639"/>
        </w:tabs>
      </w:pPr>
      <w:r>
        <w:t>5.4</w:t>
      </w:r>
      <w:r>
        <w:tab/>
      </w:r>
      <w:r>
        <w:rPr>
          <w:lang w:val="en-US"/>
        </w:rPr>
        <w:t>5G NR</w:t>
      </w:r>
      <w:r>
        <w:t xml:space="preserve"> CA</w:t>
      </w:r>
      <w:r>
        <w:rPr>
          <w:lang w:val="en-US"/>
        </w:rPr>
        <w:t>DC</w:t>
      </w:r>
      <w:r>
        <w:t xml:space="preserve"> Configurations worksheet</w:t>
      </w:r>
      <w:r>
        <w:tab/>
      </w:r>
      <w:r>
        <w:fldChar w:fldCharType="begin"/>
      </w:r>
      <w:r>
        <w:instrText xml:space="preserve"> PAGEREF _Toc25724 \h </w:instrText>
      </w:r>
      <w:r>
        <w:fldChar w:fldCharType="separate"/>
      </w:r>
      <w:r>
        <w:t>15</w:t>
      </w:r>
      <w:r>
        <w:fldChar w:fldCharType="end"/>
      </w:r>
    </w:p>
    <w:p>
      <w:pPr>
        <w:pStyle w:val="16"/>
        <w:tabs>
          <w:tab w:val="right" w:pos="2000"/>
          <w:tab w:val="right" w:leader="dot" w:pos="9641"/>
          <w:tab w:val="clear" w:pos="9639"/>
        </w:tabs>
      </w:pPr>
      <w:r>
        <w:t>5.4.1</w:t>
      </w:r>
      <w:r>
        <w:tab/>
      </w:r>
      <w:r>
        <w:t>Overview</w:t>
      </w:r>
      <w:r>
        <w:tab/>
      </w:r>
      <w:r>
        <w:fldChar w:fldCharType="begin"/>
      </w:r>
      <w:r>
        <w:instrText xml:space="preserve"> PAGEREF _Toc19713 \h </w:instrText>
      </w:r>
      <w:r>
        <w:fldChar w:fldCharType="separate"/>
      </w:r>
      <w:r>
        <w:t>15</w:t>
      </w:r>
      <w:r>
        <w:fldChar w:fldCharType="end"/>
      </w:r>
    </w:p>
    <w:p>
      <w:pPr>
        <w:pStyle w:val="16"/>
        <w:tabs>
          <w:tab w:val="right" w:pos="2000"/>
          <w:tab w:val="right" w:leader="dot" w:pos="9641"/>
          <w:tab w:val="clear" w:pos="9639"/>
        </w:tabs>
      </w:pPr>
      <w:r>
        <w:t>5.4.2</w:t>
      </w:r>
      <w:r>
        <w:tab/>
      </w:r>
      <w:r>
        <w:t>Requesting assignment of 5G NR CADC configurations</w:t>
      </w:r>
      <w:r>
        <w:tab/>
      </w:r>
      <w:r>
        <w:fldChar w:fldCharType="begin"/>
      </w:r>
      <w:r>
        <w:instrText xml:space="preserve"> PAGEREF _Toc8929 \h </w:instrText>
      </w:r>
      <w:r>
        <w:fldChar w:fldCharType="separate"/>
      </w:r>
      <w:r>
        <w:t>18</w:t>
      </w:r>
      <w:r>
        <w:fldChar w:fldCharType="end"/>
      </w:r>
    </w:p>
    <w:p>
      <w:pPr>
        <w:pStyle w:val="18"/>
        <w:tabs>
          <w:tab w:val="right" w:pos="2000"/>
          <w:tab w:val="right" w:leader="dot" w:pos="9641"/>
          <w:tab w:val="clear" w:pos="9639"/>
        </w:tabs>
      </w:pPr>
      <w:r>
        <w:t>6</w:t>
      </w:r>
      <w:r>
        <w:tab/>
      </w:r>
      <w:r>
        <w:t>Responsible Company guidelines</w:t>
      </w:r>
      <w:r>
        <w:tab/>
      </w:r>
      <w:r>
        <w:fldChar w:fldCharType="begin"/>
      </w:r>
      <w:r>
        <w:instrText xml:space="preserve"> PAGEREF _Toc29735 \h </w:instrText>
      </w:r>
      <w:r>
        <w:fldChar w:fldCharType="separate"/>
      </w:r>
      <w:r>
        <w:t>21</w:t>
      </w:r>
      <w:r>
        <w:fldChar w:fldCharType="end"/>
      </w:r>
    </w:p>
    <w:p>
      <w:pPr>
        <w:pStyle w:val="16"/>
        <w:tabs>
          <w:tab w:val="right" w:pos="2000"/>
          <w:tab w:val="right" w:leader="dot" w:pos="9641"/>
          <w:tab w:val="clear" w:pos="9639"/>
        </w:tabs>
      </w:pPr>
      <w:r>
        <w:t>6.1</w:t>
      </w:r>
      <w:r>
        <w:tab/>
      </w:r>
      <w:r>
        <w:t>General</w:t>
      </w:r>
      <w:r>
        <w:tab/>
      </w:r>
      <w:r>
        <w:fldChar w:fldCharType="begin"/>
      </w:r>
      <w:r>
        <w:instrText xml:space="preserve"> PAGEREF _Toc17431 \h </w:instrText>
      </w:r>
      <w:r>
        <w:fldChar w:fldCharType="separate"/>
      </w:r>
      <w:r>
        <w:t>21</w:t>
      </w:r>
      <w:r>
        <w:fldChar w:fldCharType="end"/>
      </w:r>
    </w:p>
    <w:p>
      <w:pPr>
        <w:pStyle w:val="17"/>
        <w:tabs>
          <w:tab w:val="right" w:pos="2000"/>
          <w:tab w:val="right" w:leader="dot" w:pos="9641"/>
          <w:tab w:val="clear" w:pos="9639"/>
        </w:tabs>
      </w:pPr>
      <w:r>
        <w:rPr>
          <w:lang w:val="en-US"/>
        </w:rPr>
        <w:t>6.2</w:t>
      </w:r>
      <w:r>
        <w:tab/>
      </w:r>
      <w:r>
        <w:t>Creating a WP/Checklist</w:t>
      </w:r>
      <w:r>
        <w:tab/>
      </w:r>
      <w:r>
        <w:fldChar w:fldCharType="begin"/>
      </w:r>
      <w:r>
        <w:instrText xml:space="preserve"> PAGEREF _Toc5039 \h </w:instrText>
      </w:r>
      <w:r>
        <w:fldChar w:fldCharType="separate"/>
      </w:r>
      <w:r>
        <w:t>22</w:t>
      </w:r>
      <w:r>
        <w:fldChar w:fldCharType="end"/>
      </w:r>
    </w:p>
    <w:p>
      <w:pPr>
        <w:pStyle w:val="17"/>
        <w:tabs>
          <w:tab w:val="right" w:pos="2000"/>
          <w:tab w:val="right" w:leader="dot" w:pos="9641"/>
          <w:tab w:val="clear" w:pos="9639"/>
        </w:tabs>
      </w:pPr>
      <w:r>
        <w:rPr>
          <w:lang w:val="en-US"/>
        </w:rPr>
        <w:t>6.3</w:t>
      </w:r>
      <w:r>
        <w:tab/>
      </w:r>
      <w:r>
        <w:t>Maintaining the WP</w:t>
      </w:r>
      <w:r>
        <w:tab/>
      </w:r>
      <w:r>
        <w:fldChar w:fldCharType="begin"/>
      </w:r>
      <w:r>
        <w:instrText xml:space="preserve"> PAGEREF _Toc1698 \h </w:instrText>
      </w:r>
      <w:r>
        <w:fldChar w:fldCharType="separate"/>
      </w:r>
      <w:r>
        <w:t>23</w:t>
      </w:r>
      <w:r>
        <w:fldChar w:fldCharType="end"/>
      </w:r>
    </w:p>
    <w:p>
      <w:pPr>
        <w:pStyle w:val="17"/>
        <w:tabs>
          <w:tab w:val="right" w:pos="2000"/>
          <w:tab w:val="right" w:leader="dot" w:pos="9641"/>
          <w:tab w:val="clear" w:pos="9639"/>
        </w:tabs>
      </w:pPr>
      <w:r>
        <w:rPr>
          <w:lang w:val="en-US"/>
        </w:rPr>
        <w:t>6.4</w:t>
      </w:r>
      <w:r>
        <w:rPr>
          <w:lang w:val="en-US"/>
        </w:rPr>
        <w:tab/>
      </w:r>
      <w:r>
        <w:rPr>
          <w:lang w:val="en-US"/>
        </w:rPr>
        <w:t>Reporting a NR bands, NR band CBW extensions and 5G NR CADC configuration as completed</w:t>
      </w:r>
      <w:r>
        <w:tab/>
      </w:r>
      <w:r>
        <w:fldChar w:fldCharType="begin"/>
      </w:r>
      <w:r>
        <w:instrText xml:space="preserve"> PAGEREF _Toc26825 \h </w:instrText>
      </w:r>
      <w:r>
        <w:fldChar w:fldCharType="separate"/>
      </w:r>
      <w:r>
        <w:t>25</w:t>
      </w:r>
      <w:r>
        <w:fldChar w:fldCharType="end"/>
      </w:r>
    </w:p>
    <w:p>
      <w:pPr>
        <w:pStyle w:val="18"/>
        <w:tabs>
          <w:tab w:val="right" w:pos="2000"/>
          <w:tab w:val="right" w:leader="dot" w:pos="9641"/>
          <w:tab w:val="clear" w:pos="9639"/>
        </w:tabs>
      </w:pPr>
      <w:r>
        <w:rPr>
          <w:lang w:val="en-US"/>
        </w:rPr>
        <w:t>7</w:t>
      </w:r>
      <w:r>
        <w:tab/>
      </w:r>
      <w:r>
        <w:t>CR author guideline for selecting WI code for CRs</w:t>
      </w:r>
      <w:r>
        <w:tab/>
      </w:r>
      <w:r>
        <w:fldChar w:fldCharType="begin"/>
      </w:r>
      <w:r>
        <w:instrText xml:space="preserve"> PAGEREF _Toc12480 \h </w:instrText>
      </w:r>
      <w:r>
        <w:fldChar w:fldCharType="separate"/>
      </w:r>
      <w:r>
        <w:t>25</w:t>
      </w:r>
      <w:r>
        <w:fldChar w:fldCharType="end"/>
      </w:r>
    </w:p>
    <w:p>
      <w:pPr>
        <w:pStyle w:val="18"/>
        <w:tabs>
          <w:tab w:val="right" w:pos="2000"/>
          <w:tab w:val="right" w:leader="dot" w:pos="9641"/>
          <w:tab w:val="clear" w:pos="9639"/>
        </w:tabs>
      </w:pPr>
      <w:r>
        <w:rPr>
          <w:lang w:val="en-US"/>
        </w:rPr>
        <w:t>8</w:t>
      </w:r>
      <w:r>
        <w:tab/>
      </w:r>
      <w:r>
        <w:t>PRD rapporteur guidelines</w:t>
      </w:r>
      <w:r>
        <w:tab/>
      </w:r>
      <w:r>
        <w:fldChar w:fldCharType="begin"/>
      </w:r>
      <w:r>
        <w:instrText xml:space="preserve"> PAGEREF _Toc28487 \h </w:instrText>
      </w:r>
      <w:r>
        <w:fldChar w:fldCharType="separate"/>
      </w:r>
      <w:r>
        <w:t>25</w:t>
      </w:r>
      <w:r>
        <w:fldChar w:fldCharType="end"/>
      </w:r>
    </w:p>
    <w:p>
      <w:pPr>
        <w:pStyle w:val="17"/>
        <w:tabs>
          <w:tab w:val="right" w:pos="2000"/>
          <w:tab w:val="right" w:leader="dot" w:pos="9641"/>
          <w:tab w:val="clear" w:pos="9639"/>
        </w:tabs>
      </w:pPr>
      <w:r>
        <w:rPr>
          <w:lang w:val="en-US"/>
        </w:rPr>
        <w:t>8</w:t>
      </w:r>
      <w:r>
        <w:t>.1</w:t>
      </w:r>
      <w:r>
        <w:tab/>
      </w:r>
      <w:r>
        <w:t>PRD21 rapportuer and WI rapporteur respons</w:t>
      </w:r>
      <w:r>
        <w:rPr>
          <w:lang w:val="en-US"/>
        </w:rPr>
        <w:t>i</w:t>
      </w:r>
      <w:r>
        <w:t>bilities</w:t>
      </w:r>
      <w:r>
        <w:tab/>
      </w:r>
      <w:r>
        <w:fldChar w:fldCharType="begin"/>
      </w:r>
      <w:r>
        <w:instrText xml:space="preserve"> PAGEREF _Toc2915 \h </w:instrText>
      </w:r>
      <w:r>
        <w:fldChar w:fldCharType="separate"/>
      </w:r>
      <w:r>
        <w:t>25</w:t>
      </w:r>
      <w:r>
        <w:fldChar w:fldCharType="end"/>
      </w:r>
    </w:p>
    <w:p>
      <w:pPr>
        <w:pStyle w:val="17"/>
        <w:tabs>
          <w:tab w:val="right" w:pos="2000"/>
          <w:tab w:val="right" w:leader="dot" w:pos="9641"/>
          <w:tab w:val="clear" w:pos="9639"/>
        </w:tabs>
      </w:pPr>
      <w:r>
        <w:rPr>
          <w:lang w:val="en-US"/>
        </w:rPr>
        <w:t>8</w:t>
      </w:r>
      <w:r>
        <w:t>.2</w:t>
      </w:r>
      <w:r>
        <w:tab/>
      </w:r>
      <w:r>
        <w:t>Handling assignment requests</w:t>
      </w:r>
      <w:r>
        <w:tab/>
      </w:r>
      <w:r>
        <w:fldChar w:fldCharType="begin"/>
      </w:r>
      <w:r>
        <w:instrText xml:space="preserve"> PAGEREF _Toc7976 \h </w:instrText>
      </w:r>
      <w:r>
        <w:fldChar w:fldCharType="separate"/>
      </w:r>
      <w:r>
        <w:t>26</w:t>
      </w:r>
      <w:r>
        <w:fldChar w:fldCharType="end"/>
      </w:r>
    </w:p>
    <w:p>
      <w:pPr>
        <w:pStyle w:val="17"/>
        <w:tabs>
          <w:tab w:val="right" w:pos="2000"/>
          <w:tab w:val="right" w:leader="dot" w:pos="9641"/>
          <w:tab w:val="clear" w:pos="9639"/>
        </w:tabs>
      </w:pPr>
      <w:r>
        <w:rPr>
          <w:lang w:val="en-US"/>
        </w:rPr>
        <w:t>8</w:t>
      </w:r>
      <w:r>
        <w:t>.3</w:t>
      </w:r>
      <w:r>
        <w:tab/>
      </w:r>
      <w:r>
        <w:t>Update the PRD2</w:t>
      </w:r>
      <w:r>
        <w:rPr>
          <w:lang w:val="en-US"/>
        </w:rPr>
        <w:t>1</w:t>
      </w:r>
      <w:r>
        <w:t xml:space="preserve"> 5G NR CADC list when new version of TS 38.101-X is published</w:t>
      </w:r>
      <w:r>
        <w:tab/>
      </w:r>
      <w:r>
        <w:fldChar w:fldCharType="begin"/>
      </w:r>
      <w:r>
        <w:instrText xml:space="preserve"> PAGEREF _Toc7675 \h </w:instrText>
      </w:r>
      <w:r>
        <w:fldChar w:fldCharType="separate"/>
      </w:r>
      <w:r>
        <w:t>26</w:t>
      </w:r>
      <w:r>
        <w:fldChar w:fldCharType="end"/>
      </w:r>
    </w:p>
    <w:p>
      <w:pPr>
        <w:pStyle w:val="16"/>
        <w:tabs>
          <w:tab w:val="right" w:pos="2000"/>
          <w:tab w:val="right" w:leader="dot" w:pos="9641"/>
          <w:tab w:val="clear" w:pos="9639"/>
        </w:tabs>
      </w:pPr>
      <w:r>
        <w:rPr>
          <w:lang w:val="en-US"/>
        </w:rPr>
        <w:t>8</w:t>
      </w:r>
      <w:r>
        <w:t>.3.1</w:t>
      </w:r>
      <w:r>
        <w:tab/>
      </w:r>
      <w:r>
        <w:t>Update of the "5G NR CADC Configurations" worksheet</w:t>
      </w:r>
      <w:r>
        <w:tab/>
      </w:r>
      <w:r>
        <w:fldChar w:fldCharType="begin"/>
      </w:r>
      <w:r>
        <w:instrText xml:space="preserve"> PAGEREF _Toc23501 \h </w:instrText>
      </w:r>
      <w:r>
        <w:fldChar w:fldCharType="separate"/>
      </w:r>
      <w:r>
        <w:t>26</w:t>
      </w:r>
      <w:r>
        <w:fldChar w:fldCharType="end"/>
      </w:r>
    </w:p>
    <w:p>
      <w:pPr>
        <w:pStyle w:val="16"/>
        <w:tabs>
          <w:tab w:val="right" w:pos="2000"/>
          <w:tab w:val="right" w:leader="dot" w:pos="9641"/>
          <w:tab w:val="clear" w:pos="9639"/>
        </w:tabs>
      </w:pPr>
      <w:r>
        <w:rPr>
          <w:lang w:val="en-US"/>
        </w:rPr>
        <w:t>8</w:t>
      </w:r>
      <w:r>
        <w:t>.3.</w:t>
      </w:r>
      <w:r>
        <w:rPr>
          <w:lang w:val="en-US"/>
        </w:rPr>
        <w:t>2</w:t>
      </w:r>
      <w:r>
        <w:tab/>
      </w:r>
      <w:r>
        <w:t>Update of the "Support data" worksheet</w:t>
      </w:r>
      <w:r>
        <w:tab/>
      </w:r>
      <w:r>
        <w:fldChar w:fldCharType="begin"/>
      </w:r>
      <w:r>
        <w:instrText xml:space="preserve"> PAGEREF _Toc31084 \h </w:instrText>
      </w:r>
      <w:r>
        <w:fldChar w:fldCharType="separate"/>
      </w:r>
      <w:r>
        <w:t>26</w:t>
      </w:r>
      <w:r>
        <w:fldChar w:fldCharType="end"/>
      </w:r>
    </w:p>
    <w:p>
      <w:pPr>
        <w:pStyle w:val="17"/>
        <w:tabs>
          <w:tab w:val="right" w:pos="2000"/>
          <w:tab w:val="right" w:leader="dot" w:pos="9641"/>
          <w:tab w:val="clear" w:pos="9639"/>
        </w:tabs>
      </w:pPr>
      <w:r>
        <w:rPr>
          <w:lang w:val="en-US"/>
        </w:rPr>
        <w:t>8</w:t>
      </w:r>
      <w:r>
        <w:t>.4</w:t>
      </w:r>
      <w:r>
        <w:tab/>
      </w:r>
      <w:r>
        <w:t>Update the PRD21 after end of RAN5 meetings</w:t>
      </w:r>
      <w:r>
        <w:tab/>
      </w:r>
      <w:r>
        <w:fldChar w:fldCharType="begin"/>
      </w:r>
      <w:r>
        <w:instrText xml:space="preserve"> PAGEREF _Toc18814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.1</w:t>
      </w:r>
      <w:r>
        <w:tab/>
      </w:r>
      <w:r>
        <w:t>Update status of NR bands, NR band CBW Extensions and 5G NR CADC Configurations</w:t>
      </w:r>
      <w:r>
        <w:tab/>
      </w:r>
      <w:r>
        <w:fldChar w:fldCharType="begin"/>
      </w:r>
      <w:r>
        <w:instrText xml:space="preserve"> PAGEREF _Toc5100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w:t>
      </w:r>
      <w:r>
        <w:rPr>
          <w:lang w:val="en-US"/>
        </w:rPr>
        <w:t>2</w:t>
      </w:r>
      <w:r>
        <w:tab/>
      </w:r>
      <w:r>
        <w:t>Update when a RAN5 NR bands, NR band CBW Extensions or 5G NR CADC basket WI is closed</w:t>
      </w:r>
      <w:r>
        <w:tab/>
      </w:r>
      <w:r>
        <w:fldChar w:fldCharType="begin"/>
      </w:r>
      <w:r>
        <w:instrText xml:space="preserve"> PAGEREF _Toc9318 \h </w:instrText>
      </w:r>
      <w:r>
        <w:fldChar w:fldCharType="separate"/>
      </w:r>
      <w:r>
        <w:t>27</w:t>
      </w:r>
      <w:r>
        <w:fldChar w:fldCharType="end"/>
      </w:r>
    </w:p>
    <w:p>
      <w:pPr>
        <w:pStyle w:val="17"/>
        <w:tabs>
          <w:tab w:val="right" w:pos="2000"/>
          <w:tab w:val="right" w:leader="dot" w:pos="9641"/>
          <w:tab w:val="clear" w:pos="9639"/>
        </w:tabs>
      </w:pPr>
      <w:r>
        <w:rPr>
          <w:lang w:val="en-US"/>
        </w:rPr>
        <w:t>8</w:t>
      </w:r>
      <w:r>
        <w:t>.5</w:t>
      </w:r>
      <w:r>
        <w:tab/>
      </w:r>
      <w:r>
        <w:t>Update the WP templates</w:t>
      </w:r>
      <w:r>
        <w:tab/>
      </w:r>
      <w:r>
        <w:fldChar w:fldCharType="begin"/>
      </w:r>
      <w:r>
        <w:instrText xml:space="preserve"> PAGEREF _Toc1181 \h </w:instrText>
      </w:r>
      <w:r>
        <w:fldChar w:fldCharType="separate"/>
      </w:r>
      <w:r>
        <w:t>27</w:t>
      </w:r>
      <w:r>
        <w:fldChar w:fldCharType="end"/>
      </w:r>
    </w:p>
    <w:p>
      <w:pPr>
        <w:pStyle w:val="17"/>
        <w:tabs>
          <w:tab w:val="right" w:pos="2000"/>
          <w:tab w:val="right" w:leader="dot" w:pos="9641"/>
          <w:tab w:val="clear" w:pos="9639"/>
        </w:tabs>
      </w:pPr>
      <w:r>
        <w:rPr>
          <w:lang w:val="en-US"/>
        </w:rPr>
        <w:t>8</w:t>
      </w:r>
      <w:r>
        <w:t>.6</w:t>
      </w:r>
      <w:r>
        <w:tab/>
      </w:r>
      <w:r>
        <w:t>Update when PRD21 rapporteur is changed</w:t>
      </w:r>
      <w:r>
        <w:tab/>
      </w:r>
      <w:r>
        <w:fldChar w:fldCharType="begin"/>
      </w:r>
      <w:r>
        <w:instrText xml:space="preserve"> PAGEREF _Toc19511 \h </w:instrText>
      </w:r>
      <w:r>
        <w:fldChar w:fldCharType="separate"/>
      </w:r>
      <w:r>
        <w:t>27</w:t>
      </w:r>
      <w:r>
        <w:fldChar w:fldCharType="end"/>
      </w:r>
    </w:p>
    <w:p>
      <w:pPr>
        <w:pStyle w:val="20"/>
        <w:tabs>
          <w:tab w:val="right" w:leader="dot" w:pos="9641"/>
          <w:tab w:val="clear" w:pos="9639"/>
        </w:tabs>
      </w:pPr>
      <w:r>
        <w:t>Annex A (informative): Change history</w:t>
      </w:r>
      <w:r>
        <w:tab/>
      </w:r>
      <w:r>
        <w:fldChar w:fldCharType="begin"/>
      </w:r>
      <w:r>
        <w:instrText xml:space="preserve"> PAGEREF _Toc9498 \h </w:instrText>
      </w:r>
      <w:r>
        <w:fldChar w:fldCharType="separate"/>
      </w:r>
      <w:r>
        <w:t>27</w:t>
      </w:r>
      <w:r>
        <w:fldChar w:fldCharType="end"/>
      </w:r>
    </w:p>
    <w:p>
      <w:r>
        <w:fldChar w:fldCharType="end"/>
      </w:r>
    </w:p>
    <w:p>
      <w:pPr>
        <w:pStyle w:val="66"/>
        <w:rPr>
          <w:color w:val="auto"/>
        </w:rPr>
      </w:pPr>
      <w:r>
        <w:rPr>
          <w:color w:val="auto"/>
        </w:rPr>
        <w:br w:type="page"/>
      </w:r>
    </w:p>
    <w:p>
      <w:pPr>
        <w:pStyle w:val="2"/>
      </w:pPr>
      <w:bookmarkStart w:id="14" w:name="foreword"/>
      <w:bookmarkEnd w:id="14"/>
      <w:bookmarkStart w:id="15" w:name="_Toc2144"/>
      <w:bookmarkStart w:id="16" w:name="_Toc95140694"/>
      <w:bookmarkStart w:id="17" w:name="_Toc25283"/>
      <w:r>
        <w:t>Foreword</w:t>
      </w:r>
      <w:bookmarkEnd w:id="15"/>
      <w:bookmarkEnd w:id="16"/>
      <w:bookmarkEnd w:id="17"/>
    </w:p>
    <w:p>
      <w:r>
        <w:t>This Permanent Reference Document (PRD) has been produced by the 3</w:t>
      </w:r>
      <w:r>
        <w:rPr>
          <w:vertAlign w:val="superscript"/>
        </w:rPr>
        <w:t>rd</w:t>
      </w:r>
      <w:r>
        <w:t xml:space="preserve"> Generation Partnership Project (3GPP) TSG RAN Working Group 5 (RAN WG5 = RAN5).</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8"/>
      </w:pPr>
      <w:r>
        <w:t>Version x.y.z</w:t>
      </w:r>
    </w:p>
    <w:p>
      <w:pPr>
        <w:pStyle w:val="48"/>
      </w:pPr>
      <w:r>
        <w:t>where:</w:t>
      </w:r>
    </w:p>
    <w:p>
      <w:pPr>
        <w:pStyle w:val="59"/>
      </w:pPr>
      <w:r>
        <w:t>x</w:t>
      </w:r>
      <w:r>
        <w:tab/>
      </w:r>
      <w:r>
        <w:t>the first digit:</w:t>
      </w:r>
    </w:p>
    <w:p>
      <w:pPr>
        <w:pStyle w:val="60"/>
      </w:pPr>
      <w:r>
        <w:t>1</w:t>
      </w:r>
      <w:r>
        <w:tab/>
      </w:r>
      <w:r>
        <w:t>presented to TSG for information;</w:t>
      </w:r>
    </w:p>
    <w:p>
      <w:pPr>
        <w:pStyle w:val="60"/>
      </w:pPr>
      <w:r>
        <w:t>2</w:t>
      </w:r>
      <w:r>
        <w:tab/>
      </w:r>
      <w:r>
        <w:t>presented to TSG for approval;</w:t>
      </w:r>
    </w:p>
    <w:p>
      <w:pPr>
        <w:pStyle w:val="60"/>
      </w:pPr>
      <w:r>
        <w:t>3</w:t>
      </w:r>
      <w:r>
        <w:tab/>
      </w:r>
      <w:r>
        <w:t>or greater indicates TSG approved document under change control.</w:t>
      </w:r>
    </w:p>
    <w:p>
      <w:pPr>
        <w:pStyle w:val="59"/>
      </w:pPr>
      <w:r>
        <w:t>y</w:t>
      </w:r>
      <w:r>
        <w:tab/>
      </w:r>
      <w:r>
        <w:t>the second digit is incremented for all changes of substance, i.e. technical enhancements, corrections, updates, etc.</w:t>
      </w:r>
    </w:p>
    <w:p>
      <w:pPr>
        <w:pStyle w:val="59"/>
      </w:pPr>
      <w:r>
        <w:t>z</w:t>
      </w:r>
      <w:r>
        <w:tab/>
      </w:r>
      <w:r>
        <w:t>the third digit is incremented when editorial only changes have been incorporated in the document.</w:t>
      </w:r>
    </w:p>
    <w:p>
      <w:pPr>
        <w:pStyle w:val="2"/>
      </w:pPr>
      <w:bookmarkStart w:id="18" w:name="introduction"/>
      <w:bookmarkEnd w:id="18"/>
      <w:r>
        <w:br w:type="page"/>
      </w:r>
      <w:bookmarkStart w:id="19" w:name="scope"/>
      <w:bookmarkEnd w:id="19"/>
      <w:bookmarkStart w:id="20" w:name="_Toc13382"/>
      <w:bookmarkStart w:id="21" w:name="_Toc95140695"/>
      <w:bookmarkStart w:id="22" w:name="_Toc2086434"/>
      <w:bookmarkStart w:id="23" w:name="_Toc3078"/>
      <w:r>
        <w:t>Introduction</w:t>
      </w:r>
      <w:bookmarkEnd w:id="20"/>
      <w:bookmarkEnd w:id="21"/>
      <w:bookmarkEnd w:id="22"/>
      <w:bookmarkEnd w:id="23"/>
    </w:p>
    <w:p>
      <w:r>
        <w:t xml:space="preserve">PRD21 describes handling and tracks completion status of RAN5 work items introducing new NR bands, new channel bandwidth extensions of existing NR bands and 5G NR CADC configurations. This also covers handling and tracking of RAN5 work items for introducing new power classes for NR bands and </w:t>
      </w:r>
      <w:r>
        <w:rPr>
          <w:lang w:val="en-US"/>
        </w:rPr>
        <w:t>5</w:t>
      </w:r>
      <w:r>
        <w:t xml:space="preserve">G NR CADC configurations.  </w:t>
      </w:r>
    </w:p>
    <w:p>
      <w:r>
        <w:t xml:space="preserve">PRD21 is based on the RAN5 agreements in [1-10]. </w:t>
      </w:r>
      <w:r>
        <w:rPr>
          <w:lang w:val="en-US"/>
        </w:rPr>
        <w:t>In case of any deviations between PRD21 and the agreements in [1-10], PRD21 takes precedence</w:t>
      </w:r>
      <w:r>
        <w:t>.</w:t>
      </w:r>
    </w:p>
    <w:p>
      <w:r>
        <w:t>Clause 4 provides RAN5 agreed gu</w:t>
      </w:r>
      <w:r>
        <w:rPr>
          <w:lang w:val="en-US"/>
        </w:rPr>
        <w:t>i</w:t>
      </w:r>
      <w:r>
        <w:t xml:space="preserve">delines for the different areas covered by PRD21: </w:t>
      </w:r>
    </w:p>
    <w:p>
      <w:pPr>
        <w:pStyle w:val="48"/>
        <w:rPr>
          <w:lang w:val="en-US"/>
        </w:rPr>
      </w:pPr>
      <w:r>
        <w:rPr>
          <w:lang w:val="en-US"/>
        </w:rPr>
        <w:t>-</w:t>
      </w:r>
      <w:r>
        <w:rPr>
          <w:lang w:val="en-US"/>
        </w:rPr>
        <w:tab/>
      </w:r>
      <w:r>
        <w:rPr>
          <w:lang w:val="en-US"/>
        </w:rPr>
        <w:t>5G NR CADC configurations (sub-clasue 4.1)</w:t>
      </w:r>
    </w:p>
    <w:p>
      <w:pPr>
        <w:pStyle w:val="48"/>
        <w:rPr>
          <w:lang w:val="en-US"/>
        </w:rPr>
      </w:pPr>
      <w:r>
        <w:rPr>
          <w:lang w:val="en-US"/>
        </w:rPr>
        <w:t>-</w:t>
      </w:r>
      <w:r>
        <w:rPr>
          <w:lang w:val="en-US"/>
        </w:rPr>
        <w:tab/>
      </w:r>
      <w:r>
        <w:rPr>
          <w:lang w:val="en-US"/>
        </w:rPr>
        <w:t>New NR bands and CBW extensions (sub-clasue 4.2)</w:t>
      </w:r>
    </w:p>
    <w:p>
      <w:pPr>
        <w:pStyle w:val="48"/>
      </w:pPr>
      <w:r>
        <w:rPr>
          <w:lang w:val="en-US"/>
        </w:rPr>
        <w:t>-</w:t>
      </w:r>
      <w:r>
        <w:rPr>
          <w:lang w:val="en-US"/>
        </w:rPr>
        <w:tab/>
      </w:r>
      <w:r>
        <w:rPr>
          <w:lang w:val="en-US"/>
        </w:rPr>
        <w:t>5G NR feature specific WI</w:t>
      </w:r>
      <w:r>
        <w:t>s impacting 5G NR CADC configurations (</w:t>
      </w:r>
      <w:r>
        <w:rPr>
          <w:lang w:val="en-US"/>
        </w:rPr>
        <w:t xml:space="preserve">sub-clasue </w:t>
      </w:r>
      <w:r>
        <w:t>4.3)</w:t>
      </w:r>
    </w:p>
    <w:p>
      <w:pPr>
        <w:pStyle w:val="48"/>
      </w:pPr>
      <w:r>
        <w:t>-</w:t>
      </w:r>
      <w:r>
        <w:tab/>
      </w:r>
      <w:r>
        <w:rPr>
          <w:lang w:val="en-US"/>
        </w:rPr>
        <w:t>5G NR High Power WI</w:t>
      </w:r>
      <w:r>
        <w:t>s impacting 5G NR CADC configurations (</w:t>
      </w:r>
      <w:r>
        <w:rPr>
          <w:lang w:val="en-US"/>
        </w:rPr>
        <w:t xml:space="preserve">sub-clasue </w:t>
      </w:r>
      <w:r>
        <w:t>4.4)</w:t>
      </w:r>
    </w:p>
    <w:p>
      <w:pPr>
        <w:pStyle w:val="48"/>
      </w:pPr>
      <w:r>
        <w:t>-</w:t>
      </w:r>
      <w:r>
        <w:tab/>
      </w:r>
      <w:r>
        <w:rPr>
          <w:lang w:val="en-US"/>
        </w:rPr>
        <w:t>5G NR CADC fallback configurations without Interested Operator (sub-clasue 4.5)</w:t>
      </w:r>
    </w:p>
    <w:p>
      <w:r>
        <w:t xml:space="preserve">The tracking of completion status, industry priorities and responsibility of NR bands and 5G NR CADC configurations is provided by the PRD21 attached Excel document </w:t>
      </w:r>
      <w:r>
        <w:rPr>
          <w:lang w:eastAsia="zh-TW"/>
        </w:rPr>
        <w:t>"</w:t>
      </w:r>
      <w:r>
        <w:rPr>
          <w:lang w:val="en-US"/>
        </w:rPr>
        <w:t>5G NR bands and CADC</w:t>
      </w:r>
      <w:r>
        <w:t xml:space="preserve"> </w:t>
      </w:r>
      <w:r>
        <w:rPr>
          <w:lang w:val="en-US"/>
        </w:rPr>
        <w:t xml:space="preserve">configurations </w:t>
      </w:r>
      <w:r>
        <w:t>list</w:t>
      </w:r>
      <w:r>
        <w:rPr>
          <w:lang w:eastAsia="zh-TW"/>
        </w:rPr>
        <w:t xml:space="preserve">". Clause 5 gives an overview of the different work sheets in the Excel document. </w:t>
      </w:r>
    </w:p>
    <w:p>
      <w:r>
        <w:t xml:space="preserve">For </w:t>
      </w:r>
      <w:r>
        <w:rPr>
          <w:highlight w:val="green"/>
        </w:rPr>
        <w:t>NR band</w:t>
      </w:r>
      <w:r>
        <w:rPr>
          <w:highlight w:val="green"/>
          <w:lang w:val="en-US"/>
        </w:rPr>
        <w:t>s</w:t>
      </w:r>
      <w:r>
        <w:rPr>
          <w:highlight w:val="green"/>
        </w:rPr>
        <w:t xml:space="preserve"> and</w:t>
      </w:r>
      <w:r>
        <w:rPr>
          <w:highlight w:val="green"/>
          <w:lang w:val="en-US"/>
        </w:rPr>
        <w:t xml:space="preserve"> </w:t>
      </w:r>
      <w:r>
        <w:rPr>
          <w:rFonts w:eastAsia="宋体"/>
          <w:lang w:val="en-US" w:eastAsia="zh-CN"/>
        </w:rPr>
        <w:t>5G NR</w:t>
      </w:r>
      <w:r>
        <w:t xml:space="preserve"> CA</w:t>
      </w:r>
      <w:r>
        <w:rPr>
          <w:rFonts w:eastAsia="宋体"/>
          <w:lang w:val="en-US" w:eastAsia="zh-CN"/>
        </w:rPr>
        <w:t>DC</w:t>
      </w:r>
      <w:r>
        <w:t xml:space="preserve"> configuration work items the handling in RAN5 is based on the following principles endorsed by RAN5 at RAN5#9</w:t>
      </w:r>
      <w:r>
        <w:rPr>
          <w:lang w:val="en-US"/>
        </w:rPr>
        <w:t>4</w:t>
      </w:r>
      <w:r>
        <w:t>-e in [</w:t>
      </w:r>
      <w:r>
        <w:rPr>
          <w:lang w:val="en-US"/>
        </w:rPr>
        <w:t>10</w:t>
      </w:r>
      <w:r>
        <w:t>]:</w:t>
      </w:r>
    </w:p>
    <w:p>
      <w:pPr>
        <w:pStyle w:val="48"/>
      </w:pPr>
      <w:r>
        <w:t>-</w:t>
      </w:r>
      <w:r>
        <w:tab/>
      </w:r>
      <w:r>
        <w:t xml:space="preserve">RAN5 </w:t>
      </w:r>
      <w:r>
        <w:rPr>
          <w:lang w:val="en-US"/>
        </w:rPr>
        <w:t xml:space="preserve">5G NR </w:t>
      </w:r>
      <w:r>
        <w:t>CA</w:t>
      </w:r>
      <w:r>
        <w:rPr>
          <w:lang w:val="en-US"/>
        </w:rPr>
        <w:t>DC</w:t>
      </w:r>
      <w:r>
        <w:t xml:space="preserve"> configuration work items should focus on updating existing test cases and/or adding new test cases for the new type of </w:t>
      </w:r>
      <w:r>
        <w:rPr>
          <w:lang w:val="en-US"/>
        </w:rPr>
        <w:t xml:space="preserve">5G NR </w:t>
      </w:r>
      <w:r>
        <w:t>CA</w:t>
      </w:r>
      <w:r>
        <w:rPr>
          <w:lang w:val="en-US"/>
        </w:rPr>
        <w:t>DC</w:t>
      </w:r>
      <w:r>
        <w:t xml:space="preserve"> configurations introduced by the work item</w:t>
      </w:r>
      <w:r>
        <w:rPr>
          <w:lang w:val="en-US"/>
        </w:rPr>
        <w:t>s</w:t>
      </w:r>
      <w:r>
        <w:t xml:space="preserve">. </w:t>
      </w:r>
      <w:r>
        <w:rPr>
          <w:shd w:val="clear" w:fill="FFC000"/>
        </w:rPr>
        <w:t>There shall be a column named "Status" in the PRD21 5G NR CADC list showing the status of the configuration is "Pending","Ongoing" or "Completed". See clause 3.1 for definition of "Pending","Ongoing" or "Completed"</w:t>
      </w:r>
      <w:r>
        <w:t>.</w:t>
      </w:r>
    </w:p>
    <w:p>
      <w:pPr>
        <w:pStyle w:val="48"/>
        <w:rPr>
          <w:lang w:val="en-US"/>
        </w:rPr>
      </w:pPr>
      <w:r>
        <w:t>-</w:t>
      </w:r>
      <w:r>
        <w:tab/>
      </w:r>
      <w:r>
        <w:t xml:space="preserve">The minimum criteria for closing a RAN5 </w:t>
      </w:r>
      <w:r>
        <w:rPr>
          <w:lang w:val="en-US"/>
        </w:rPr>
        <w:t xml:space="preserve">5G NR </w:t>
      </w:r>
      <w:r>
        <w:t>CA</w:t>
      </w:r>
      <w:r>
        <w:rPr>
          <w:lang w:val="en-US"/>
        </w:rPr>
        <w:t>DC</w:t>
      </w:r>
      <w:r>
        <w:t xml:space="preserve"> </w:t>
      </w:r>
      <w:r>
        <w:rPr>
          <w:highlight w:val="cyan"/>
        </w:rPr>
        <w:t>configuration</w:t>
      </w:r>
      <w:r>
        <w:t xml:space="preserve"> work item is that the associated RAN4 core work item(s) are completed; that all required new or existing test cases have been completed for at least one representative </w:t>
      </w:r>
      <w:r>
        <w:rPr>
          <w:lang w:val="en-US"/>
        </w:rPr>
        <w:t xml:space="preserve">5G NR </w:t>
      </w:r>
      <w:r>
        <w:t>CA</w:t>
      </w:r>
      <w:r>
        <w:rPr>
          <w:lang w:val="en-US"/>
        </w:rPr>
        <w:t>DC</w:t>
      </w:r>
      <w:r>
        <w:t xml:space="preserve"> configuration; and that PRD2</w:t>
      </w:r>
      <w:r>
        <w:rPr>
          <w:lang w:val="en-US"/>
        </w:rPr>
        <w:t>1</w:t>
      </w:r>
      <w:r>
        <w:t xml:space="preserve"> includes all the </w:t>
      </w:r>
      <w:r>
        <w:rPr>
          <w:lang w:val="en-US"/>
        </w:rPr>
        <w:t xml:space="preserve">5G NR </w:t>
      </w:r>
      <w:r>
        <w:t>CA</w:t>
      </w:r>
      <w:r>
        <w:rPr>
          <w:lang w:val="en-US"/>
        </w:rPr>
        <w:t>DC</w:t>
      </w:r>
      <w:r>
        <w:t xml:space="preserve"> configurations introduced by the associated RAN4 core work items.</w:t>
      </w:r>
      <w:r>
        <w:rPr>
          <w:lang w:val="en-US"/>
        </w:rPr>
        <w:t xml:space="preserve"> </w:t>
      </w:r>
      <w:r>
        <w:rPr>
          <w:highlight w:val="green"/>
          <w:lang w:val="en-US"/>
        </w:rPr>
        <w:t>It is encouraged to close a RAN5 5G NR CADC configuration work item when there are no “Ongoing” configurations in the 5G NR CADC configurations list.</w:t>
      </w:r>
      <w:r>
        <w:rPr>
          <w:lang w:val="en-US"/>
        </w:rPr>
        <w:t xml:space="preserve"> </w:t>
      </w:r>
    </w:p>
    <w:p>
      <w:pPr>
        <w:pStyle w:val="48"/>
      </w:pPr>
      <w:r>
        <w:t>-</w:t>
      </w:r>
      <w:r>
        <w:tab/>
      </w:r>
      <w:r>
        <w:t>PRD2</w:t>
      </w:r>
      <w:r>
        <w:rPr>
          <w:lang w:val="en-US"/>
        </w:rPr>
        <w:t>1</w:t>
      </w:r>
      <w:r>
        <w:t xml:space="preserve"> is used to keep track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xml:space="preserve">] </w:t>
      </w:r>
      <w:r>
        <w:rPr>
          <w:lang w:val="en-US"/>
        </w:rPr>
        <w:t xml:space="preserve">5G NR </w:t>
      </w:r>
      <w:r>
        <w:t>CA</w:t>
      </w:r>
      <w:r>
        <w:rPr>
          <w:lang w:val="en-US"/>
        </w:rPr>
        <w:t>DC</w:t>
      </w:r>
      <w:r>
        <w:t xml:space="preserve"> configurations and the status of the configurations in RAN5 conformance test specifications.</w:t>
      </w:r>
    </w:p>
    <w:p>
      <w:pPr>
        <w:pStyle w:val="48"/>
      </w:pPr>
      <w:r>
        <w:rPr>
          <w:shd w:val="clear" w:fill="FFC000"/>
        </w:rPr>
        <w:t>-</w:t>
      </w:r>
      <w:r>
        <w:rPr>
          <w:shd w:val="clear" w:fill="FFC000"/>
        </w:rPr>
        <w:tab/>
      </w:r>
      <w:r>
        <w:rPr>
          <w:rFonts w:hint="eastAsia"/>
          <w:shd w:val="clear" w:fill="FFC000"/>
        </w:rPr>
        <w:t xml:space="preserve">A “Completion Declaration Statement (CDS) + the WP attached” is used to formally declare RAN5 completed NR bands and 5G NR CADC configurations. The RAN5 </w:t>
      </w:r>
      <w:r>
        <w:rPr>
          <w:rFonts w:hint="default"/>
          <w:shd w:val="clear" w:fill="FFC000"/>
          <w:lang w:val="en-US"/>
        </w:rPr>
        <w:t>Tdoc</w:t>
      </w:r>
      <w:r>
        <w:rPr>
          <w:rFonts w:hint="eastAsia"/>
          <w:shd w:val="clear" w:fill="FFC000"/>
        </w:rPr>
        <w:t xml:space="preserve"> number of the CDS would be recorded in the PRD21 list.</w:t>
      </w:r>
    </w:p>
    <w:p>
      <w:pPr>
        <w:pStyle w:val="2"/>
      </w:pPr>
      <w:bookmarkStart w:id="24" w:name="_Toc23028"/>
      <w:bookmarkStart w:id="25" w:name="_Toc10628"/>
      <w:bookmarkStart w:id="26" w:name="_Toc95140696"/>
      <w:r>
        <w:t>1</w:t>
      </w:r>
      <w:r>
        <w:tab/>
      </w:r>
      <w:r>
        <w:t>Scope</w:t>
      </w:r>
      <w:bookmarkEnd w:id="24"/>
      <w:bookmarkEnd w:id="25"/>
      <w:bookmarkEnd w:id="26"/>
    </w:p>
    <w:p>
      <w:bookmarkStart w:id="27" w:name="references"/>
      <w:bookmarkEnd w:id="27"/>
      <w:r>
        <w:t xml:space="preserve">The scope of present document is to track status of for NR bands, NR band CBW extensions and </w:t>
      </w:r>
      <w:r>
        <w:rPr>
          <w:lang w:val="en-US"/>
        </w:rPr>
        <w:t xml:space="preserve">5G NR </w:t>
      </w:r>
      <w:r>
        <w:t>CA</w:t>
      </w:r>
      <w:r>
        <w:rPr>
          <w:lang w:val="en-US"/>
        </w:rPr>
        <w:t>DC</w:t>
      </w:r>
      <w:r>
        <w:t xml:space="preserve"> configurations and its power classes covered by RAN5 work items and to provide a tool and guideline for companies volunteering to take responsibility to introduce new NR bands, NR band CBW extensions and </w:t>
      </w:r>
      <w:r>
        <w:rPr>
          <w:lang w:val="en-US"/>
        </w:rPr>
        <w:t xml:space="preserve">5G NR </w:t>
      </w:r>
      <w:r>
        <w:t>CA</w:t>
      </w:r>
      <w:r>
        <w:rPr>
          <w:lang w:val="en-US"/>
        </w:rPr>
        <w:t>DC</w:t>
      </w:r>
      <w:r>
        <w:t xml:space="preserve"> configurations </w:t>
      </w:r>
      <w:r>
        <w:rPr>
          <w:lang w:val="en-US"/>
        </w:rPr>
        <w:t>in</w:t>
      </w:r>
      <w:r>
        <w:t xml:space="preserve"> 3GPP RAN5 test specifications. </w:t>
      </w:r>
    </w:p>
    <w:p>
      <w:r>
        <w:t>The RAN5 work items covered by RAN5 PRD2</w:t>
      </w:r>
      <w:r>
        <w:rPr>
          <w:lang w:val="en-US"/>
        </w:rPr>
        <w:t>1</w:t>
      </w:r>
      <w:r>
        <w:t xml:space="preserve"> are:</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11"/>
        <w:gridCol w:w="5262"/>
        <w:gridCol w:w="207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1"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2668"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50"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c>
          <w:tcPr>
            <w:tcW w:w="508"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1"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760087</w:t>
            </w:r>
          </w:p>
        </w:tc>
        <w:tc>
          <w:tcPr>
            <w:tcW w:w="2668"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ascii="Calibri" w:hAnsi="Calibri" w:cs="Calibri"/>
                <w:color w:val="000000"/>
                <w:sz w:val="16"/>
                <w:szCs w:val="16"/>
                <w:lang w:eastAsia="en-GB"/>
              </w:rPr>
              <w:t>Rel-15 NR bands, NR CA/DC and EN-DC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1"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2668"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High power UE (power class 2) for EN-DC (1 LTE TDD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Rel-16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ascii="Calibri" w:hAnsi="Calibri" w:cs="Calibri"/>
                <w:color w:val="000000"/>
                <w:sz w:val="16"/>
                <w:szCs w:val="16"/>
                <w:lang w:eastAsia="en-GB"/>
              </w:rPr>
              <w:t>-UEConTest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850062</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New Rel-16 NR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NR_bands_BW_R16-UEConTest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870061</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RF requirements for NR frequency range 1 (FR1)</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NR_RF_FR1-UEConTest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910098</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NR RF requirement enhancements for frequency range 2 (FR2)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NR_RF_FR2_req_enh-UEConTest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911004</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LTE-NR &amp; NR-NR Dual Connectivity and NR CA enhancements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LTE_NR_DC_CA_enh-UEConTest</w:t>
            </w:r>
          </w:p>
        </w:tc>
        <w:tc>
          <w:tcPr>
            <w:tcW w:w="508"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green"/>
                <w:lang w:eastAsia="en-GB"/>
              </w:rPr>
              <w:t>920068</w:t>
            </w:r>
          </w:p>
        </w:tc>
        <w:tc>
          <w:tcPr>
            <w:tcW w:w="2668"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green"/>
                <w:lang w:eastAsia="en-GB"/>
              </w:rPr>
              <w:t>UE Conformance Test Aspects - 29 dBm UE Power Class for LTE Band 41 and NR Band n41</w:t>
            </w:r>
          </w:p>
        </w:tc>
        <w:tc>
          <w:tcPr>
            <w:tcW w:w="1050"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green"/>
                <w:lang w:eastAsia="en-GB"/>
              </w:rPr>
              <w:t>LTE_NR_B41_Bn41_PC29dBm-UEConTest</w:t>
            </w:r>
          </w:p>
        </w:tc>
        <w:tc>
          <w:tcPr>
            <w:tcW w:w="508" w:type="pct"/>
            <w:tcBorders>
              <w:tl2br w:val="nil"/>
              <w:tr2bl w:val="nil"/>
            </w:tcBorders>
            <w:shd w:val="clear" w:color="auto" w:fill="auto"/>
          </w:tcPr>
          <w:p>
            <w:pPr>
              <w:spacing w:after="0"/>
              <w:rPr>
                <w:rFonts w:ascii="Calibri" w:hAnsi="Calibri" w:cs="Calibri"/>
                <w:color w:val="000000"/>
                <w:sz w:val="16"/>
                <w:szCs w:val="16"/>
                <w:highlight w:val="green"/>
                <w:lang w:val="en-US"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890044</w:t>
            </w:r>
          </w:p>
        </w:tc>
        <w:tc>
          <w:tcPr>
            <w:tcW w:w="2668"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UE Conformance Test Aspects - High power UE (power class 2) for EN-DC (1 LTE FDD band + 1 NR TDD band)</w:t>
            </w:r>
          </w:p>
        </w:tc>
        <w:tc>
          <w:tcPr>
            <w:tcW w:w="1050"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ENDC_UE_PC2_FDD_TDD-UEConTest</w:t>
            </w:r>
          </w:p>
        </w:tc>
        <w:tc>
          <w:tcPr>
            <w:tcW w:w="508"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900056</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900055</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New Rel-17 NR licensed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NR_lic_bands_BW_R17-UEConTest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920065</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920066</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930051</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eastAsia="en-GB"/>
              </w:rPr>
              <w:t>930052</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eastAsia="en-GB"/>
              </w:rPr>
              <w:t>UE Conformance - High power UE (power class 1.5) for NR band n79</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eastAsia="en-GB"/>
              </w:rPr>
              <w:t>NR_UE_PC1_5_n79-UEConTest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930053</w:t>
            </w:r>
          </w:p>
        </w:tc>
        <w:tc>
          <w:tcPr>
            <w:tcW w:w="2668"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UE Conformance - High power UE (power class 2) for NR band n34</w:t>
            </w:r>
          </w:p>
        </w:tc>
        <w:tc>
          <w:tcPr>
            <w:tcW w:w="1050"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NR_UE_PC2_n34-UEConTest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930054</w:t>
            </w:r>
          </w:p>
        </w:tc>
        <w:tc>
          <w:tcPr>
            <w:tcW w:w="2668"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UE Conformance - High power UE (power class 2) for NR band n39</w:t>
            </w:r>
          </w:p>
        </w:tc>
        <w:tc>
          <w:tcPr>
            <w:tcW w:w="1050"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NR_UE_PC2_n39-UEConTest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930055</w:t>
            </w:r>
          </w:p>
        </w:tc>
        <w:tc>
          <w:tcPr>
            <w:tcW w:w="2668"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UE Conformance - High-power UE (power class 1.5) operation in NR bands n77 and n78</w:t>
            </w:r>
          </w:p>
        </w:tc>
        <w:tc>
          <w:tcPr>
            <w:tcW w:w="1050"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HPUE_PC1_5_n77_n78-UEConTest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bl>
    <w:p/>
    <w:p>
      <w:pPr>
        <w:pStyle w:val="2"/>
      </w:pPr>
      <w:bookmarkStart w:id="28" w:name="_Toc22008"/>
      <w:bookmarkStart w:id="29" w:name="_Toc676"/>
      <w:bookmarkStart w:id="30" w:name="_Toc95140697"/>
      <w:r>
        <w:t>2</w:t>
      </w:r>
      <w:r>
        <w:tab/>
      </w:r>
      <w:r>
        <w:t>References</w:t>
      </w:r>
      <w:bookmarkEnd w:id="28"/>
      <w:bookmarkEnd w:id="29"/>
      <w:bookmarkEnd w:id="30"/>
    </w:p>
    <w:p>
      <w:pPr>
        <w:pStyle w:val="44"/>
      </w:pPr>
      <w:r>
        <w:t>[1]</w:t>
      </w:r>
      <w:r>
        <w:tab/>
      </w:r>
      <w:bookmarkStart w:id="31" w:name="_Hlk87610176"/>
      <w:r>
        <w:t xml:space="preserve">R5-195406: </w:t>
      </w:r>
      <w:bookmarkStart w:id="32" w:name="_Hlk95134267"/>
      <w:r>
        <w:rPr>
          <w:lang w:eastAsia="zh-TW"/>
        </w:rPr>
        <w:t>"</w:t>
      </w:r>
      <w:bookmarkEnd w:id="32"/>
      <w:r>
        <w:t>WF update for Rel-16 NR CADC band combinations WI</w:t>
      </w:r>
      <w:r>
        <w:rPr>
          <w:lang w:eastAsia="zh-TW"/>
        </w:rPr>
        <w:t>"</w:t>
      </w:r>
      <w:r>
        <w:t>.</w:t>
      </w:r>
      <w:bookmarkEnd w:id="31"/>
    </w:p>
    <w:p>
      <w:pPr>
        <w:pStyle w:val="44"/>
      </w:pPr>
      <w:r>
        <w:t>[2]</w:t>
      </w:r>
      <w:r>
        <w:tab/>
      </w:r>
      <w:r>
        <w:t xml:space="preserve">R5-197600: </w:t>
      </w:r>
      <w:r>
        <w:rPr>
          <w:lang w:eastAsia="zh-TW"/>
        </w:rPr>
        <w:t>"</w:t>
      </w:r>
      <w:r>
        <w:t>WF update for Rel-16 NR CADC band combinations WI</w:t>
      </w:r>
      <w:r>
        <w:rPr>
          <w:lang w:eastAsia="zh-TW"/>
        </w:rPr>
        <w:t>"</w:t>
      </w:r>
      <w:r>
        <w:t>.</w:t>
      </w:r>
    </w:p>
    <w:p>
      <w:pPr>
        <w:pStyle w:val="44"/>
      </w:pPr>
      <w:bookmarkStart w:id="33" w:name="_Hlk87610497"/>
      <w:r>
        <w:t>[3]</w:t>
      </w:r>
      <w:r>
        <w:tab/>
      </w:r>
      <w:r>
        <w:t>R5-198048</w:t>
      </w:r>
      <w:r>
        <w:rPr>
          <w:lang w:val="en-US"/>
        </w:rPr>
        <w:t xml:space="preserve">: </w:t>
      </w:r>
      <w:r>
        <w:rPr>
          <w:lang w:eastAsia="zh-TW"/>
        </w:rPr>
        <w:t>"</w:t>
      </w:r>
      <w:r>
        <w:rPr>
          <w:lang w:val="en-US"/>
        </w:rPr>
        <w:t>Discussion on how to update Rel-16 NR CA/DC band combinations WI</w:t>
      </w:r>
      <w:r>
        <w:rPr>
          <w:lang w:eastAsia="zh-TW"/>
        </w:rPr>
        <w:t>"</w:t>
      </w:r>
      <w:r>
        <w:t>.</w:t>
      </w:r>
      <w:bookmarkEnd w:id="33"/>
    </w:p>
    <w:p>
      <w:pPr>
        <w:pStyle w:val="44"/>
        <w:rPr>
          <w:lang w:val="en-US"/>
        </w:rPr>
      </w:pPr>
      <w:r>
        <w:rPr>
          <w:lang w:val="en-US"/>
        </w:rPr>
        <w:t>[4]</w:t>
      </w:r>
      <w:r>
        <w:rPr>
          <w:lang w:val="en-US"/>
        </w:rPr>
        <w:tab/>
      </w:r>
      <w:r>
        <w:rPr>
          <w:lang w:val="en-US"/>
        </w:rPr>
        <w:t xml:space="preserve">R5-201917: </w:t>
      </w:r>
      <w:r>
        <w:rPr>
          <w:lang w:eastAsia="zh-TW"/>
        </w:rPr>
        <w:t>"</w:t>
      </w:r>
      <w:r>
        <w:rPr>
          <w:lang w:val="en-US"/>
        </w:rPr>
        <w:t>Discussion on how to introduce Rel-16/15 NR CADC band combinations/new bands/new BWs into TS 38.521-1/-2/-3</w:t>
      </w:r>
      <w:r>
        <w:rPr>
          <w:lang w:eastAsia="zh-TW"/>
        </w:rPr>
        <w:t>"</w:t>
      </w:r>
      <w:r>
        <w:rPr>
          <w:lang w:val="en-US"/>
        </w:rPr>
        <w:t>.</w:t>
      </w:r>
    </w:p>
    <w:p>
      <w:pPr>
        <w:pStyle w:val="44"/>
        <w:rPr>
          <w:lang w:val="en-US"/>
        </w:rPr>
      </w:pPr>
      <w:r>
        <w:rPr>
          <w:lang w:val="en-US"/>
        </w:rPr>
        <w:t>[5]</w:t>
      </w:r>
      <w:r>
        <w:rPr>
          <w:lang w:val="en-US"/>
        </w:rPr>
        <w:tab/>
      </w:r>
      <w:r>
        <w:rPr>
          <w:lang w:val="en-US"/>
        </w:rPr>
        <w:t xml:space="preserve">R5-212566: </w:t>
      </w:r>
      <w:r>
        <w:rPr>
          <w:lang w:eastAsia="zh-TW"/>
        </w:rPr>
        <w:t>"</w:t>
      </w:r>
      <w:r>
        <w:rPr>
          <w:lang w:val="en-US"/>
        </w:rPr>
        <w:t>Way forward on how to bring contributions to "NR_CADC_NR_LTE_DC_R16-UEConTest</w:t>
      </w:r>
      <w:r>
        <w:rPr>
          <w:lang w:eastAsia="zh-TW"/>
        </w:rPr>
        <w:t>"</w:t>
      </w:r>
      <w:r>
        <w:rPr>
          <w:lang w:val="en-US"/>
        </w:rPr>
        <w:t xml:space="preserve"> WI and "NR_CADC_NR_LTE_DC_R17-UEConTest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[6]</w:t>
      </w:r>
      <w:r>
        <w:rPr>
          <w:lang w:val="en-US"/>
        </w:rPr>
        <w:tab/>
      </w:r>
      <w:r>
        <w:rPr>
          <w:lang w:val="en-US"/>
        </w:rPr>
        <w:t xml:space="preserve">R5-215709: </w:t>
      </w:r>
      <w:r>
        <w:rPr>
          <w:lang w:eastAsia="zh-TW"/>
        </w:rPr>
        <w:t>"</w:t>
      </w:r>
      <w:r>
        <w:rPr>
          <w:lang w:val="en-US"/>
        </w:rPr>
        <w:t>Handling of CA/DC basket WIs and HP (high power) WIs</w:t>
      </w:r>
      <w:r>
        <w:rPr>
          <w:lang w:eastAsia="zh-TW"/>
        </w:rPr>
        <w:t>"</w:t>
      </w:r>
      <w:r>
        <w:rPr>
          <w:lang w:val="en-US"/>
        </w:rPr>
        <w:t>.</w:t>
      </w:r>
    </w:p>
    <w:p>
      <w:pPr>
        <w:pStyle w:val="44"/>
        <w:rPr>
          <w:lang w:val="en-US"/>
        </w:rPr>
      </w:pPr>
      <w:r>
        <w:rPr>
          <w:lang w:val="en-US"/>
        </w:rPr>
        <w:t>[7]</w:t>
      </w:r>
      <w:r>
        <w:rPr>
          <w:lang w:val="en-US"/>
        </w:rPr>
        <w:tab/>
      </w:r>
      <w:r>
        <w:rPr>
          <w:lang w:val="en-US"/>
        </w:rPr>
        <w:t xml:space="preserve">R5-217504: </w:t>
      </w:r>
      <w:r>
        <w:rPr>
          <w:lang w:eastAsia="zh-TW"/>
        </w:rPr>
        <w:t>"</w:t>
      </w:r>
      <w:r>
        <w:rPr>
          <w:lang w:val="en-US"/>
        </w:rPr>
        <w:t>Way forward on how to bring contributions to "NR_CADC_NR_LTE_DC_R16-UEConTest</w:t>
      </w:r>
      <w:r>
        <w:rPr>
          <w:lang w:eastAsia="zh-TW"/>
        </w:rPr>
        <w:t>"</w:t>
      </w:r>
      <w:r>
        <w:rPr>
          <w:lang w:val="en-US"/>
        </w:rPr>
        <w:t xml:space="preserve"> WI and </w:t>
      </w:r>
      <w:r>
        <w:rPr>
          <w:lang w:eastAsia="zh-TW"/>
        </w:rPr>
        <w:t>"</w:t>
      </w:r>
      <w:r>
        <w:rPr>
          <w:lang w:val="en-US"/>
        </w:rPr>
        <w:t>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[8]</w:t>
      </w:r>
      <w:r>
        <w:rPr>
          <w:lang w:val="en-US"/>
        </w:rPr>
        <w:tab/>
      </w:r>
      <w:r>
        <w:rPr>
          <w:lang w:val="en-US"/>
        </w:rPr>
        <w:t xml:space="preserve">R5-217767: </w:t>
      </w:r>
      <w:r>
        <w:rPr>
          <w:lang w:eastAsia="zh-TW"/>
        </w:rPr>
        <w:t>"</w:t>
      </w:r>
      <w:r>
        <w:rPr>
          <w:lang w:val="en-US"/>
        </w:rPr>
        <w:t>Checklist - NR CA; NR-DC and EN-DC configurations for RAN5#93-e</w:t>
      </w:r>
      <w:r>
        <w:rPr>
          <w:lang w:eastAsia="zh-TW"/>
        </w:rPr>
        <w:t>"</w:t>
      </w:r>
      <w:r>
        <w:rPr>
          <w:lang w:val="en-US"/>
        </w:rPr>
        <w:t>.</w:t>
      </w:r>
    </w:p>
    <w:p>
      <w:pPr>
        <w:pStyle w:val="44"/>
        <w:rPr>
          <w:lang w:val="en-US"/>
        </w:rPr>
      </w:pPr>
      <w:r>
        <w:rPr>
          <w:lang w:val="en-US"/>
        </w:rPr>
        <w:t>[9]</w:t>
      </w:r>
      <w:r>
        <w:rPr>
          <w:lang w:val="en-US"/>
        </w:rPr>
        <w:tab/>
      </w:r>
      <w:r>
        <w:rPr>
          <w:lang w:val="en-US"/>
        </w:rPr>
        <w:t xml:space="preserve">R5-217498: </w:t>
      </w:r>
      <w:r>
        <w:rPr>
          <w:lang w:eastAsia="zh-TW"/>
        </w:rPr>
        <w:t>"</w:t>
      </w:r>
      <w:r>
        <w:rPr>
          <w:lang w:val="en-US"/>
        </w:rPr>
        <w:t>Checklist - Rel-17 NR CA; NR-DC and EN-DC configurations for RAN5#93-e</w:t>
      </w:r>
      <w:r>
        <w:rPr>
          <w:lang w:eastAsia="zh-TW"/>
        </w:rPr>
        <w:t>"</w:t>
      </w:r>
    </w:p>
    <w:p>
      <w:pPr>
        <w:pStyle w:val="44"/>
        <w:rPr>
          <w:lang w:val="en-US"/>
        </w:rPr>
      </w:pPr>
      <w:r>
        <w:rPr>
          <w:lang w:val="en-US"/>
        </w:rPr>
        <w:t>[10]</w:t>
      </w:r>
      <w:r>
        <w:rPr>
          <w:lang w:val="en-US"/>
        </w:rPr>
        <w:tab/>
      </w:r>
      <w:r>
        <w:rPr>
          <w:lang w:val="en-US"/>
        </w:rPr>
        <w:t>R5-22</w:t>
      </w:r>
      <w:r>
        <w:rPr>
          <w:rFonts w:hint="default"/>
          <w:highlight w:val="none"/>
          <w:shd w:val="clear" w:fill="FFC000"/>
          <w:lang w:val="en-US"/>
        </w:rPr>
        <w:t>1397</w:t>
      </w:r>
      <w:r>
        <w:rPr>
          <w:lang w:val="en-US"/>
        </w:rPr>
        <w:t xml:space="preserve">: </w:t>
      </w:r>
      <w:r>
        <w:rPr>
          <w:lang w:eastAsia="zh-TW"/>
        </w:rPr>
        <w:t>"</w:t>
      </w:r>
      <w:r>
        <w:rPr>
          <w:lang w:val="en-US"/>
        </w:rPr>
        <w:t>Discussion on 5G NR CADC configuration handling in RAN5</w:t>
      </w:r>
      <w:r>
        <w:rPr>
          <w:lang w:eastAsia="zh-TW"/>
        </w:rPr>
        <w:t>"</w:t>
      </w:r>
      <w:r>
        <w:rPr>
          <w:lang w:val="en-US"/>
        </w:rPr>
        <w:t>.</w:t>
      </w:r>
    </w:p>
    <w:p>
      <w:pPr>
        <w:pStyle w:val="44"/>
      </w:pPr>
      <w:r>
        <w:rPr>
          <w:lang w:val="en-US"/>
        </w:rPr>
        <w:t>[11]</w:t>
      </w:r>
      <w:r>
        <w:rPr>
          <w:lang w:val="en-US"/>
        </w:rPr>
        <w:tab/>
      </w:r>
      <w:r>
        <w:t xml:space="preserve">3GPP TS 38.101-1: </w:t>
      </w:r>
      <w:r>
        <w:rPr>
          <w:lang w:eastAsia="zh-TW"/>
        </w:rPr>
        <w:t>"</w:t>
      </w:r>
      <w:r>
        <w:t>NR; User Equipment (UE) radio transmission and reception; Part 1: Range 1 Standalone</w:t>
      </w:r>
      <w:r>
        <w:rPr>
          <w:lang w:eastAsia="zh-TW"/>
        </w:rPr>
        <w:t>"</w:t>
      </w:r>
      <w:r>
        <w:t>.</w:t>
      </w:r>
    </w:p>
    <w:p>
      <w:pPr>
        <w:pStyle w:val="44"/>
      </w:pPr>
      <w:r>
        <w:rPr>
          <w:lang w:val="en-US"/>
        </w:rPr>
        <w:t>[12]</w:t>
      </w:r>
      <w:r>
        <w:rPr>
          <w:lang w:val="en-US"/>
        </w:rPr>
        <w:tab/>
      </w:r>
      <w:r>
        <w:t xml:space="preserve">3GPP TS 38.101-2: </w:t>
      </w:r>
      <w:r>
        <w:rPr>
          <w:lang w:eastAsia="zh-TW"/>
        </w:rPr>
        <w:t>"</w:t>
      </w:r>
      <w:r>
        <w:t>NR; User Equipment (UE) radio transmission and reception; Part 2: Range 2 Standalone</w:t>
      </w:r>
      <w:r>
        <w:rPr>
          <w:lang w:eastAsia="zh-TW"/>
        </w:rPr>
        <w:t>"</w:t>
      </w:r>
      <w:r>
        <w:t>.</w:t>
      </w:r>
    </w:p>
    <w:p>
      <w:pPr>
        <w:pStyle w:val="44"/>
      </w:pPr>
      <w:r>
        <w:t>[</w:t>
      </w:r>
      <w:r>
        <w:rPr>
          <w:lang w:val="en-US"/>
        </w:rPr>
        <w:t>13</w:t>
      </w:r>
      <w:r>
        <w:t>]</w:t>
      </w:r>
      <w:r>
        <w:tab/>
      </w:r>
      <w:r>
        <w:t xml:space="preserve">3GPP TS 38.101-3: </w:t>
      </w:r>
      <w:r>
        <w:rPr>
          <w:lang w:eastAsia="zh-TW"/>
        </w:rPr>
        <w:t>"</w:t>
      </w:r>
      <w:r>
        <w:t>NR; User Equipment (UE) radio transmission and reception; Part 3: Range 1 and Range 2 Interworking operation with other radios</w:t>
      </w:r>
      <w:r>
        <w:rPr>
          <w:lang w:eastAsia="zh-TW"/>
        </w:rPr>
        <w:t>"</w:t>
      </w:r>
      <w:r>
        <w:t>.</w:t>
      </w:r>
    </w:p>
    <w:p>
      <w:pPr>
        <w:pStyle w:val="44"/>
      </w:pPr>
      <w:r>
        <w:rPr>
          <w:lang w:val="en-US"/>
        </w:rPr>
        <w:t>[14]</w:t>
      </w:r>
      <w:r>
        <w:rPr>
          <w:lang w:val="en-US"/>
        </w:rPr>
        <w:tab/>
      </w:r>
      <w:r>
        <w:t>3GPP TS 38.</w:t>
      </w:r>
      <w:r>
        <w:rPr>
          <w:lang w:val="en-US"/>
        </w:rPr>
        <w:t>52</w:t>
      </w:r>
      <w:r>
        <w:t xml:space="preserve">1-1: </w:t>
      </w:r>
      <w:r>
        <w:rPr>
          <w:lang w:eastAsia="zh-TW"/>
        </w:rPr>
        <w:t>"</w:t>
      </w:r>
      <w:r>
        <w:t xml:space="preserve">NR; User Equipment (UE) conformance specification; Radio transmission and reception; Part </w:t>
      </w:r>
      <w:r>
        <w:rPr>
          <w:lang w:val="en-US"/>
        </w:rPr>
        <w:t>1</w:t>
      </w:r>
      <w:r>
        <w:t xml:space="preserve">: Range </w:t>
      </w:r>
      <w:r>
        <w:rPr>
          <w:lang w:val="en-US"/>
        </w:rPr>
        <w:t>1</w:t>
      </w:r>
      <w:r>
        <w:t xml:space="preserve"> Standalone</w:t>
      </w:r>
      <w:r>
        <w:rPr>
          <w:lang w:eastAsia="zh-TW"/>
        </w:rPr>
        <w:t>"</w:t>
      </w:r>
      <w:r>
        <w:t>.</w:t>
      </w:r>
    </w:p>
    <w:p>
      <w:pPr>
        <w:pStyle w:val="44"/>
      </w:pPr>
      <w:r>
        <w:rPr>
          <w:lang w:val="en-US"/>
        </w:rPr>
        <w:t>[15]</w:t>
      </w:r>
      <w:r>
        <w:rPr>
          <w:lang w:val="en-US"/>
        </w:rPr>
        <w:tab/>
      </w:r>
      <w:r>
        <w:t xml:space="preserve">3GPP TS 38.521-2: </w:t>
      </w:r>
      <w:r>
        <w:rPr>
          <w:lang w:eastAsia="zh-TW"/>
        </w:rPr>
        <w:t>"</w:t>
      </w:r>
      <w:r>
        <w:t>NR; User Equipment (UE) conformance specification; Radio transmission and reception; Part 2: Range 2 Standalone</w:t>
      </w:r>
      <w:r>
        <w:rPr>
          <w:lang w:eastAsia="zh-TW"/>
        </w:rPr>
        <w:t>"</w:t>
      </w:r>
      <w:r>
        <w:t>.</w:t>
      </w:r>
    </w:p>
    <w:p>
      <w:pPr>
        <w:pStyle w:val="44"/>
      </w:pPr>
      <w:r>
        <w:rPr>
          <w:lang w:val="en-US"/>
        </w:rPr>
        <w:t>[16]</w:t>
      </w:r>
      <w:r>
        <w:rPr>
          <w:lang w:val="en-US"/>
        </w:rPr>
        <w:tab/>
      </w:r>
      <w:r>
        <w:t>3GPP TS 38.521-3: “NR; User Equipment (UE) conformance specification; Radio transmission and reception; Part 3: Range 1 and Range 2 Interworking operation with other radios”.</w:t>
      </w:r>
    </w:p>
    <w:p>
      <w:pPr>
        <w:pStyle w:val="44"/>
        <w:rPr>
          <w:lang w:val="en-US"/>
        </w:rPr>
      </w:pPr>
      <w:r>
        <w:t>[17]</w:t>
      </w:r>
      <w:r>
        <w:tab/>
      </w:r>
      <w:r>
        <w:t>3GPP TS 38.508-2: "5GS; User Equipment (UE) conformance specification; Part 2: Common Implementation Conformance Statement (ICS) proforma"</w:t>
      </w:r>
    </w:p>
    <w:p>
      <w:pPr>
        <w:pStyle w:val="44"/>
        <w:rPr>
          <w:lang w:val="en-US"/>
        </w:rPr>
      </w:pPr>
    </w:p>
    <w:p>
      <w:pPr>
        <w:pStyle w:val="2"/>
      </w:pPr>
      <w:bookmarkStart w:id="34" w:name="definitions"/>
      <w:bookmarkEnd w:id="34"/>
      <w:bookmarkStart w:id="35" w:name="_Toc7992"/>
      <w:bookmarkStart w:id="36" w:name="_Toc95140698"/>
      <w:bookmarkStart w:id="37" w:name="_Toc10796"/>
      <w:r>
        <w:t>3</w:t>
      </w:r>
      <w:r>
        <w:tab/>
      </w:r>
      <w:r>
        <w:t>Definitions of terms, symbols and abbreviations</w:t>
      </w:r>
      <w:bookmarkEnd w:id="35"/>
      <w:bookmarkEnd w:id="36"/>
      <w:bookmarkEnd w:id="37"/>
    </w:p>
    <w:p>
      <w:pPr>
        <w:pStyle w:val="3"/>
        <w:rPr>
          <w:bCs/>
        </w:rPr>
      </w:pPr>
      <w:bookmarkStart w:id="38" w:name="_Toc32643"/>
      <w:bookmarkStart w:id="39" w:name="_Toc95140699"/>
      <w:bookmarkStart w:id="40" w:name="_Toc17040"/>
      <w:r>
        <w:t>3.1</w:t>
      </w:r>
      <w:r>
        <w:tab/>
      </w:r>
      <w:r>
        <w:t>Terms</w:t>
      </w:r>
      <w:bookmarkEnd w:id="38"/>
      <w:bookmarkEnd w:id="39"/>
      <w:bookmarkEnd w:id="40"/>
    </w:p>
    <w:p>
      <w:pPr>
        <w:rPr>
          <w:bCs/>
        </w:rPr>
      </w:pPr>
      <w:r>
        <w:rPr>
          <w:b/>
        </w:rPr>
        <w:t>5G NR CADC configuration</w:t>
      </w:r>
      <w:r>
        <w:rPr>
          <w:bCs/>
        </w:rPr>
        <w:t xml:space="preserve">: A </w:t>
      </w:r>
      <w:bookmarkStart w:id="41" w:name="_Hlk94088569"/>
      <w:r>
        <w:rPr>
          <w:bCs/>
        </w:rPr>
        <w:t>NR CA, NR-DC, NR SUL, NE-DC or EN-DC configuration</w:t>
      </w:r>
      <w:bookmarkEnd w:id="41"/>
      <w:r>
        <w:rPr>
          <w:bCs/>
        </w:rPr>
        <w:t xml:space="preserve"> as specified in </w:t>
      </w:r>
      <w:r>
        <w:t>TS 38.101-1 [11], TS 38.101-2 [12] and TS 38.101-3 [13]</w:t>
      </w:r>
      <w:r>
        <w:rPr>
          <w:bCs/>
        </w:rPr>
        <w:t>.</w:t>
      </w:r>
    </w:p>
    <w:p>
      <w:pPr>
        <w:rPr>
          <w:bCs/>
        </w:rPr>
      </w:pPr>
      <w:r>
        <w:rPr>
          <w:b/>
        </w:rPr>
        <w:t>Assigned configuration</w:t>
      </w:r>
      <w:r>
        <w:rPr>
          <w:bCs/>
        </w:rPr>
        <w:t xml:space="preserve">: </w:t>
      </w:r>
      <w:r>
        <w:rPr>
          <w:bCs/>
          <w:lang w:val="en-US"/>
        </w:rPr>
        <w:t>A</w:t>
      </w:r>
      <w:r>
        <w:rPr>
          <w:bCs/>
        </w:rPr>
        <w:t xml:space="preserve"> </w:t>
      </w:r>
      <w:r>
        <w:rPr>
          <w:lang w:val="en-US"/>
        </w:rPr>
        <w:t xml:space="preserve">5G NR </w:t>
      </w:r>
      <w:r>
        <w:t>CA</w:t>
      </w:r>
      <w:r>
        <w:rPr>
          <w:lang w:val="en-US"/>
        </w:rPr>
        <w:t>DC Ongoing</w:t>
      </w:r>
      <w:r>
        <w:rPr>
          <w:bCs/>
        </w:rPr>
        <w:t xml:space="preserve"> </w:t>
      </w:r>
      <w:r>
        <w:rPr>
          <w:bCs/>
          <w:lang w:val="en-US"/>
        </w:rPr>
        <w:t>c</w:t>
      </w:r>
      <w:r>
        <w:rPr>
          <w:bCs/>
        </w:rPr>
        <w:t>onfiguration is assigned to a company volunteering to take responsibility to make sure that the necessary contributions to include the configuration into RAN5 conformance test specifications are prepared, submitted and agreed in RAN5.</w:t>
      </w:r>
    </w:p>
    <w:p>
      <w:pPr>
        <w:rPr>
          <w:bCs/>
        </w:rPr>
      </w:pPr>
      <w:r>
        <w:rPr>
          <w:b/>
        </w:rPr>
        <w:t>Completed configuration</w:t>
      </w:r>
      <w:r>
        <w:rPr>
          <w:bCs/>
        </w:rPr>
        <w:t xml:space="preserve">: </w:t>
      </w:r>
      <w:r>
        <w:rPr>
          <w:bCs/>
        </w:rPr>
        <w:tab/>
      </w:r>
      <w:r>
        <w:rPr>
          <w:bCs/>
        </w:rPr>
        <w:t xml:space="preserve">All CRs required to make the </w:t>
      </w:r>
      <w:r>
        <w:rPr>
          <w:lang w:val="en-US"/>
        </w:rPr>
        <w:t xml:space="preserve">5G NR </w:t>
      </w:r>
      <w:r>
        <w:t>CA</w:t>
      </w:r>
      <w:r>
        <w:rPr>
          <w:lang w:val="en-US"/>
        </w:rPr>
        <w:t>DC</w:t>
      </w:r>
      <w:r>
        <w:rPr>
          <w:bCs/>
        </w:rPr>
        <w:t xml:space="preserve"> configuration completed have been agreed by RAN5 for inclusion in next version of impacted RAN5 conformance test specifications.</w:t>
      </w:r>
    </w:p>
    <w:p>
      <w:pPr>
        <w:rPr>
          <w:b/>
          <w:bCs/>
          <w:lang w:val="en-US"/>
        </w:rPr>
      </w:pPr>
      <w:r>
        <w:rPr>
          <w:b/>
          <w:bCs/>
          <w:lang w:val="en-US"/>
        </w:rPr>
        <w:t>Configuration specific WIs</w:t>
      </w:r>
      <w:r>
        <w:rPr>
          <w:bCs/>
        </w:rPr>
        <w:t xml:space="preserve">: </w:t>
      </w:r>
      <w:r>
        <w:rPr>
          <w:bCs/>
          <w:lang w:val="en-US"/>
        </w:rPr>
        <w:t>A work item is to introduce new configurations into RAN5 test specifications.</w:t>
      </w:r>
    </w:p>
    <w:p>
      <w:pPr>
        <w:rPr>
          <w:bCs/>
          <w:lang w:val="en-US"/>
        </w:rPr>
      </w:pPr>
      <w:r>
        <w:rPr>
          <w:b/>
          <w:bCs/>
          <w:lang w:val="en-US"/>
        </w:rPr>
        <w:t>Feature specific configuration</w:t>
      </w:r>
      <w:r>
        <w:rPr>
          <w:bCs/>
        </w:rPr>
        <w:t xml:space="preserve">: </w:t>
      </w:r>
      <w:r>
        <w:rPr>
          <w:bCs/>
          <w:lang w:val="en-US"/>
        </w:rPr>
        <w:t xml:space="preserve">A configuration is </w:t>
      </w:r>
      <w:r>
        <w:rPr>
          <w:bCs/>
          <w:highlight w:val="cyan"/>
          <w:lang w:val="en-US"/>
        </w:rPr>
        <w:t>included in the scope of a feature specific WI and is used</w:t>
      </w:r>
      <w:r>
        <w:rPr>
          <w:bCs/>
          <w:lang w:val="en-US"/>
        </w:rPr>
        <w:t xml:space="preserve"> to introduce new features into RAN4 technical specifications.</w:t>
      </w:r>
    </w:p>
    <w:p>
      <w:pPr>
        <w:shd w:val="clear" w:fill="FFC000"/>
        <w:rPr>
          <w:b/>
          <w:bCs/>
          <w:lang w:val="en-US"/>
        </w:rPr>
      </w:pPr>
      <w:r>
        <w:rPr>
          <w:b/>
          <w:bCs/>
          <w:lang w:val="en-US"/>
        </w:rPr>
        <w:t>Feature specific WIs</w:t>
      </w:r>
      <w:r>
        <w:rPr>
          <w:bCs/>
        </w:rPr>
        <w:t xml:space="preserve">: </w:t>
      </w:r>
      <w:r>
        <w:rPr>
          <w:bCs/>
          <w:lang w:val="en-US"/>
        </w:rPr>
        <w:t>A work item is to introduce new features into RAN5 test specifications.</w:t>
      </w:r>
      <w:r>
        <w:rPr>
          <w:b/>
          <w:bCs/>
          <w:lang w:val="en-US"/>
        </w:rPr>
        <w:t xml:space="preserve"> </w:t>
      </w:r>
    </w:p>
    <w:p>
      <w:pPr>
        <w:shd w:val="clear" w:fill="FFC000"/>
        <w:rPr>
          <w:bCs/>
          <w:lang w:val="en-US"/>
        </w:rPr>
      </w:pPr>
      <w:r>
        <w:rPr>
          <w:b/>
        </w:rPr>
        <w:t>Ongoing configuration</w:t>
      </w:r>
      <w:r>
        <w:rPr>
          <w:bCs/>
        </w:rPr>
        <w:t xml:space="preserve">: A </w:t>
      </w:r>
      <w:r>
        <w:rPr>
          <w:lang w:val="en-US"/>
        </w:rPr>
        <w:t xml:space="preserve">5G NR </w:t>
      </w:r>
      <w:r>
        <w:t>CA</w:t>
      </w:r>
      <w:r>
        <w:rPr>
          <w:lang w:val="en-US"/>
        </w:rPr>
        <w:t>DC</w:t>
      </w:r>
      <w:r>
        <w:rPr>
          <w:bCs/>
        </w:rPr>
        <w:t xml:space="preserve"> configuration that has been </w:t>
      </w:r>
      <w:r>
        <w:rPr>
          <w:bCs/>
          <w:lang w:val="en-US"/>
        </w:rPr>
        <w:t>interested by at least one</w:t>
      </w:r>
      <w:r>
        <w:rPr>
          <w:bCs/>
        </w:rPr>
        <w:t xml:space="preserve"> </w:t>
      </w:r>
      <w:r>
        <w:rPr>
          <w:bCs/>
          <w:lang w:val="en-US"/>
        </w:rPr>
        <w:t xml:space="preserve">operator </w:t>
      </w:r>
      <w:r>
        <w:rPr>
          <w:bCs/>
        </w:rPr>
        <w:t xml:space="preserve">and is open for </w:t>
      </w:r>
      <w:r>
        <w:rPr>
          <w:bCs/>
          <w:lang w:val="en-US"/>
        </w:rPr>
        <w:t xml:space="preserve">assignment or </w:t>
      </w:r>
      <w:r>
        <w:rPr>
          <w:bCs/>
        </w:rPr>
        <w:t>contributions in RAN5.</w:t>
      </w:r>
      <w:r>
        <w:rPr>
          <w:bCs/>
          <w:lang w:val="en-US"/>
        </w:rPr>
        <w:t xml:space="preserve"> As long as a </w:t>
      </w:r>
      <w:r>
        <w:rPr>
          <w:lang w:val="en-US"/>
        </w:rPr>
        <w:t xml:space="preserve">5G NR </w:t>
      </w:r>
      <w:r>
        <w:t>CA</w:t>
      </w:r>
      <w:r>
        <w:rPr>
          <w:lang w:val="en-US"/>
        </w:rPr>
        <w:t>DC</w:t>
      </w:r>
      <w:r>
        <w:rPr>
          <w:bCs/>
        </w:rPr>
        <w:t xml:space="preserve"> configuration</w:t>
      </w:r>
      <w:r>
        <w:rPr>
          <w:bCs/>
          <w:lang w:val="en-US"/>
        </w:rPr>
        <w:t xml:space="preserve"> has been interested by at least one operator in RAN5, it can be regarded as an Ongoing configuration no matter it has been assigned to a volunteering company or not. </w:t>
      </w:r>
    </w:p>
    <w:p>
      <w:pPr>
        <w:shd w:val="clear" w:fill="FFC000"/>
        <w:rPr>
          <w:bCs/>
          <w:lang w:val="en-US"/>
        </w:rPr>
      </w:pPr>
      <w:r>
        <w:rPr>
          <w:b/>
        </w:rPr>
        <w:t>Pending configuration</w:t>
      </w:r>
      <w:r>
        <w:rPr>
          <w:bCs/>
        </w:rPr>
        <w:t xml:space="preserve">: A </w:t>
      </w:r>
      <w:r>
        <w:rPr>
          <w:lang w:val="en-US"/>
        </w:rPr>
        <w:t xml:space="preserve">5G NR </w:t>
      </w:r>
      <w:r>
        <w:t>CA</w:t>
      </w:r>
      <w:r>
        <w:rPr>
          <w:lang w:val="en-US"/>
        </w:rPr>
        <w:t>DC</w:t>
      </w:r>
      <w:r>
        <w:rPr>
          <w:bCs/>
        </w:rPr>
        <w:t xml:space="preserve"> configuration that has not been </w:t>
      </w:r>
      <w:r>
        <w:rPr>
          <w:bCs/>
          <w:lang w:val="en-US"/>
        </w:rPr>
        <w:t xml:space="preserve">interested by </w:t>
      </w:r>
      <w:r>
        <w:rPr>
          <w:bCs/>
        </w:rPr>
        <w:t xml:space="preserve">any </w:t>
      </w:r>
      <w:r>
        <w:rPr>
          <w:bCs/>
          <w:lang w:val="en-US"/>
        </w:rPr>
        <w:t>operator yet in RAN5</w:t>
      </w:r>
      <w:r>
        <w:rPr>
          <w:bCs/>
        </w:rPr>
        <w:t>.</w:t>
      </w:r>
    </w:p>
    <w:p>
      <w:pPr>
        <w:rPr>
          <w:bCs/>
        </w:rPr>
      </w:pPr>
    </w:p>
    <w:p>
      <w:pPr>
        <w:pStyle w:val="3"/>
      </w:pPr>
      <w:bookmarkStart w:id="42" w:name="_Toc5466"/>
      <w:bookmarkStart w:id="43" w:name="_Toc3760"/>
      <w:bookmarkStart w:id="44" w:name="_Toc95140700"/>
      <w:r>
        <w:t>3.2</w:t>
      </w:r>
      <w:r>
        <w:tab/>
      </w:r>
      <w:r>
        <w:t>Symbols</w:t>
      </w:r>
      <w:bookmarkEnd w:id="42"/>
      <w:bookmarkEnd w:id="43"/>
      <w:bookmarkEnd w:id="44"/>
    </w:p>
    <w:p>
      <w:pPr>
        <w:keepNext/>
      </w:pPr>
      <w:r>
        <w:t>None</w:t>
      </w:r>
    </w:p>
    <w:p>
      <w:pPr>
        <w:pStyle w:val="3"/>
      </w:pPr>
      <w:bookmarkStart w:id="45" w:name="_Toc11846"/>
      <w:bookmarkStart w:id="46" w:name="_Toc25711"/>
      <w:bookmarkStart w:id="47" w:name="_Toc95140701"/>
      <w:r>
        <w:t>3.3</w:t>
      </w:r>
      <w:r>
        <w:tab/>
      </w:r>
      <w:r>
        <w:t>Abbreviations</w:t>
      </w:r>
      <w:bookmarkEnd w:id="45"/>
      <w:bookmarkEnd w:id="46"/>
      <w:bookmarkEnd w:id="47"/>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47"/>
      </w:pPr>
      <w:r>
        <w:t>BCS</w:t>
      </w:r>
      <w:r>
        <w:tab/>
      </w:r>
      <w:r>
        <w:t>Bandwidth Combination Set</w:t>
      </w:r>
    </w:p>
    <w:p>
      <w:pPr>
        <w:pStyle w:val="47"/>
        <w:shd w:val="clear" w:fill="FFC000"/>
      </w:pPr>
      <w:r>
        <w:t>CADC</w:t>
      </w:r>
      <w:r>
        <w:tab/>
      </w:r>
      <w:r>
        <w:t>Carrier Aggregation and Dual-Connectivity</w:t>
      </w:r>
    </w:p>
    <w:p>
      <w:pPr>
        <w:pStyle w:val="47"/>
        <w:shd w:val="clear" w:fill="FFC000"/>
      </w:pPr>
      <w:r>
        <w:t>CDS</w:t>
      </w:r>
      <w:r>
        <w:tab/>
      </w:r>
      <w:r>
        <w:t>Completion Declaration Statement</w:t>
      </w:r>
    </w:p>
    <w:p>
      <w:pPr>
        <w:pStyle w:val="47"/>
      </w:pPr>
      <w:r>
        <w:t>CBW</w:t>
      </w:r>
      <w:r>
        <w:tab/>
      </w:r>
      <w:r>
        <w:t>Channel Bandwidth</w:t>
      </w:r>
    </w:p>
    <w:p>
      <w:pPr>
        <w:pStyle w:val="47"/>
        <w:rPr>
          <w:lang w:val="en-US"/>
        </w:rPr>
      </w:pPr>
      <w:r>
        <w:rPr>
          <w:lang w:val="en-US"/>
        </w:rPr>
        <w:t>HP</w:t>
      </w:r>
      <w:r>
        <w:rPr>
          <w:lang w:val="en-US"/>
        </w:rPr>
        <w:tab/>
      </w:r>
      <w:r>
        <w:rPr>
          <w:lang w:val="en-US"/>
        </w:rPr>
        <w:t>High Power</w:t>
      </w:r>
    </w:p>
    <w:p>
      <w:pPr>
        <w:pStyle w:val="47"/>
      </w:pPr>
      <w:r>
        <w:t>N/A</w:t>
      </w:r>
      <w:r>
        <w:tab/>
      </w:r>
      <w:r>
        <w:t>Not Applicable</w:t>
      </w:r>
    </w:p>
    <w:p>
      <w:pPr>
        <w:pStyle w:val="47"/>
      </w:pPr>
      <w:r>
        <w:t>PC2</w:t>
      </w:r>
      <w:r>
        <w:tab/>
      </w:r>
      <w:r>
        <w:t>Power Class 2</w:t>
      </w:r>
    </w:p>
    <w:p>
      <w:pPr>
        <w:pStyle w:val="47"/>
      </w:pPr>
      <w:r>
        <w:t>PC3</w:t>
      </w:r>
      <w:r>
        <w:tab/>
      </w:r>
      <w:r>
        <w:t>Power Class 3</w:t>
      </w:r>
    </w:p>
    <w:p>
      <w:pPr>
        <w:pStyle w:val="47"/>
      </w:pPr>
      <w:r>
        <w:t>WI</w:t>
      </w:r>
      <w:r>
        <w:tab/>
      </w:r>
      <w:r>
        <w:t>Work Item</w:t>
      </w:r>
    </w:p>
    <w:p>
      <w:pPr>
        <w:pStyle w:val="47"/>
      </w:pPr>
      <w:r>
        <w:t>WP</w:t>
      </w:r>
      <w:r>
        <w:tab/>
      </w:r>
      <w:r>
        <w:t>Work Plan</w:t>
      </w:r>
    </w:p>
    <w:p>
      <w:pPr>
        <w:pStyle w:val="2"/>
      </w:pPr>
      <w:bookmarkStart w:id="48" w:name="_Toc16405"/>
      <w:bookmarkStart w:id="49" w:name="_Toc95140702"/>
      <w:r>
        <w:rPr>
          <w:lang w:val="en-US"/>
        </w:rPr>
        <w:t>4</w:t>
      </w:r>
      <w:r>
        <w:tab/>
      </w:r>
      <w:r>
        <w:rPr>
          <w:lang w:val="en-US"/>
        </w:rPr>
        <w:t>G</w:t>
      </w:r>
      <w:r>
        <w:t xml:space="preserve">uidelines </w:t>
      </w:r>
      <w:r>
        <w:rPr>
          <w:lang w:val="en-US"/>
        </w:rPr>
        <w:t>to handle the</w:t>
      </w:r>
      <w:r>
        <w:t xml:space="preserve"> RAN5 work items covered by PRD2</w:t>
      </w:r>
      <w:r>
        <w:rPr>
          <w:lang w:val="en-US"/>
        </w:rPr>
        <w:t>1</w:t>
      </w:r>
      <w:bookmarkEnd w:id="48"/>
      <w:bookmarkEnd w:id="49"/>
    </w:p>
    <w:p>
      <w:pPr>
        <w:pStyle w:val="3"/>
        <w:rPr>
          <w:lang w:val="en-US"/>
        </w:rPr>
      </w:pPr>
      <w:bookmarkStart w:id="50" w:name="_Toc925"/>
      <w:bookmarkStart w:id="51" w:name="_Toc95140703"/>
      <w:r>
        <w:rPr>
          <w:lang w:val="en-US"/>
        </w:rPr>
        <w:t>4.1</w:t>
      </w:r>
      <w:r>
        <w:rPr>
          <w:lang w:val="en-US"/>
        </w:rPr>
        <w:tab/>
      </w:r>
      <w:r>
        <w:rPr>
          <w:lang w:val="en-US"/>
        </w:rPr>
        <w:t>Guidelines to handle the 5G NR configuration specific WIs</w:t>
      </w:r>
      <w:bookmarkEnd w:id="50"/>
      <w:bookmarkEnd w:id="51"/>
    </w:p>
    <w:p>
      <w:r>
        <w:rPr>
          <w:lang w:val="en-US"/>
        </w:rPr>
        <w:t xml:space="preserve">The existing 5G NR </w:t>
      </w:r>
      <w:r>
        <w:rPr>
          <w:b/>
          <w:bCs/>
          <w:lang w:val="en-US"/>
        </w:rPr>
        <w:t>configuration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760087</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ascii="Calibri" w:hAnsi="Calibri" w:cs="Calibri"/>
                <w:color w:val="000000"/>
                <w:sz w:val="16"/>
                <w:szCs w:val="16"/>
                <w:lang w:eastAsia="en-GB"/>
              </w:rPr>
              <w:t>Rel-15 NR bands, NR CA/DC and EN-DC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Rel-16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ascii="Calibri" w:hAnsi="Calibri" w:cs="Calibri"/>
                <w:color w:val="000000"/>
                <w:sz w:val="16"/>
                <w:szCs w:val="16"/>
                <w:lang w:eastAsia="en-GB"/>
              </w:rPr>
              <w:t>-UEConTest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NR_CADC_NR_LTE_DC_R17-UEConTest</w:t>
            </w:r>
          </w:p>
        </w:tc>
      </w:tr>
    </w:tbl>
    <w:p>
      <w:pPr>
        <w:rPr>
          <w:lang w:val="en-US"/>
        </w:rPr>
      </w:pPr>
    </w:p>
    <w:p>
      <w:pPr>
        <w:pStyle w:val="48"/>
        <w:numPr>
          <w:ilvl w:val="0"/>
          <w:numId w:val="1"/>
        </w:numPr>
        <w:rPr>
          <w:lang w:val="en-US"/>
        </w:rPr>
      </w:pPr>
      <w:r>
        <w:rPr>
          <w:lang w:val="en-US"/>
        </w:rPr>
        <w:t xml:space="preserve">There is column of “Status” in the PRD21 5G NR CADC </w:t>
      </w:r>
      <w:r>
        <w:rPr>
          <w:highlight w:val="green"/>
          <w:lang w:val="en-US"/>
        </w:rPr>
        <w:t xml:space="preserve">configuration </w:t>
      </w:r>
      <w:r>
        <w:rPr>
          <w:lang w:val="en-US"/>
        </w:rPr>
        <w:t>lis</w:t>
      </w:r>
      <w:r>
        <w:rPr>
          <w:highlight w:val="cyan"/>
          <w:lang w:val="en-US"/>
        </w:rPr>
        <w:t>t. A</w:t>
      </w:r>
      <w:r>
        <w:rPr>
          <w:lang w:val="en-US"/>
        </w:rPr>
        <w:t>ll the configurations shall be set as “Pending” as default.</w:t>
      </w:r>
    </w:p>
    <w:p>
      <w:pPr>
        <w:pStyle w:val="48"/>
        <w:numPr>
          <w:ilvl w:val="0"/>
          <w:numId w:val="1"/>
        </w:numPr>
        <w:rPr>
          <w:lang w:val="en-US"/>
        </w:rPr>
      </w:pPr>
      <w:r>
        <w:rPr>
          <w:lang w:val="en-US"/>
        </w:rPr>
        <w:t xml:space="preserve">There is column of “Interested Operator” in the PRD21 5G NR CADC list. For </w:t>
      </w:r>
      <w:r>
        <w:rPr>
          <w:highlight w:val="cyan"/>
          <w:lang w:val="en-US"/>
        </w:rPr>
        <w:t xml:space="preserve">a </w:t>
      </w:r>
      <w:r>
        <w:rPr>
          <w:highlight w:val="green"/>
          <w:lang w:val="en-US"/>
        </w:rPr>
        <w:t>"</w:t>
      </w:r>
      <w:r>
        <w:rPr>
          <w:highlight w:val="cyan"/>
          <w:lang w:val="en-US"/>
        </w:rPr>
        <w:t>Pending</w:t>
      </w:r>
      <w:r>
        <w:rPr>
          <w:highlight w:val="green"/>
          <w:lang w:val="en-US"/>
        </w:rPr>
        <w:t>"</w:t>
      </w:r>
      <w:r>
        <w:rPr>
          <w:lang w:val="en-US"/>
        </w:rPr>
        <w:t xml:space="preserve"> configuration, only when there is at least one operator expressing its “interest” in this configuration, it can be set as “Ongoing” which is ready to be assigned. Otherwise, this configuration shall stay in the “Pending” state as default.</w:t>
      </w:r>
    </w:p>
    <w:p>
      <w:pPr>
        <w:pStyle w:val="48"/>
        <w:numPr>
          <w:ilvl w:val="0"/>
          <w:numId w:val="1"/>
        </w:numPr>
        <w:rPr>
          <w:lang w:val="en-US"/>
        </w:rPr>
      </w:pPr>
      <w:r>
        <w:rPr>
          <w:lang w:val="en-US"/>
        </w:rPr>
        <w:t>Operators are requested to take up "Pending" status configurations from the PRD21 5G NR CADC list before "3GU opening" to allow for contributions and progress at the upcoming meeting. Once a configuration has been taken up by operators, the configuration will be tagged with "Interested Operator" and the status will be changed into "Ongoing" in the PRD21 5G NR CADC list.</w:t>
      </w:r>
    </w:p>
    <w:p>
      <w:pPr>
        <w:pStyle w:val="48"/>
        <w:numPr>
          <w:ilvl w:val="0"/>
          <w:numId w:val="1"/>
        </w:numPr>
        <w:rPr>
          <w:lang w:val="en-US"/>
        </w:rPr>
      </w:pPr>
      <w:r>
        <w:rPr>
          <w:lang w:val="en-US"/>
        </w:rPr>
        <w:t xml:space="preserve">Updated </w:t>
      </w:r>
      <w:r>
        <w:rPr>
          <w:highlight w:val="green"/>
          <w:lang w:val="en-US"/>
        </w:rPr>
        <w:t>PRD21 5G NR CADC configuration list</w:t>
      </w:r>
      <w:r>
        <w:rPr>
          <w:lang w:val="en-US"/>
        </w:rPr>
        <w:t xml:space="preserve"> shall be sent out to the RAN5 reflector prior to "3GU Opening" for each RAN5 meeting.</w:t>
      </w:r>
    </w:p>
    <w:p>
      <w:pPr>
        <w:pStyle w:val="48"/>
        <w:numPr>
          <w:ilvl w:val="0"/>
          <w:numId w:val="1"/>
        </w:numPr>
        <w:rPr>
          <w:lang w:val="en-US"/>
        </w:rPr>
      </w:pPr>
      <w:r>
        <w:rPr>
          <w:highlight w:val="green"/>
        </w:rPr>
        <w:t>No contributions shall be submitted for configurations tagged as "Pending" in the draft PRD21 5G NR CADC configuration list sent out prior to "3GU Opening"</w:t>
      </w:r>
      <w:r>
        <w:rPr>
          <w:highlight w:val="green"/>
          <w:lang w:val="en-US"/>
        </w:rPr>
        <w:t xml:space="preserve"> for each RAN5 meeting.</w:t>
      </w:r>
    </w:p>
    <w:p>
      <w:pPr>
        <w:pStyle w:val="48"/>
        <w:numPr>
          <w:ilvl w:val="0"/>
          <w:numId w:val="1"/>
        </w:numPr>
        <w:rPr>
          <w:lang w:val="en-US"/>
        </w:rPr>
      </w:pPr>
      <w:r>
        <w:rPr>
          <w:lang w:val="en-US"/>
        </w:rPr>
        <w:t xml:space="preserve">As an exception, if the updated draft </w:t>
      </w:r>
      <w:r>
        <w:rPr>
          <w:highlight w:val="green"/>
          <w:lang w:val="en-US"/>
        </w:rPr>
        <w:t>PRD21 5G NR CADC configuration list</w:t>
      </w:r>
      <w:r>
        <w:rPr>
          <w:lang w:val="en-US"/>
        </w:rPr>
        <w:t xml:space="preserve"> cannot be available before the "3GU Opening", the deadline for operators' tagging the configurations with "Interested Operator" shall be extended pending on the </w:t>
      </w:r>
      <w:r>
        <w:rPr>
          <w:highlight w:val="green"/>
          <w:lang w:val="en-US"/>
        </w:rPr>
        <w:t>5G NR configuration specific WI</w:t>
      </w:r>
      <w:r>
        <w:rPr>
          <w:lang w:val="en-US"/>
        </w:rPr>
        <w:t xml:space="preserve"> rapporteurs' decision.</w:t>
      </w:r>
    </w:p>
    <w:p>
      <w:pPr>
        <w:pStyle w:val="48"/>
        <w:numPr>
          <w:ilvl w:val="0"/>
          <w:numId w:val="1"/>
        </w:numPr>
        <w:rPr>
          <w:lang w:val="en-US"/>
        </w:rPr>
      </w:pPr>
      <w:r>
        <w:rPr>
          <w:lang w:val="en-US"/>
        </w:rPr>
        <w:t>For the operator that doesn’t attend RAN5 in person, its name could also be filled in the column of “Interested Operator” by its agent vendor to show the industry needs. And the agent vendor shall also fill its names in the column of “Company” to indicate that the agent vendor will be in charge of facilitating the completion of the test cases for the corresponding configurations in RAN5. Any exceptions shall get the approval from RAN5 with justification before any corresponding contributions can be brought to RAN5.</w:t>
      </w:r>
    </w:p>
    <w:p>
      <w:pPr>
        <w:pStyle w:val="48"/>
        <w:numPr>
          <w:ilvl w:val="0"/>
          <w:numId w:val="1"/>
        </w:numPr>
        <w:rPr>
          <w:lang w:val="en-US"/>
        </w:rPr>
      </w:pPr>
      <w:r>
        <w:rPr>
          <w:lang w:val="en-US"/>
        </w:rPr>
        <w:t>In the PRD21 5G NR CADC list, the “Interested Operator” and “Company” could be filled in and the “Status” could be changed between the RAN5 meetings as well as during the meetings.</w:t>
      </w:r>
    </w:p>
    <w:p>
      <w:pPr>
        <w:pStyle w:val="48"/>
        <w:numPr>
          <w:ilvl w:val="0"/>
          <w:numId w:val="1"/>
        </w:numPr>
        <w:rPr>
          <w:lang w:val="en-US"/>
        </w:rPr>
      </w:pPr>
      <w:r>
        <w:rPr>
          <w:lang w:val="en-US"/>
        </w:rPr>
        <w:t>For an “Ongoing” 5G NR CADC configuration, if there is no “Interested Operator” standing for it any more as industry develops, it is allowed for the WI rapporteurs to set it back to “Pending” with justification.</w:t>
      </w:r>
    </w:p>
    <w:p>
      <w:pPr>
        <w:pStyle w:val="48"/>
        <w:numPr>
          <w:ilvl w:val="0"/>
          <w:numId w:val="1"/>
        </w:numPr>
        <w:rPr>
          <w:lang w:val="en-US"/>
        </w:rPr>
      </w:pPr>
      <w:r>
        <w:rPr>
          <w:lang w:val="en-US"/>
        </w:rPr>
        <w:t>When RAN4 corresponding 5G NR CADC basket WI closes and there are no RAN5 “Ongoing” 5G NR CADC configurations anymore, the RAN5 5G NR CADC WIs can be regarded as “Closed”.</w:t>
      </w:r>
    </w:p>
    <w:p>
      <w:pPr>
        <w:pStyle w:val="48"/>
        <w:numPr>
          <w:ilvl w:val="0"/>
          <w:numId w:val="1"/>
        </w:numPr>
        <w:rPr>
          <w:lang w:val="en-US"/>
        </w:rPr>
      </w:pPr>
      <w:r>
        <w:rPr>
          <w:lang w:val="en-US"/>
        </w:rPr>
        <w:t>After a RAN5 5G NR CADC WI closes, if any RAN5 “Pending” 5G NR CADC configuration gains an “Interested Operator”, this configuration could be implemented under maintenance using appropriate TEIxx_Test WI code as indicated in the PRD21 5G NR CADC configuration list. E.g., After RAN5 Rel-16 5G NR CADC WI close, if any RAN5 “Pending” Rel-16 5G NR CADC configuration gains an “Interested Operator”, this configuration could be implemented under WI codes "TEI16_test, NR_CADC_NR_LTE_DC_R16-UEConTest".</w:t>
      </w:r>
    </w:p>
    <w:p>
      <w:pPr>
        <w:pStyle w:val="48"/>
        <w:numPr>
          <w:ilvl w:val="0"/>
          <w:numId w:val="1"/>
        </w:numPr>
        <w:rPr>
          <w:lang w:val="en-US"/>
        </w:rPr>
      </w:pPr>
      <w:r>
        <w:rPr>
          <w:lang w:val="en-US"/>
        </w:rPr>
        <w:t>Considering the meeting efficiency, it is strongly suggested that all the configuration specific changes to Chapter 5 to be covered in a Jumbo CR submitted by Chapter 5 owner. Any other individual configuration specific change request to Chapter 5 is suggested to be merged into the Jumbo CR and the corresponding company will be added as a co-source company. Additional change requests not related to configuration specific changes can be submitted under feature specific WIs</w:t>
      </w:r>
    </w:p>
    <w:p>
      <w:pPr>
        <w:pStyle w:val="48"/>
        <w:numPr>
          <w:ilvl w:val="0"/>
          <w:numId w:val="1"/>
        </w:numPr>
        <w:rPr>
          <w:highlight w:val="cyan"/>
          <w:lang w:val="en-US"/>
        </w:rPr>
      </w:pPr>
      <w:r>
        <w:rPr>
          <w:highlight w:val="green"/>
          <w:lang w:val="en-US"/>
        </w:rPr>
        <w:t xml:space="preserve">No new configurations/new bands/new BWs shall be introduced into Chapter 5 of </w:t>
      </w:r>
      <w:r>
        <w:rPr>
          <w:highlight w:val="green"/>
        </w:rPr>
        <w:t>TS 3</w:t>
      </w:r>
      <w:r>
        <w:rPr>
          <w:highlight w:val="green"/>
          <w:lang w:val="en-US"/>
        </w:rPr>
        <w:t>8</w:t>
      </w:r>
      <w:r>
        <w:rPr>
          <w:highlight w:val="green"/>
        </w:rPr>
        <w:t>.</w:t>
      </w:r>
      <w:r>
        <w:rPr>
          <w:highlight w:val="green"/>
          <w:lang w:val="en-US"/>
        </w:rPr>
        <w:t>52</w:t>
      </w:r>
      <w:r>
        <w:rPr>
          <w:highlight w:val="green"/>
        </w:rPr>
        <w:t>1</w:t>
      </w:r>
      <w:r>
        <w:rPr>
          <w:highlight w:val="green"/>
          <w:lang w:val="en-US"/>
        </w:rPr>
        <w:t>-1</w:t>
      </w:r>
      <w:r>
        <w:rPr>
          <w:highlight w:val="green"/>
        </w:rPr>
        <w:t xml:space="preserve"> [</w:t>
      </w:r>
      <w:r>
        <w:rPr>
          <w:highlight w:val="green"/>
          <w:lang w:val="en-US"/>
        </w:rPr>
        <w:t>14</w:t>
      </w:r>
      <w:r>
        <w:rPr>
          <w:highlight w:val="green"/>
        </w:rPr>
        <w:t>]</w:t>
      </w:r>
      <w:r>
        <w:rPr>
          <w:highlight w:val="green"/>
          <w:lang w:val="en-US"/>
        </w:rPr>
        <w:t xml:space="preserve">, </w:t>
      </w:r>
      <w:r>
        <w:rPr>
          <w:highlight w:val="green"/>
        </w:rPr>
        <w:t>TS 3</w:t>
      </w:r>
      <w:r>
        <w:rPr>
          <w:highlight w:val="green"/>
          <w:lang w:val="en-US"/>
        </w:rPr>
        <w:t>8</w:t>
      </w:r>
      <w:r>
        <w:rPr>
          <w:highlight w:val="green"/>
        </w:rPr>
        <w:t>.</w:t>
      </w:r>
      <w:r>
        <w:rPr>
          <w:highlight w:val="green"/>
          <w:lang w:val="en-US"/>
        </w:rPr>
        <w:t>52</w:t>
      </w:r>
      <w:r>
        <w:rPr>
          <w:highlight w:val="green"/>
        </w:rPr>
        <w:t>1</w:t>
      </w:r>
      <w:r>
        <w:rPr>
          <w:highlight w:val="green"/>
          <w:lang w:val="en-US"/>
        </w:rPr>
        <w:t>-2</w:t>
      </w:r>
      <w:r>
        <w:rPr>
          <w:highlight w:val="green"/>
        </w:rPr>
        <w:t xml:space="preserve"> [</w:t>
      </w:r>
      <w:r>
        <w:rPr>
          <w:highlight w:val="green"/>
          <w:lang w:val="en-US"/>
        </w:rPr>
        <w:t>15</w:t>
      </w:r>
      <w:r>
        <w:rPr>
          <w:highlight w:val="green"/>
        </w:rPr>
        <w:t>]</w:t>
      </w:r>
      <w:r>
        <w:rPr>
          <w:highlight w:val="green"/>
          <w:lang w:val="en-US"/>
        </w:rPr>
        <w:t xml:space="preserve"> and </w:t>
      </w:r>
      <w:r>
        <w:rPr>
          <w:highlight w:val="green"/>
        </w:rPr>
        <w:t>TS 3</w:t>
      </w:r>
      <w:r>
        <w:rPr>
          <w:highlight w:val="green"/>
          <w:lang w:val="en-US"/>
        </w:rPr>
        <w:t>8</w:t>
      </w:r>
      <w:r>
        <w:rPr>
          <w:highlight w:val="green"/>
        </w:rPr>
        <w:t>.</w:t>
      </w:r>
      <w:r>
        <w:rPr>
          <w:highlight w:val="green"/>
          <w:lang w:val="en-US"/>
        </w:rPr>
        <w:t>52</w:t>
      </w:r>
      <w:r>
        <w:rPr>
          <w:highlight w:val="green"/>
        </w:rPr>
        <w:t>1</w:t>
      </w:r>
      <w:r>
        <w:rPr>
          <w:highlight w:val="green"/>
          <w:lang w:val="en-US"/>
        </w:rPr>
        <w:t>-3</w:t>
      </w:r>
      <w:r>
        <w:rPr>
          <w:highlight w:val="green"/>
        </w:rPr>
        <w:t xml:space="preserve"> [</w:t>
      </w:r>
      <w:r>
        <w:rPr>
          <w:highlight w:val="green"/>
          <w:lang w:val="en-US"/>
        </w:rPr>
        <w:t>16</w:t>
      </w:r>
      <w:r>
        <w:rPr>
          <w:highlight w:val="green"/>
        </w:rPr>
        <w:t>]</w:t>
      </w:r>
      <w:r>
        <w:rPr>
          <w:highlight w:val="green"/>
          <w:lang w:val="en-US"/>
        </w:rPr>
        <w:t>, unless the new configurations/new bands/new BWs have been completed in RAN4.</w:t>
      </w:r>
    </w:p>
    <w:p>
      <w:pPr>
        <w:pStyle w:val="48"/>
        <w:numPr>
          <w:ilvl w:val="0"/>
          <w:numId w:val="1"/>
        </w:numPr>
        <w:rPr>
          <w:lang w:val="en-US"/>
        </w:rPr>
      </w:pPr>
      <w:r>
        <w:rPr>
          <w:lang w:val="en-US"/>
        </w:rPr>
        <w:t xml:space="preserve">To avoid missing configuration specific changes to the test cases in Chapter 6/7 of </w:t>
      </w:r>
      <w:r>
        <w:t>TS 3</w:t>
      </w:r>
      <w:r>
        <w:rPr>
          <w:lang w:val="en-US"/>
        </w:rPr>
        <w:t>8</w:t>
      </w:r>
      <w:r>
        <w:t>.</w:t>
      </w:r>
      <w:r>
        <w:rPr>
          <w:lang w:val="en-US"/>
        </w:rPr>
        <w:t>52</w:t>
      </w:r>
      <w:r>
        <w:t>1</w:t>
      </w:r>
      <w:r>
        <w:rPr>
          <w:lang w:val="en-US"/>
        </w:rPr>
        <w:t>-1</w:t>
      </w:r>
      <w:r>
        <w:t xml:space="preserve"> [</w:t>
      </w:r>
      <w:r>
        <w:rPr>
          <w:lang w:val="en-US"/>
        </w:rPr>
        <w:t>14</w:t>
      </w:r>
      <w:r>
        <w:t>]</w:t>
      </w:r>
      <w:r>
        <w:rPr>
          <w:lang w:val="en-US"/>
        </w:rPr>
        <w:t xml:space="preserve">, </w:t>
      </w:r>
      <w:r>
        <w:t>TS 3</w:t>
      </w:r>
      <w:r>
        <w:rPr>
          <w:lang w:val="en-US"/>
        </w:rPr>
        <w:t>8</w:t>
      </w:r>
      <w:r>
        <w:t>.</w:t>
      </w:r>
      <w:r>
        <w:rPr>
          <w:lang w:val="en-US"/>
        </w:rPr>
        <w:t>52</w:t>
      </w:r>
      <w:r>
        <w:t>1</w:t>
      </w:r>
      <w:r>
        <w:rPr>
          <w:lang w:val="en-US"/>
        </w:rPr>
        <w:t>-2</w:t>
      </w:r>
      <w:r>
        <w:t xml:space="preserve"> [</w:t>
      </w:r>
      <w:r>
        <w:rPr>
          <w:lang w:val="en-US"/>
        </w:rPr>
        <w:t>15</w:t>
      </w:r>
      <w:r>
        <w:t>]</w:t>
      </w:r>
      <w:r>
        <w:rPr>
          <w:lang w:val="en-US"/>
        </w:rPr>
        <w:t xml:space="preserve"> and </w:t>
      </w:r>
      <w:r>
        <w:t>TS 3</w:t>
      </w:r>
      <w:r>
        <w:rPr>
          <w:lang w:val="en-US"/>
        </w:rPr>
        <w:t>8</w:t>
      </w:r>
      <w:r>
        <w:t>.</w:t>
      </w:r>
      <w:r>
        <w:rPr>
          <w:lang w:val="en-US"/>
        </w:rPr>
        <w:t>52</w:t>
      </w:r>
      <w:r>
        <w:t>1</w:t>
      </w:r>
      <w:r>
        <w:rPr>
          <w:lang w:val="en-US"/>
        </w:rPr>
        <w:t>-3</w:t>
      </w:r>
      <w:r>
        <w:t xml:space="preserve"> [</w:t>
      </w:r>
      <w:r>
        <w:rPr>
          <w:lang w:val="en-US"/>
        </w:rPr>
        <w:t>16</w:t>
      </w:r>
      <w:r>
        <w:t>]</w:t>
      </w:r>
      <w:r>
        <w:rPr>
          <w:lang w:val="en-US"/>
        </w:rPr>
        <w:t xml:space="preserve"> for any new configurations/new bands/new BWs,</w:t>
      </w:r>
    </w:p>
    <w:p>
      <w:pPr>
        <w:pStyle w:val="59"/>
        <w:ind w:left="420"/>
        <w:rPr>
          <w:lang w:val="en-US"/>
        </w:rPr>
      </w:pPr>
      <w:r>
        <w:t>-</w:t>
      </w:r>
      <w:r>
        <w:tab/>
      </w:r>
      <w:r>
        <w:rPr>
          <w:lang w:val="en-US"/>
        </w:rPr>
        <w:t xml:space="preserve">If it is thought there are no configuration specific changes needed for Chapter 6/7 or only the changes to ΔTIB,c and ΔRIB,c are needed in Chapter 6/7, an paper shall be submitted to justify why no such changes to Chapter 6/7 are needed or why only the changes to ΔTIB,c and ΔRIB,c are needed in Chapter 6/7. Otherwise, any configuration specific change requests to Chapter 5 </w:t>
      </w:r>
      <w:r>
        <w:rPr>
          <w:highlight w:val="green"/>
          <w:lang w:val="en-US"/>
        </w:rPr>
        <w:t>ONLY</w:t>
      </w:r>
      <w:r>
        <w:rPr>
          <w:lang w:val="en-US"/>
        </w:rPr>
        <w:t xml:space="preserve"> shall NOT be accepted by RAN5.</w:t>
      </w:r>
    </w:p>
    <w:p>
      <w:pPr>
        <w:pStyle w:val="59"/>
        <w:ind w:left="420"/>
        <w:rPr>
          <w:lang w:val="en-US"/>
        </w:rPr>
      </w:pPr>
      <w:r>
        <w:t>-</w:t>
      </w:r>
      <w:r>
        <w:tab/>
      </w:r>
      <w:r>
        <w:rPr>
          <w:lang w:val="en-US"/>
        </w:rPr>
        <w:t>If there are already new configurations/new bands/new BWs related test cases in Chapter 6/7, change requests to Chapter 5</w:t>
      </w:r>
      <w:r>
        <w:rPr>
          <w:highlight w:val="green"/>
          <w:lang w:val="en-US"/>
        </w:rPr>
        <w:t xml:space="preserve"> ONLY</w:t>
      </w:r>
      <w:r>
        <w:rPr>
          <w:lang w:val="en-US"/>
        </w:rPr>
        <w:t xml:space="preserve"> are acceptable.</w:t>
      </w:r>
    </w:p>
    <w:p>
      <w:pPr>
        <w:pStyle w:val="48"/>
        <w:numPr>
          <w:ilvl w:val="0"/>
          <w:numId w:val="1"/>
        </w:numPr>
        <w:rPr>
          <w:lang w:val="en-US"/>
        </w:rPr>
      </w:pPr>
      <w:r>
        <w:rPr>
          <w:lang w:val="en-US"/>
        </w:rPr>
        <w:t>Considering Chapter 5 is necessary for the corresponding test case validation, any change requests to test cases of Chapter 6/7 without any new/existing corresponding changes to Chapter 5 shall not be accepted by RAN5.</w:t>
      </w:r>
    </w:p>
    <w:p>
      <w:pPr>
        <w:pStyle w:val="48"/>
        <w:numPr>
          <w:ilvl w:val="0"/>
          <w:numId w:val="1"/>
        </w:numPr>
        <w:rPr>
          <w:lang w:val="en-US"/>
        </w:rPr>
      </w:pPr>
      <w:r>
        <w:rPr>
          <w:highlight w:val="yellow"/>
          <w:lang w:val="en-US"/>
        </w:rPr>
        <w:t>If there are any 5G NR CADC configuration(s) without UL configuration(s) to be involved in the 5G NR CADC configuration WIs, the corresponding 5G NR CADC configuration(s) with UL configuration(s) cannot be considered as completed before the involved 5G NR CADC configuration(s) without UL configuration(s) to be confirmed as completed.</w:t>
      </w:r>
    </w:p>
    <w:p>
      <w:pPr>
        <w:pStyle w:val="3"/>
      </w:pPr>
      <w:bookmarkStart w:id="52" w:name="_Toc95140704"/>
      <w:bookmarkStart w:id="53" w:name="_Toc25113"/>
      <w:r>
        <w:rPr>
          <w:lang w:val="en-US"/>
        </w:rPr>
        <w:t>4.2</w:t>
      </w:r>
      <w:r>
        <w:tab/>
      </w:r>
      <w:r>
        <w:rPr>
          <w:lang w:val="en-US"/>
        </w:rPr>
        <w:t>Guidelines to handle the New NR bands and extension of existing NR bands WIs impacting</w:t>
      </w:r>
      <w:r>
        <w:t xml:space="preserve"> 5G NR CADC configurations</w:t>
      </w:r>
      <w:bookmarkEnd w:id="52"/>
      <w:bookmarkEnd w:id="53"/>
    </w:p>
    <w:p>
      <w:r>
        <w:rPr>
          <w:lang w:val="en-US"/>
        </w:rPr>
        <w:t xml:space="preserve">The existing </w:t>
      </w:r>
      <w:r>
        <w:rPr>
          <w:b/>
          <w:bCs/>
          <w:lang w:val="en-US"/>
        </w:rPr>
        <w:t>New NR bands and extension of existing NR bands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850062</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New Rel-16 NR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NR_bands_BW_R16-UEConTest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New Rel-17 NR licensed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NR_lic_bands_BW_R17-UEConTest</w:t>
            </w:r>
          </w:p>
        </w:tc>
      </w:tr>
    </w:tbl>
    <w:p/>
    <w:p>
      <w:pPr>
        <w:rPr>
          <w:lang w:val="en-US"/>
        </w:rPr>
      </w:pPr>
      <w:r>
        <w:rPr>
          <w:lang w:val="en-US"/>
        </w:rPr>
        <w:t xml:space="preserve">If there are any new NR bands and extension of the existing NR bands to be involved in the 5G NR CADC configuration WIs, the corresponding 5G NR CADC configuration(s) cannot be considered as completed before the involved new NR bands and the extended NR bands to be confirmed as completed. </w:t>
      </w:r>
    </w:p>
    <w:p>
      <w:pPr>
        <w:rPr>
          <w:lang w:val="en-US"/>
        </w:rPr>
      </w:pPr>
      <w:r>
        <w:rPr>
          <w:rFonts w:hint="eastAsia"/>
          <w:shd w:val="clear" w:fill="FFC000"/>
          <w:lang w:val="en-US"/>
        </w:rPr>
        <w:t xml:space="preserve">The </w:t>
      </w:r>
      <w:r>
        <w:rPr>
          <w:rFonts w:hint="default"/>
          <w:shd w:val="clear" w:fill="FFC000"/>
          <w:lang w:val="en-US"/>
        </w:rPr>
        <w:t>handling</w:t>
      </w:r>
      <w:r>
        <w:rPr>
          <w:rFonts w:hint="eastAsia"/>
          <w:shd w:val="clear" w:fill="FFC000"/>
          <w:lang w:val="en-US"/>
        </w:rPr>
        <w:t xml:space="preserve"> of </w:t>
      </w:r>
      <w:r>
        <w:rPr>
          <w:rFonts w:hint="default"/>
          <w:shd w:val="clear" w:fill="FFC000"/>
          <w:lang w:val="en-US"/>
        </w:rPr>
        <w:t xml:space="preserve">the </w:t>
      </w:r>
      <w:r>
        <w:rPr>
          <w:rFonts w:hint="eastAsia"/>
          <w:shd w:val="clear" w:fill="FFC000"/>
          <w:lang w:val="en-US"/>
        </w:rPr>
        <w:t xml:space="preserve">new NR bands and extension of existing NR bands </w:t>
      </w:r>
      <w:r>
        <w:rPr>
          <w:rFonts w:hint="default"/>
          <w:shd w:val="clear" w:fill="FFC000"/>
          <w:lang w:val="en-US"/>
        </w:rPr>
        <w:t xml:space="preserve">WIs </w:t>
      </w:r>
      <w:r>
        <w:rPr>
          <w:rFonts w:hint="eastAsia"/>
          <w:shd w:val="clear" w:fill="FFC000"/>
          <w:lang w:val="en-US"/>
        </w:rPr>
        <w:t xml:space="preserve">shall follow the same </w:t>
      </w:r>
      <w:r>
        <w:rPr>
          <w:rFonts w:hint="default"/>
          <w:shd w:val="clear" w:fill="FFC000"/>
          <w:lang w:val="en-US"/>
        </w:rPr>
        <w:t>rules</w:t>
      </w:r>
      <w:r>
        <w:rPr>
          <w:rFonts w:hint="eastAsia"/>
          <w:shd w:val="clear" w:fill="FFC000"/>
          <w:lang w:val="en-US"/>
        </w:rPr>
        <w:t xml:space="preserve"> as </w:t>
      </w:r>
      <w:r>
        <w:rPr>
          <w:shd w:val="clear" w:fill="FFC000"/>
          <w:lang w:val="en-US"/>
        </w:rPr>
        <w:t>specified for 5G NR configuration</w:t>
      </w:r>
      <w:r>
        <w:rPr>
          <w:rFonts w:hint="default"/>
          <w:shd w:val="clear" w:fill="FFC000"/>
          <w:lang w:val="en-US"/>
        </w:rPr>
        <w:t xml:space="preserve"> specific WI</w:t>
      </w:r>
      <w:r>
        <w:rPr>
          <w:shd w:val="clear" w:fill="FFC000"/>
          <w:lang w:val="en-US"/>
        </w:rPr>
        <w:t xml:space="preserve">s in clause 4.1 items 1 to 15. </w:t>
      </w:r>
    </w:p>
    <w:p>
      <w:pPr>
        <w:pStyle w:val="3"/>
      </w:pPr>
      <w:bookmarkStart w:id="54" w:name="_Toc95140705"/>
      <w:bookmarkStart w:id="55" w:name="_Toc20379"/>
      <w:r>
        <w:rPr>
          <w:lang w:val="en-US"/>
        </w:rPr>
        <w:t>4.3</w:t>
      </w:r>
      <w:r>
        <w:tab/>
      </w:r>
      <w:r>
        <w:rPr>
          <w:lang w:val="en-US"/>
        </w:rPr>
        <w:t>Guidelines to handle the 5G NR feature specific WI</w:t>
      </w:r>
      <w:r>
        <w:t>s impacting 5G NR CADC configurations</w:t>
      </w:r>
      <w:bookmarkEnd w:id="54"/>
      <w:bookmarkEnd w:id="55"/>
    </w:p>
    <w:p>
      <w:r>
        <w:rPr>
          <w:lang w:val="en-US"/>
        </w:rPr>
        <w:t xml:space="preserve">The existing 5G NR </w:t>
      </w:r>
      <w:r>
        <w:rPr>
          <w:b/>
          <w:bCs/>
          <w:lang w:val="en-US"/>
        </w:rPr>
        <w:t>feature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4"/>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7"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7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760087</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Except for Sub-WI “</w:t>
            </w:r>
            <w:r>
              <w:rPr>
                <w:rFonts w:ascii="Calibri" w:hAnsi="Calibri" w:cs="Calibri"/>
                <w:color w:val="000000"/>
                <w:sz w:val="16"/>
                <w:szCs w:val="16"/>
                <w:lang w:eastAsia="en-GB"/>
              </w:rPr>
              <w:t>Rel-15 NR bands, NR CA/DC and EN-DC configurations</w:t>
            </w:r>
            <w:r>
              <w:rPr>
                <w:rFonts w:ascii="Calibri" w:hAnsi="Calibri" w:cs="Calibri"/>
                <w:color w:val="000000"/>
                <w:sz w:val="16"/>
                <w:szCs w:val="16"/>
                <w:lang w:val="en-US" w:eastAsia="en-GB"/>
              </w:rPr>
              <w:t>”</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870061</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RF requirements for NR frequency range 1 (FR1)</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NR_RF_FR1-UEConTest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910098</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NR RF requirement enhancements for frequency range 2 (FR2)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NR_RF_FR2_req_enh-UEConTest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911004</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LTE-NR &amp; NR-NR Dual Connectivity and NR CA enhancements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LTE_NR_DC_CA_enh-UEConTest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890044</w:t>
            </w:r>
          </w:p>
        </w:tc>
        <w:tc>
          <w:tcPr>
            <w:tcW w:w="3170"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UE Conformance Test Aspects - High power UE (power class 2) for EN-DC (1 LTE FDD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ENDC_UE_PC2_FDD_TDD-UEConTest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920065</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920066</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930051</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r>
    </w:tbl>
    <w:p/>
    <w:p>
      <w:pPr>
        <w:pStyle w:val="48"/>
        <w:numPr>
          <w:ilvl w:val="0"/>
          <w:numId w:val="2"/>
        </w:numPr>
        <w:ind w:left="567" w:hanging="283"/>
        <w:rPr>
          <w:highlight w:val="none"/>
        </w:rPr>
      </w:pPr>
      <w:r>
        <w:rPr>
          <w:rFonts w:hint="eastAsia"/>
          <w:highlight w:val="none"/>
          <w:shd w:val="clear" w:fill="FFC000"/>
        </w:rPr>
        <w:t>Only the “Ongoing” or “Completed” configurations in Rel-16 configuration specific WI can be used to complete the Rel-16 feature specific WIs. Otherwise, one specific “Ongoing” or “Completed” configuration in Rel-17 and forward configuration specific WIs shall be used to complete the Rel-16 feature specific WI. The corresponding progress shall be reflected both in the Rel-16 feature specific WI WP and the PRD21 5G NR bands and CADC configurations list</w:t>
      </w:r>
      <w:r>
        <w:rPr>
          <w:highlight w:val="none"/>
          <w:lang w:val="en-US"/>
        </w:rPr>
        <w:t>.</w:t>
      </w:r>
    </w:p>
    <w:p>
      <w:pPr>
        <w:pStyle w:val="48"/>
        <w:numPr>
          <w:ilvl w:val="0"/>
          <w:numId w:val="2"/>
        </w:numPr>
        <w:shd w:val="clear" w:fill="FFC000"/>
        <w:ind w:left="567" w:hanging="283"/>
        <w:rPr>
          <w:highlight w:val="none"/>
        </w:rPr>
      </w:pPr>
      <w:r>
        <w:rPr>
          <w:rFonts w:hint="eastAsia"/>
          <w:highlight w:val="none"/>
        </w:rPr>
        <w:t>Only the “Ongoing” or “Completed” configurations in Rel-17 configuration specific WI can be used to complete the Rel-17 feature specific WIs. Otherwise, one specific “Ongoing” or “Completed” configuration in Rel-18 and forward configuration specific WIs shall be used to complete the Rel-17 feature specific WI. The corresponding progress shall be reflected both in the Rel-17 feature specific WI WP and the PRD21 5G NR bands and CADC configurations list</w:t>
      </w:r>
      <w:r>
        <w:rPr>
          <w:highlight w:val="none"/>
        </w:rPr>
        <w:t>.</w:t>
      </w:r>
    </w:p>
    <w:p>
      <w:pPr>
        <w:pStyle w:val="48"/>
        <w:numPr>
          <w:ilvl w:val="0"/>
          <w:numId w:val="2"/>
        </w:numPr>
        <w:ind w:left="567" w:hanging="283"/>
      </w:pPr>
      <w:r>
        <w:rPr>
          <w:highlight w:val="yellow"/>
          <w:lang w:val="en-US"/>
        </w:rPr>
        <w:t>Only the feature specific configurations can be introduced into RAN5 specifications under the feature specific WIs. All the other configurations shall be introduced into RAN5 specifications under the configuration specific WIs.</w:t>
      </w:r>
    </w:p>
    <w:p>
      <w:pPr>
        <w:pStyle w:val="48"/>
        <w:numPr>
          <w:ilvl w:val="0"/>
          <w:numId w:val="2"/>
        </w:numPr>
        <w:ind w:left="567" w:hanging="283"/>
      </w:pPr>
      <w:r>
        <w:rPr>
          <w:highlight w:val="green"/>
          <w:lang w:val="en-US"/>
        </w:rPr>
        <w:t>All the “Ongoing” feature specific configurations shall be introduced under the corresponding feature specific WIs.</w:t>
      </w:r>
      <w:r>
        <w:rPr>
          <w:lang w:val="en-US"/>
        </w:rPr>
        <w:t xml:space="preserve">  </w:t>
      </w:r>
    </w:p>
    <w:p>
      <w:pPr>
        <w:pStyle w:val="3"/>
      </w:pPr>
      <w:bookmarkStart w:id="56" w:name="_Toc8100"/>
      <w:bookmarkStart w:id="57" w:name="_Toc95140706"/>
      <w:r>
        <w:rPr>
          <w:lang w:val="en-US"/>
        </w:rPr>
        <w:t>4.4</w:t>
      </w:r>
      <w:r>
        <w:tab/>
      </w:r>
      <w:r>
        <w:rPr>
          <w:lang w:val="en-US"/>
        </w:rPr>
        <w:t>Guidelines to handle the 5G NR High Power WI</w:t>
      </w:r>
      <w:r>
        <w:t xml:space="preserve">s impacting 5G NR </w:t>
      </w:r>
      <w:r>
        <w:rPr>
          <w:highlight w:val="cyan"/>
        </w:rPr>
        <w:t>bands or</w:t>
      </w:r>
      <w:r>
        <w:t xml:space="preserve"> CADC configurations</w:t>
      </w:r>
      <w:bookmarkEnd w:id="56"/>
      <w:bookmarkEnd w:id="57"/>
    </w:p>
    <w:p>
      <w:pPr>
        <w:rPr>
          <w:lang w:val="en-US"/>
        </w:rPr>
      </w:pPr>
      <w:r>
        <w:rPr>
          <w:lang w:val="en-US"/>
        </w:rPr>
        <w:t xml:space="preserve">The 5G NR High Power WIs have also been included in the existing 5G NR </w:t>
      </w:r>
      <w:r>
        <w:rPr>
          <w:b/>
          <w:bCs/>
          <w:lang w:val="en-US"/>
        </w:rPr>
        <w:t>feature specific WIs</w:t>
      </w:r>
      <w:r>
        <w:rPr>
          <w:lang w:val="en-US"/>
        </w:rPr>
        <w:t xml:space="preserve"> in RAN5.</w:t>
      </w:r>
    </w:p>
    <w:p>
      <w:r>
        <w:rPr>
          <w:lang w:val="en-US"/>
        </w:rPr>
        <w:t xml:space="preserve">The existing 5G NR </w:t>
      </w:r>
      <w:r>
        <w:rPr>
          <w:b/>
          <w:bCs/>
          <w:lang w:val="en-US"/>
        </w:rPr>
        <w:t xml:space="preserve">High Power </w:t>
      </w:r>
      <w:r>
        <w:rPr>
          <w:b/>
          <w:bCs/>
          <w:highlight w:val="cyan"/>
          <w:lang w:val="en-US"/>
        </w:rPr>
        <w:t>configuration</w:t>
      </w:r>
      <w:r>
        <w:rPr>
          <w:b/>
          <w:bCs/>
          <w:lang w:val="en-US"/>
        </w:rPr>
        <w:t xml:space="preserve"> WIs</w:t>
      </w:r>
      <w:r>
        <w:rPr>
          <w:lang w:val="en-US"/>
        </w:rPr>
        <w:t xml:space="preserve"> in RAN5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930051</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r>
    </w:tbl>
    <w:p>
      <w:pPr>
        <w:rPr>
          <w:highlight w:val="cyan"/>
        </w:rPr>
      </w:pPr>
      <w:r>
        <w:br w:type="textWrapping"/>
      </w:r>
      <w:r>
        <w:rPr>
          <w:highlight w:val="cyan"/>
          <w:lang w:val="en-US"/>
        </w:rPr>
        <w:t xml:space="preserve">The existing 5G NR </w:t>
      </w:r>
      <w:r>
        <w:rPr>
          <w:b/>
          <w:bCs/>
          <w:highlight w:val="cyan"/>
          <w:lang w:val="en-US"/>
        </w:rPr>
        <w:t>High Power band WIs</w:t>
      </w:r>
      <w:r>
        <w:rPr>
          <w:highlight w:val="cyan"/>
          <w:lang w:val="en-US"/>
        </w:rPr>
        <w:t xml:space="preserve"> in RAN5 are list in the table below</w:t>
      </w:r>
      <w:r>
        <w:rPr>
          <w:highlight w:val="cyan"/>
        </w:rP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4"/>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highlight w:val="cyan"/>
                <w:lang w:eastAsia="en-GB"/>
              </w:rPr>
            </w:pPr>
            <w:r>
              <w:rPr>
                <w:rFonts w:ascii="Calibri" w:hAnsi="Calibri" w:cs="Calibri"/>
                <w:b/>
                <w:bCs/>
                <w:color w:val="000000"/>
                <w:sz w:val="16"/>
                <w:szCs w:val="16"/>
                <w:highlight w:val="cyan"/>
                <w:lang w:eastAsia="en-GB"/>
              </w:rPr>
              <w:t>Release</w:t>
            </w:r>
          </w:p>
        </w:tc>
        <w:tc>
          <w:tcPr>
            <w:tcW w:w="367" w:type="pct"/>
            <w:tcBorders>
              <w:tl2br w:val="nil"/>
              <w:tr2bl w:val="nil"/>
            </w:tcBorders>
            <w:shd w:val="clear" w:color="000000" w:fill="D9D9D9"/>
            <w:noWrap/>
          </w:tcPr>
          <w:p>
            <w:pPr>
              <w:spacing w:after="0"/>
              <w:jc w:val="center"/>
              <w:rPr>
                <w:rFonts w:ascii="Calibri" w:hAnsi="Calibri" w:cs="Calibri"/>
                <w:b/>
                <w:bCs/>
                <w:color w:val="000000"/>
                <w:sz w:val="16"/>
                <w:szCs w:val="16"/>
                <w:highlight w:val="cyan"/>
                <w:lang w:val="en-US" w:eastAsia="en-GB"/>
              </w:rPr>
            </w:pPr>
            <w:r>
              <w:rPr>
                <w:rFonts w:ascii="Calibri" w:hAnsi="Calibri" w:cs="Calibri"/>
                <w:b/>
                <w:bCs/>
                <w:color w:val="000000"/>
                <w:sz w:val="16"/>
                <w:szCs w:val="16"/>
                <w:highlight w:val="cyan"/>
                <w:lang w:val="en-US" w:eastAsia="en-GB"/>
              </w:rPr>
              <w:t>UIC</w:t>
            </w:r>
          </w:p>
        </w:tc>
        <w:tc>
          <w:tcPr>
            <w:tcW w:w="3170" w:type="pct"/>
            <w:tcBorders>
              <w:tl2br w:val="nil"/>
              <w:tr2bl w:val="nil"/>
            </w:tcBorders>
            <w:shd w:val="clear" w:color="000000" w:fill="D9D9D9"/>
            <w:noWrap/>
          </w:tcPr>
          <w:p>
            <w:pPr>
              <w:spacing w:after="0"/>
              <w:jc w:val="center"/>
              <w:rPr>
                <w:rFonts w:ascii="Calibri" w:hAnsi="Calibri" w:cs="Calibri"/>
                <w:b/>
                <w:bCs/>
                <w:color w:val="000000"/>
                <w:sz w:val="16"/>
                <w:szCs w:val="16"/>
                <w:highlight w:val="cyan"/>
                <w:lang w:eastAsia="en-GB"/>
              </w:rPr>
            </w:pPr>
            <w:r>
              <w:rPr>
                <w:rFonts w:ascii="Calibri" w:hAnsi="Calibri" w:cs="Calibri"/>
                <w:b/>
                <w:bCs/>
                <w:color w:val="000000"/>
                <w:sz w:val="16"/>
                <w:szCs w:val="16"/>
                <w:highlight w:val="cyan"/>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highlight w:val="cyan"/>
                <w:lang w:eastAsia="en-GB"/>
              </w:rPr>
            </w:pPr>
            <w:r>
              <w:rPr>
                <w:rFonts w:ascii="Calibri" w:hAnsi="Calibri" w:cs="Calibri"/>
                <w:b/>
                <w:bCs/>
                <w:color w:val="000000"/>
                <w:sz w:val="16"/>
                <w:szCs w:val="16"/>
                <w:highlight w:val="cyan"/>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Rel-1</w:t>
            </w:r>
            <w:r>
              <w:rPr>
                <w:rFonts w:ascii="Calibri" w:hAnsi="Calibri" w:cs="Calibri"/>
                <w:color w:val="000000"/>
                <w:sz w:val="16"/>
                <w:szCs w:val="16"/>
                <w:highlight w:val="cyan"/>
                <w:lang w:val="en-US" w:eastAsia="en-GB"/>
              </w:rPr>
              <w:t>6</w:t>
            </w:r>
          </w:p>
        </w:tc>
        <w:tc>
          <w:tcPr>
            <w:tcW w:w="367" w:type="pct"/>
            <w:tcBorders>
              <w:tl2br w:val="nil"/>
              <w:tr2bl w:val="nil"/>
            </w:tcBorders>
            <w:shd w:val="clear" w:color="auto" w:fill="auto"/>
            <w:noWrap/>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eastAsia="en-GB"/>
              </w:rPr>
              <w:t>920068</w:t>
            </w:r>
          </w:p>
        </w:tc>
        <w:tc>
          <w:tcPr>
            <w:tcW w:w="3170" w:type="pct"/>
            <w:tcBorders>
              <w:tl2br w:val="nil"/>
              <w:tr2bl w:val="nil"/>
            </w:tcBorders>
            <w:shd w:val="clear" w:color="auto" w:fill="auto"/>
            <w:noWrap/>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UE Conformance Test Aspects - 29 dBm UE Power Class for LTE Band 41 and NR Band n41</w:t>
            </w:r>
          </w:p>
        </w:tc>
        <w:tc>
          <w:tcPr>
            <w:tcW w:w="1063"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LTE_NR_B41_Bn41_PC29dBm-UEConTest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Rel-17</w:t>
            </w: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930052</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 power UE (power class 1.5) for NR band n79 </w:t>
            </w:r>
          </w:p>
        </w:tc>
        <w:tc>
          <w:tcPr>
            <w:tcW w:w="1063"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NR_UE_PC1_5_n79-UEConTest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930053</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 power UE (power class 2) for NR band n34 </w:t>
            </w:r>
          </w:p>
        </w:tc>
        <w:tc>
          <w:tcPr>
            <w:tcW w:w="1063"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NR_UE_PC2_n34-UEConTest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930054</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 power UE (power class 2) for NR band n39 </w:t>
            </w:r>
          </w:p>
        </w:tc>
        <w:tc>
          <w:tcPr>
            <w:tcW w:w="1063"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NR_UE_PC2_n39-UEConTest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930055</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High-power UE (power class 1.5) operation in NR bands n77 and n78 </w:t>
            </w:r>
          </w:p>
        </w:tc>
        <w:tc>
          <w:tcPr>
            <w:tcW w:w="1063" w:type="pct"/>
            <w:tcBorders>
              <w:tl2br w:val="nil"/>
              <w:tr2bl w:val="nil"/>
            </w:tcBorders>
            <w:shd w:val="clear" w:color="auto" w:fill="auto"/>
            <w:vAlign w:val="bottom"/>
          </w:tcPr>
          <w:p>
            <w:pPr>
              <w:spacing w:after="0"/>
              <w:rPr>
                <w:rFonts w:ascii="Calibri" w:hAnsi="Calibri" w:cs="Calibri"/>
                <w:color w:val="000000"/>
                <w:sz w:val="16"/>
                <w:szCs w:val="16"/>
                <w:lang w:eastAsia="en-GB"/>
              </w:rPr>
            </w:pPr>
            <w:r>
              <w:rPr>
                <w:rFonts w:ascii="Calibri" w:hAnsi="Calibri" w:cs="Calibri"/>
                <w:color w:val="000000"/>
                <w:sz w:val="16"/>
                <w:szCs w:val="16"/>
                <w:highlight w:val="cyan"/>
                <w:lang w:eastAsia="en-GB"/>
              </w:rPr>
              <w:t>HPUE_PC1_5_n77_n78-UEConTest</w:t>
            </w:r>
          </w:p>
        </w:tc>
      </w:tr>
    </w:tbl>
    <w:p/>
    <w:p>
      <w:pPr>
        <w:pStyle w:val="48"/>
        <w:numPr>
          <w:ilvl w:val="0"/>
          <w:numId w:val="3"/>
        </w:numPr>
        <w:ind w:left="567" w:hanging="283"/>
        <w:rPr>
          <w:lang w:val="en-US"/>
        </w:rPr>
      </w:pPr>
      <w:r>
        <w:rPr>
          <w:lang w:eastAsia="zh-CN"/>
        </w:rPr>
        <w:t xml:space="preserve">All the general requirements shall be introduced by </w:t>
      </w:r>
      <w:r>
        <w:rPr>
          <w:lang w:val="en-US" w:eastAsia="zh-CN"/>
        </w:rPr>
        <w:t>5G NR feature specific</w:t>
      </w:r>
      <w:r>
        <w:rPr>
          <w:lang w:eastAsia="zh-CN"/>
        </w:rPr>
        <w:t xml:space="preserve"> WIs. Regarding the power class dependent requirements, i.e. MOP, MPR, A-MPR, SEM, ACLR, A-SEM, A-SE and REFSENS, the PC3 requirements shall be introduced by </w:t>
      </w:r>
      <w:r>
        <w:rPr>
          <w:lang w:val="en-US" w:eastAsia="zh-CN"/>
        </w:rPr>
        <w:t xml:space="preserve">5G NR </w:t>
      </w:r>
      <w:r>
        <w:rPr>
          <w:highlight w:val="cyan"/>
          <w:lang w:val="en-US" w:eastAsia="zh-CN"/>
        </w:rPr>
        <w:t>band WIs or</w:t>
      </w:r>
      <w:r>
        <w:rPr>
          <w:lang w:val="en-US" w:eastAsia="zh-CN"/>
        </w:rPr>
        <w:t xml:space="preserve"> configuration specific</w:t>
      </w:r>
      <w:r>
        <w:rPr>
          <w:lang w:eastAsia="zh-CN"/>
        </w:rPr>
        <w:t xml:space="preserve"> WIs, and the </w:t>
      </w:r>
      <w:r>
        <w:rPr>
          <w:lang w:val="en-US" w:eastAsia="zh-CN"/>
        </w:rPr>
        <w:t>H</w:t>
      </w:r>
      <w:r>
        <w:rPr>
          <w:lang w:eastAsia="zh-CN"/>
        </w:rPr>
        <w:t xml:space="preserve">P requirements shall be introduced by HP </w:t>
      </w:r>
      <w:r>
        <w:rPr>
          <w:highlight w:val="cyan"/>
          <w:lang w:eastAsia="zh-CN"/>
        </w:rPr>
        <w:t>band or configuration</w:t>
      </w:r>
      <w:r>
        <w:rPr>
          <w:lang w:eastAsia="zh-CN"/>
        </w:rPr>
        <w:t xml:space="preserve"> WIs</w:t>
      </w:r>
      <w:r>
        <w:rPr>
          <w:lang w:val="en-US" w:eastAsia="zh-CN"/>
        </w:rPr>
        <w:t>.</w:t>
      </w:r>
    </w:p>
    <w:p>
      <w:pPr>
        <w:pStyle w:val="48"/>
        <w:numPr>
          <w:ilvl w:val="0"/>
          <w:numId w:val="3"/>
        </w:numPr>
        <w:ind w:left="567" w:hanging="283"/>
        <w:rPr>
          <w:lang w:val="en-US"/>
        </w:rPr>
      </w:pPr>
      <w:r>
        <w:rPr>
          <w:lang w:eastAsia="zh-CN"/>
        </w:rPr>
        <w:t xml:space="preserve">HP </w:t>
      </w:r>
      <w:r>
        <w:rPr>
          <w:highlight w:val="cyan"/>
          <w:lang w:eastAsia="zh-CN"/>
        </w:rPr>
        <w:t>band or</w:t>
      </w:r>
      <w:r>
        <w:rPr>
          <w:lang w:eastAsia="zh-CN"/>
        </w:rPr>
        <w:t xml:space="preserve"> configuration </w:t>
      </w:r>
      <w:r>
        <w:rPr>
          <w:highlight w:val="green"/>
          <w:lang w:val="en-US" w:eastAsia="zh-CN"/>
        </w:rPr>
        <w:t>shall not</w:t>
      </w:r>
      <w:r>
        <w:rPr>
          <w:lang w:eastAsia="zh-CN"/>
        </w:rPr>
        <w:t xml:space="preserve"> be set as 100% until the corresponding PC3 </w:t>
      </w:r>
      <w:r>
        <w:rPr>
          <w:highlight w:val="cyan"/>
          <w:lang w:eastAsia="zh-CN"/>
        </w:rPr>
        <w:t>band or</w:t>
      </w:r>
      <w:r>
        <w:rPr>
          <w:lang w:eastAsia="zh-CN"/>
        </w:rPr>
        <w:t xml:space="preserve"> configuration is </w:t>
      </w:r>
      <w:r>
        <w:rPr>
          <w:lang w:val="en-US" w:eastAsia="zh-CN"/>
        </w:rPr>
        <w:t xml:space="preserve">confirmed as </w:t>
      </w:r>
      <w:r>
        <w:rPr>
          <w:lang w:eastAsia="zh-CN"/>
        </w:rPr>
        <w:t>100% completed</w:t>
      </w:r>
      <w:r>
        <w:rPr>
          <w:lang w:val="en-US" w:eastAsia="zh-CN"/>
        </w:rPr>
        <w:t>.</w:t>
      </w:r>
    </w:p>
    <w:p>
      <w:pPr>
        <w:pStyle w:val="48"/>
        <w:numPr>
          <w:ilvl w:val="0"/>
          <w:numId w:val="3"/>
        </w:numPr>
        <w:ind w:left="567" w:hanging="283"/>
        <w:rPr>
          <w:lang w:val="en-US"/>
        </w:rPr>
      </w:pPr>
      <w:r>
        <w:rPr>
          <w:lang w:eastAsia="zh-CN"/>
        </w:rPr>
        <w:t>It’s encouraged that the same company take responsibility of HP configuration and corresponding PC3 configuration. If different companies share the work, efficient coordination and co-operation would be required</w:t>
      </w:r>
      <w:r>
        <w:rPr>
          <w:lang w:val="en-US" w:eastAsia="zh-CN"/>
        </w:rPr>
        <w:t>.</w:t>
      </w:r>
    </w:p>
    <w:p>
      <w:pPr>
        <w:pStyle w:val="3"/>
        <w:rPr>
          <w:lang w:val="en-US"/>
        </w:rPr>
      </w:pPr>
      <w:bookmarkStart w:id="58" w:name="_Toc95140707"/>
      <w:bookmarkStart w:id="59" w:name="_Toc2960"/>
      <w:r>
        <w:rPr>
          <w:lang w:val="en-US"/>
        </w:rPr>
        <w:t>4.5</w:t>
      </w:r>
      <w:r>
        <w:tab/>
      </w:r>
      <w:r>
        <w:rPr>
          <w:lang w:val="en-US"/>
        </w:rPr>
        <w:t>Guidelines to handle the 5G NR CADC fallback configurations without Interested Operator</w:t>
      </w:r>
      <w:bookmarkEnd w:id="58"/>
      <w:bookmarkEnd w:id="59"/>
    </w:p>
    <w:p>
      <w:pPr>
        <w:rPr>
          <w:lang w:val="en-US"/>
        </w:rPr>
      </w:pPr>
      <w:r>
        <w:rPr>
          <w:lang w:val="en-US"/>
        </w:rPr>
        <w:t xml:space="preserve">There are 5G NR CADC fallback configurations without “Interested Operator”. However, as defined in Section 5.3A </w:t>
      </w:r>
      <w:r>
        <w:t>UE channel bandwidth for CA</w:t>
      </w:r>
      <w:r>
        <w:rPr>
          <w:lang w:val="en-US"/>
        </w:rPr>
        <w:t xml:space="preserve"> in </w:t>
      </w:r>
      <w:r>
        <w:t>TS 3</w:t>
      </w:r>
      <w:r>
        <w:rPr>
          <w:lang w:val="en-US"/>
        </w:rPr>
        <w:t>8</w:t>
      </w:r>
      <w:r>
        <w:t>.101</w:t>
      </w:r>
      <w:r>
        <w:rPr>
          <w:lang w:val="en-US"/>
        </w:rPr>
        <w:t>-1</w:t>
      </w:r>
      <w:r>
        <w:t xml:space="preserve"> [</w:t>
      </w:r>
      <w:r>
        <w:rPr>
          <w:lang w:val="en-US"/>
        </w:rPr>
        <w:t>11</w:t>
      </w:r>
      <w:r>
        <w:t>]</w:t>
      </w:r>
      <w:r>
        <w:rPr>
          <w:lang w:val="en-US"/>
        </w:rPr>
        <w:t xml:space="preserve"> and </w:t>
      </w:r>
      <w:r>
        <w:t>TS 3</w:t>
      </w:r>
      <w:r>
        <w:rPr>
          <w:lang w:val="en-US"/>
        </w:rPr>
        <w:t>8</w:t>
      </w:r>
      <w:r>
        <w:t>.101</w:t>
      </w:r>
      <w:r>
        <w:rPr>
          <w:lang w:val="en-US"/>
        </w:rPr>
        <w:t>-2</w:t>
      </w:r>
      <w:r>
        <w:t xml:space="preserve"> [</w:t>
      </w:r>
      <w:r>
        <w:rPr>
          <w:lang w:val="en-US"/>
        </w:rPr>
        <w:t>12</w:t>
      </w:r>
      <w:r>
        <w:t>]</w:t>
      </w:r>
      <w:r>
        <w:rPr>
          <w:lang w:val="en-US"/>
        </w:rPr>
        <w:t>, these fallback configurations still need to be completed as long as they are in the same fallback group of the configuration with “Interested Operator”.</w:t>
      </w:r>
    </w:p>
    <w:p>
      <w:pPr>
        <w:rPr>
          <w:lang w:val="en-US"/>
        </w:rPr>
      </w:pPr>
      <w:r>
        <w:rPr>
          <w:lang w:val="en-US"/>
        </w:rPr>
        <w:t xml:space="preserve">For these 5G NR CADC fallback configurations without “Interested Operator”, as long as they are in the same </w:t>
      </w:r>
      <w:r>
        <w:rPr>
          <w:rFonts w:hint="default"/>
          <w:lang w:val="en-US"/>
        </w:rPr>
        <w:t>“</w:t>
      </w:r>
      <w:r>
        <w:rPr>
          <w:lang w:val="en-US"/>
        </w:rPr>
        <w:t>fallback group</w:t>
      </w:r>
      <w:r>
        <w:rPr>
          <w:rFonts w:hint="default"/>
          <w:lang w:val="en-US"/>
        </w:rPr>
        <w:t>”</w:t>
      </w:r>
      <w:r>
        <w:rPr>
          <w:lang w:val="en-US"/>
        </w:rPr>
        <w:t xml:space="preserve"> of the configuration with “Interested Operator”, they shall be tagged as “Ongoing (FB)” in the “Status” Column of the </w:t>
      </w:r>
      <w:r>
        <w:t>RAN5 PRD2</w:t>
      </w:r>
      <w:r>
        <w:rPr>
          <w:lang w:val="en-US"/>
        </w:rPr>
        <w:t>1</w:t>
      </w:r>
      <w:r>
        <w:t xml:space="preserve"> </w:t>
      </w:r>
      <w:r>
        <w:rPr>
          <w:lang w:val="en-US"/>
        </w:rPr>
        <w:t>5G NR CADC</w:t>
      </w:r>
      <w:r>
        <w:t xml:space="preserve"> list</w:t>
      </w:r>
      <w:r>
        <w:rPr>
          <w:lang w:val="en-US"/>
        </w:rPr>
        <w:t xml:space="preserve"> and are ready for accepting contributions. </w:t>
      </w:r>
    </w:p>
    <w:p>
      <w:pPr>
        <w:rPr>
          <w:lang w:val="en-US"/>
        </w:rPr>
      </w:pPr>
      <w:r>
        <w:rPr>
          <w:lang w:val="en-US"/>
        </w:rPr>
        <w:t xml:space="preserve">They also shall be tagged as “Completed (FB)” in the “Status” Column of the </w:t>
      </w:r>
      <w:r>
        <w:t>RAN5 PRD2</w:t>
      </w:r>
      <w:r>
        <w:rPr>
          <w:lang w:val="en-US"/>
        </w:rPr>
        <w:t>1</w:t>
      </w:r>
      <w:r>
        <w:t xml:space="preserve"> </w:t>
      </w:r>
      <w:r>
        <w:rPr>
          <w:lang w:val="en-US"/>
        </w:rPr>
        <w:t>5G NR CADC</w:t>
      </w:r>
      <w:r>
        <w:t xml:space="preserve"> list</w:t>
      </w:r>
      <w:r>
        <w:rPr>
          <w:lang w:val="en-US"/>
        </w:rPr>
        <w:t xml:space="preserve"> when they are 100% completed in the 5G NR CADC configuration WIs.</w:t>
      </w:r>
    </w:p>
    <w:p>
      <w:pPr>
        <w:rPr>
          <w:lang w:val="en-US"/>
        </w:rPr>
      </w:pPr>
      <w:r>
        <w:rPr>
          <w:rFonts w:hint="eastAsia"/>
          <w:shd w:val="clear" w:fill="FFC000"/>
          <w:lang w:val="en-US"/>
        </w:rPr>
        <w:t>"Fallback group" applies to all intra-band contiguous band components in intra-band contiguous, intra-band non-contiguous or an inter-band configurations.</w:t>
      </w:r>
      <w:r>
        <w:rPr>
          <w:rFonts w:hint="default"/>
          <w:shd w:val="clear" w:fill="FFC000"/>
          <w:lang w:val="en-US"/>
        </w:rPr>
        <w:t xml:space="preserve"> </w:t>
      </w:r>
      <w:r>
        <w:rPr>
          <w:shd w:val="clear" w:fill="FFC000"/>
          <w:lang w:val="en-US"/>
        </w:rPr>
        <w:t xml:space="preserve">See TS 38.101-1 [11], </w:t>
      </w:r>
      <w:r>
        <w:rPr>
          <w:shd w:val="clear" w:fill="FFC000"/>
        </w:rPr>
        <w:t xml:space="preserve">Table 5.3A.5-1 for FR1 and in </w:t>
      </w:r>
      <w:r>
        <w:rPr>
          <w:shd w:val="clear" w:fill="FFC000"/>
          <w:lang w:val="en-US"/>
        </w:rPr>
        <w:t xml:space="preserve">TS 38.101-2 [12], </w:t>
      </w:r>
      <w:r>
        <w:rPr>
          <w:shd w:val="clear" w:fill="FFC000"/>
        </w:rPr>
        <w:t>Table 5.3A.4-1 for FR2 for definition of fallback groups</w:t>
      </w:r>
      <w:r>
        <w:rPr>
          <w:rFonts w:hint="default"/>
          <w:shd w:val="clear" w:fill="FFC000"/>
          <w:lang w:val="en-US"/>
        </w:rPr>
        <w:t>.</w:t>
      </w:r>
    </w:p>
    <w:p/>
    <w:p>
      <w:pPr>
        <w:pStyle w:val="2"/>
        <w:rPr>
          <w:lang w:val="en-US"/>
        </w:rPr>
      </w:pPr>
      <w:bookmarkStart w:id="60" w:name="_Toc95140708"/>
      <w:bookmarkStart w:id="61" w:name="_Toc679"/>
      <w:bookmarkStart w:id="62" w:name="_Toc6123"/>
      <w:r>
        <w:t>5</w:t>
      </w:r>
      <w:r>
        <w:tab/>
      </w:r>
      <w:r>
        <w:rPr>
          <w:lang w:val="en-US"/>
        </w:rPr>
        <w:t>5G NR bands and CADC</w:t>
      </w:r>
      <w:r>
        <w:t xml:space="preserve"> </w:t>
      </w:r>
      <w:r>
        <w:rPr>
          <w:lang w:val="en-US"/>
        </w:rPr>
        <w:t xml:space="preserve">configurations </w:t>
      </w:r>
      <w:r>
        <w:t>list</w:t>
      </w:r>
      <w:bookmarkEnd w:id="60"/>
      <w:bookmarkEnd w:id="61"/>
      <w:r>
        <w:t xml:space="preserve"> </w:t>
      </w:r>
    </w:p>
    <w:p>
      <w:pPr>
        <w:pStyle w:val="3"/>
      </w:pPr>
      <w:bookmarkStart w:id="63" w:name="_Toc16385"/>
      <w:bookmarkStart w:id="64" w:name="_Toc95140709"/>
      <w:r>
        <w:t>5.1</w:t>
      </w:r>
      <w:r>
        <w:tab/>
      </w:r>
      <w:r>
        <w:t>General</w:t>
      </w:r>
      <w:bookmarkEnd w:id="63"/>
      <w:bookmarkEnd w:id="64"/>
    </w:p>
    <w:p>
      <w:r>
        <w:t>The RAN5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 attached to PRD21 is an macro enabled Excel file named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vx.y.z" where vx.y.z is the same version number as the version number of this PRD. </w:t>
      </w:r>
    </w:p>
    <w:p>
      <w:r>
        <w:t>The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 includes the worksheets as listed in Table 5.1-1. Sub-clauses 5.2 to 5.4 describes the purpose and how to use the different worksheets.</w:t>
      </w:r>
    </w:p>
    <w:p>
      <w:pPr>
        <w:pStyle w:val="50"/>
      </w:pPr>
      <w:r>
        <w:t>Table 5.1-1: Work sheets in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1"/>
            </w:pPr>
            <w:r>
              <w:t>Worksheet name</w:t>
            </w:r>
          </w:p>
        </w:tc>
        <w:tc>
          <w:tcPr>
            <w:tcW w:w="6942"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Introduction</w:t>
            </w:r>
          </w:p>
        </w:tc>
        <w:tc>
          <w:tcPr>
            <w:tcW w:w="6942" w:type="dxa"/>
          </w:tcPr>
          <w:p>
            <w:pPr>
              <w:pStyle w:val="40"/>
            </w:pPr>
            <w:r>
              <w:t xml:space="preserve">Description of PRD21 NR bands and 5G NR CADC </w:t>
            </w:r>
            <w:r>
              <w:rPr>
                <w:lang w:val="en-US"/>
              </w:rPr>
              <w:t xml:space="preserve">configurations </w:t>
            </w:r>
            <w:r>
              <w:t>list and statistics of number of NR bands, NR band extension items and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NR</w:t>
            </w:r>
            <w:r>
              <w:t xml:space="preserve"> bands</w:t>
            </w:r>
          </w:p>
        </w:tc>
        <w:tc>
          <w:tcPr>
            <w:tcW w:w="6942" w:type="dxa"/>
          </w:tcPr>
          <w:p>
            <w:pPr>
              <w:pStyle w:val="40"/>
            </w:pPr>
            <w:r>
              <w:t>List of NR bands and NR band CBW extension items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 xml:space="preserve">5G NR </w:t>
            </w:r>
            <w:r>
              <w:t>CA</w:t>
            </w:r>
            <w:r>
              <w:rPr>
                <w:lang w:val="en-US"/>
              </w:rPr>
              <w:t>DC</w:t>
            </w:r>
            <w:r>
              <w:t xml:space="preserve"> </w:t>
            </w:r>
            <w:r>
              <w:rPr>
                <w:lang w:val="en-US"/>
              </w:rPr>
              <w:t>c</w:t>
            </w:r>
            <w:r>
              <w:t>onfigurations</w:t>
            </w:r>
          </w:p>
        </w:tc>
        <w:tc>
          <w:tcPr>
            <w:tcW w:w="6942" w:type="dxa"/>
          </w:tcPr>
          <w:p>
            <w:pPr>
              <w:pStyle w:val="40"/>
            </w:pPr>
            <w:r>
              <w:t>List of 5G NR CADC configurations and their status</w:t>
            </w:r>
          </w:p>
        </w:tc>
      </w:tr>
    </w:tbl>
    <w:p>
      <w:bookmarkStart w:id="65" w:name="_Toc26247"/>
      <w:bookmarkStart w:id="66" w:name="_Toc95140710"/>
    </w:p>
    <w:p>
      <w:pPr>
        <w:pStyle w:val="3"/>
      </w:pPr>
      <w:r>
        <w:t>5.2</w:t>
      </w:r>
      <w:r>
        <w:tab/>
      </w:r>
      <w:r>
        <w:t>Introduction worksheet</w:t>
      </w:r>
      <w:bookmarkEnd w:id="65"/>
      <w:bookmarkEnd w:id="66"/>
      <w:r>
        <w:t xml:space="preserve"> </w:t>
      </w:r>
    </w:p>
    <w:p>
      <w:pPr>
        <w:pStyle w:val="48"/>
        <w:ind w:left="0" w:firstLine="0"/>
      </w:pPr>
      <w:r>
        <w:t xml:space="preserve"> </w:t>
      </w:r>
      <w:r>
        <w:rPr>
          <w:lang w:val="en-US" w:eastAsia="zh-CN"/>
        </w:rPr>
        <w:drawing>
          <wp:inline distT="0" distB="0" distL="0" distR="0">
            <wp:extent cx="3676650" cy="276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18"/>
                    <a:stretch>
                      <a:fillRect/>
                    </a:stretch>
                  </pic:blipFill>
                  <pic:spPr>
                    <a:xfrm>
                      <a:off x="0" y="0"/>
                      <a:ext cx="3676650" cy="276225"/>
                    </a:xfrm>
                    <a:prstGeom prst="rect">
                      <a:avLst/>
                    </a:prstGeom>
                  </pic:spPr>
                </pic:pic>
              </a:graphicData>
            </a:graphic>
          </wp:inline>
        </w:drawing>
      </w:r>
    </w:p>
    <w:p>
      <w:pPr>
        <w:pStyle w:val="48"/>
        <w:ind w:left="0" w:firstLine="0"/>
      </w:pPr>
      <w:r>
        <w:t xml:space="preserve">The worksheet "Introduction" contains a short description of the PRD21 NR bands and 5G NR CADC </w:t>
      </w:r>
      <w:r>
        <w:rPr>
          <w:lang w:val="en-US"/>
        </w:rPr>
        <w:t xml:space="preserve">configurations </w:t>
      </w:r>
      <w:r>
        <w:t xml:space="preserve">lists and includes a table showing the overall status of the NR bands and 5G NR CADC </w:t>
      </w:r>
      <w:r>
        <w:rPr>
          <w:lang w:val="en-US"/>
        </w:rPr>
        <w:t>C</w:t>
      </w:r>
      <w:r>
        <w:t>onfigurations vs TS 38.101-1 [11], TS 38.101-2 [12] and TS 38.101-3 [13] NR band</w:t>
      </w:r>
      <w:r>
        <w:rPr>
          <w:lang w:val="en-US"/>
        </w:rPr>
        <w:t>s</w:t>
      </w:r>
      <w:r>
        <w:t xml:space="preserve"> and 5G NR CADC </w:t>
      </w:r>
      <w:r>
        <w:rPr>
          <w:lang w:val="en-US"/>
        </w:rPr>
        <w:t>c</w:t>
      </w:r>
      <w:r>
        <w:t xml:space="preserve">onfiguration tables. By selecting a specific release or "All Releases" current RAN5 status of completed, assigned and pending NR bands and 5G NR CADC configurations is shown. </w:t>
      </w:r>
    </w:p>
    <w:p>
      <w:pPr>
        <w:pStyle w:val="48"/>
        <w:ind w:left="0" w:firstLine="0"/>
      </w:pPr>
      <w:r>
        <w:t xml:space="preserve">Picture 5.2-1 shows a snapshot of the table with overall status of NR bands and RAN5 5G NR CADC </w:t>
      </w:r>
      <w:r>
        <w:rPr>
          <w:lang w:val="en-US"/>
        </w:rPr>
        <w:t>c</w:t>
      </w:r>
      <w:r>
        <w:t>onfigurations for the case "Rel-15" has been selected. The data in Picture 5.2-1 reflect th</w:t>
      </w:r>
      <w:r>
        <w:rPr>
          <w:lang w:val="en-US"/>
        </w:rPr>
        <w:t>e</w:t>
      </w:r>
      <w:r>
        <w:t xml:space="preserve"> status after RAN5#94-e (February 2022). </w:t>
      </w:r>
    </w:p>
    <w:p>
      <w:pPr>
        <w:pStyle w:val="48"/>
        <w:ind w:left="0" w:firstLine="0"/>
      </w:pPr>
      <w:r>
        <w:t>For the actual status see worksheet "Introduction" in the attached version of the attached PRD21 NR bands and 5G NR CADC list.</w:t>
      </w:r>
    </w:p>
    <w:p>
      <w:pPr>
        <w:pStyle w:val="41"/>
      </w:pPr>
    </w:p>
    <w:p>
      <w:pPr>
        <w:pStyle w:val="41"/>
      </w:pPr>
      <w:r>
        <w:t>Picture 5.2-1: Overall status of RAN5 5G</w:t>
      </w:r>
      <w:r>
        <w:rPr>
          <w:lang w:val="en-US"/>
        </w:rPr>
        <w:t xml:space="preserve"> </w:t>
      </w:r>
      <w:r>
        <w:t>NR CADC configurations for the case "Rel-15" selected.</w:t>
      </w:r>
    </w:p>
    <w:p>
      <w:pPr>
        <w:pStyle w:val="41"/>
        <w:jc w:val="left"/>
      </w:pPr>
      <w:r>
        <w:rPr>
          <w:lang w:val="en-US" w:eastAsia="zh-CN"/>
        </w:rPr>
        <w:drawing>
          <wp:inline distT="0" distB="0" distL="0" distR="0">
            <wp:extent cx="6122035" cy="25050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9"/>
                    <a:stretch>
                      <a:fillRect/>
                    </a:stretch>
                  </pic:blipFill>
                  <pic:spPr>
                    <a:xfrm>
                      <a:off x="0" y="0"/>
                      <a:ext cx="6122035" cy="2505075"/>
                    </a:xfrm>
                    <a:prstGeom prst="rect">
                      <a:avLst/>
                    </a:prstGeom>
                  </pic:spPr>
                </pic:pic>
              </a:graphicData>
            </a:graphic>
          </wp:inline>
        </w:drawing>
      </w:r>
    </w:p>
    <w:p>
      <w:pPr>
        <w:pStyle w:val="41"/>
      </w:pPr>
    </w:p>
    <w:p>
      <w:pPr>
        <w:pStyle w:val="41"/>
      </w:pPr>
    </w:p>
    <w:p>
      <w:pPr>
        <w:pStyle w:val="41"/>
      </w:pPr>
    </w:p>
    <w:p>
      <w:pPr>
        <w:pStyle w:val="3"/>
      </w:pPr>
      <w:bookmarkStart w:id="67" w:name="_Toc95140711"/>
      <w:bookmarkStart w:id="68" w:name="_Toc17387"/>
      <w:r>
        <w:t>5.3</w:t>
      </w:r>
      <w:r>
        <w:tab/>
      </w:r>
      <w:r>
        <w:t>NR bands worksheet</w:t>
      </w:r>
      <w:bookmarkEnd w:id="67"/>
      <w:bookmarkEnd w:id="68"/>
    </w:p>
    <w:p>
      <w:pPr>
        <w:pStyle w:val="41"/>
        <w:jc w:val="left"/>
      </w:pPr>
      <w:r>
        <w:rPr>
          <w:lang w:val="en-US" w:eastAsia="zh-CN"/>
        </w:rPr>
        <w:drawing>
          <wp:inline distT="0" distB="0" distL="0" distR="0">
            <wp:extent cx="367665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0"/>
                    <a:stretch>
                      <a:fillRect/>
                    </a:stretch>
                  </pic:blipFill>
                  <pic:spPr>
                    <a:xfrm>
                      <a:off x="0" y="0"/>
                      <a:ext cx="3676650" cy="228600"/>
                    </a:xfrm>
                    <a:prstGeom prst="rect">
                      <a:avLst/>
                    </a:prstGeom>
                  </pic:spPr>
                </pic:pic>
              </a:graphicData>
            </a:graphic>
          </wp:inline>
        </w:drawing>
      </w:r>
    </w:p>
    <w:p>
      <w:pPr>
        <w:pStyle w:val="41"/>
        <w:jc w:val="left"/>
      </w:pPr>
    </w:p>
    <w:p>
      <w:pPr>
        <w:pStyle w:val="4"/>
      </w:pPr>
      <w:bookmarkStart w:id="69" w:name="_Toc95140712"/>
      <w:bookmarkStart w:id="70" w:name="_Toc13005"/>
      <w:r>
        <w:t>5.3.1</w:t>
      </w:r>
      <w:r>
        <w:tab/>
      </w:r>
      <w:r>
        <w:t>Overview</w:t>
      </w:r>
      <w:bookmarkEnd w:id="69"/>
      <w:bookmarkEnd w:id="70"/>
    </w:p>
    <w:p>
      <w:pPr>
        <w:pStyle w:val="48"/>
        <w:ind w:left="0" w:firstLine="0"/>
      </w:pPr>
      <w:r>
        <w:t xml:space="preserve">Picture 5.3-1 shows a snapshot of the worksheet "NR bands". The list covers all NR bands and CBW extensions within the scope of RAN5 5G NR work items and based on the </w:t>
      </w:r>
      <w:r>
        <w:rPr>
          <w:lang w:val="en-US"/>
        </w:rPr>
        <w:t xml:space="preserve">TS </w:t>
      </w:r>
      <w:r>
        <w:t>38.101-1 (FR1) and TS 38.101-2 (FR2) versions as indicated in the top f the worksheet (see item 1 in Picture 5.3-1).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NR band/CBW extension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NR band/CBW extension was introduced in TS 38.101-1 [11] or TS 38.101-2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band</w:t>
            </w:r>
          </w:p>
        </w:tc>
        <w:tc>
          <w:tcPr>
            <w:tcW w:w="6234" w:type="dxa"/>
          </w:tcPr>
          <w:p>
            <w:pPr>
              <w:pStyle w:val="40"/>
            </w:pPr>
            <w:r>
              <w:t>Indicates if the NR band/CBW extension is a FDD FR1, TDD FR1, SUL FR1, SDL FR1 or TDD FR2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 xml:space="preserve">Indiates the source TS and Table number the NR band/CBW extension is specified 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NR band</w:t>
            </w:r>
          </w:p>
        </w:tc>
        <w:tc>
          <w:tcPr>
            <w:tcW w:w="6234" w:type="dxa"/>
          </w:tcPr>
          <w:p>
            <w:pPr>
              <w:pStyle w:val="40"/>
            </w:pPr>
            <w:r>
              <w:t>NR band/CBW extension label in format "nX" for NR bands and "nX CBW (&lt;list of added CBWs&gt;)"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CBWs SCS[kHz]:[MHz]+...+[MHz]</w:t>
            </w:r>
          </w:p>
        </w:tc>
        <w:tc>
          <w:tcPr>
            <w:tcW w:w="6234" w:type="dxa"/>
          </w:tcPr>
          <w:p>
            <w:pPr>
              <w:pStyle w:val="40"/>
            </w:pPr>
            <w:r>
              <w:t>List the covered CBWs for each SCS, 15 kHz, 30 kHz and 60kz for FR1 and for SCS 60kHz and 120 kHz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introducing PC3 details for the NR band/CBW extension in RAN5 TSs and TRs. See clause 5.2 for the purpose of the differnet status indication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that Power Class 2 has been completed in RAN5 TSs and TRs. No value indicates that PC2 is not completed or not applicable for the NR band/CBW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rPr>
                <w:rFonts w:eastAsia="等线"/>
                <w:highlight w:val="cyan"/>
                <w:lang w:eastAsia="zh-CN"/>
              </w:rPr>
            </w:pPr>
            <w:r>
              <w:rPr>
                <w:rFonts w:eastAsia="等线"/>
                <w:highlight w:val="cyan"/>
                <w:lang w:eastAsia="zh-CN"/>
              </w:rPr>
              <w:t>PC1.5 completed?</w:t>
            </w:r>
          </w:p>
        </w:tc>
        <w:tc>
          <w:tcPr>
            <w:tcW w:w="6234" w:type="dxa"/>
          </w:tcPr>
          <w:p>
            <w:pPr>
              <w:pStyle w:val="40"/>
              <w:rPr>
                <w:highlight w:val="cyan"/>
              </w:rPr>
            </w:pPr>
            <w:r>
              <w:rPr>
                <w:highlight w:val="cyan"/>
              </w:rPr>
              <w:t>"Yes" indicates that Power Class 1.5 has been completed in RAN5 TSs and TRs. No value indicates that PC1.5 is not completed or not applicable for the NR band/CBW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NR band/CBW extension was completed in RAN5 TSs and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 xml:space="preserve">Reference RAN5 </w:t>
            </w:r>
            <w:r>
              <w:rPr>
                <w:shd w:val="clear" w:fill="FFC000"/>
              </w:rPr>
              <w:t>CDS</w:t>
            </w:r>
            <w:r>
              <w:t xml:space="preserve"> TDOC declaring the completion of the NR band/CBW extension.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 of the NR band/CBW extension for PC3. See clause 5.2 for the purpose of "Interested operator"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Indicate the company name(s) and the contact name(s) for the company acting as responsible company to coordinate the contributions to secure all aspects for the NR band/CBW extension has been taken into account before the NR band/CBW extension is declared as completed. The workplans/checklists provided by PRD21 give guidance to the responsible company. See clause 5.2 for the purpose of "Responsible Company"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NR band/CBW extension for PC3 was assigned to interested operator and responible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Indcates 3GPP WI code to be used in CRs for the NR band/CBW extension.</w:t>
            </w:r>
          </w:p>
        </w:tc>
      </w:tr>
    </w:tbl>
    <w:p>
      <w:pPr>
        <w:pStyle w:val="48"/>
        <w:ind w:left="0" w:firstLine="0"/>
      </w:pPr>
    </w:p>
    <w:p>
      <w:r>
        <w:t xml:space="preserve">The colour labelling of </w:t>
      </w:r>
      <w:r>
        <w:rPr>
          <w:lang w:val="en-US"/>
        </w:rPr>
        <w:t xml:space="preserve">5G NR bands and CBW extensions rows </w:t>
      </w:r>
      <w:r>
        <w:t xml:space="preserve">is: </w:t>
      </w:r>
    </w:p>
    <w:tbl>
      <w:tblPr>
        <w:tblStyle w:val="26"/>
        <w:tblW w:w="10060" w:type="dxa"/>
        <w:tblInd w:w="0" w:type="dxa"/>
        <w:tblLayout w:type="autofit"/>
        <w:tblCellMar>
          <w:top w:w="0" w:type="dxa"/>
          <w:left w:w="108" w:type="dxa"/>
          <w:bottom w:w="0" w:type="dxa"/>
          <w:right w:w="108" w:type="dxa"/>
        </w:tblCellMar>
      </w:tblPr>
      <w:tblGrid>
        <w:gridCol w:w="10060"/>
      </w:tblGrid>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band / NR band CBW Extension item is complete in the RAN5 test specifications. Available for testing.</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Ongoing: Yellow row indicates that the 5G NR band / NR band CBW Extension item is ongoing and assigned to at least one "Interested Operator" and at least one "Responsible Company assignment". CRs can be submitted to RAN5 test specifications.</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sz w:val="16"/>
                <w:szCs w:val="16"/>
                <w:lang w:eastAsia="en-GB"/>
              </w:rPr>
              <w:t>Ongoing: White row with black text indicates that the 5G NR band / NR band CBW Extension item is ongoing but pending assignment to a "Responsible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band / NR band CBW Extension item is pending assignment to "Interested Operator". No CRs shall be submitted to the RAN5 specifications.</w:t>
            </w:r>
          </w:p>
        </w:tc>
      </w:tr>
    </w:tbl>
    <w:p>
      <w:pPr>
        <w:pStyle w:val="48"/>
        <w:ind w:left="0" w:firstLine="0"/>
      </w:pPr>
    </w:p>
    <w:p>
      <w:pPr>
        <w:pStyle w:val="48"/>
        <w:ind w:left="0" w:firstLine="0"/>
      </w:pPr>
      <w:r>
        <w:t>The column "Applicable RAN5 WI code(s) for CRs" shows the RAN5 WI code(s) to be specified on the CR coversheet for CRs to the 5G NR CADC configuration</w:t>
      </w:r>
      <w:r>
        <w:rPr>
          <w:lang w:val="en-US"/>
        </w:rPr>
        <w:t>s</w:t>
      </w:r>
      <w:r>
        <w:t xml:space="preserve">. See </w:t>
      </w:r>
      <w:r>
        <w:rPr>
          <w:lang w:val="en-US"/>
        </w:rPr>
        <w:t>P</w:t>
      </w:r>
      <w:r>
        <w:t>icture 5.3-1.</w:t>
      </w:r>
    </w:p>
    <w:p>
      <w:pPr>
        <w:pStyle w:val="41"/>
      </w:pPr>
      <w:r>
        <w:t xml:space="preserve">Picture 5.3-1: Indication of source of TS 38.101-X [11,12,13]. </w:t>
      </w:r>
    </w:p>
    <w:p>
      <w:pPr>
        <w:pStyle w:val="41"/>
      </w:pPr>
    </w:p>
    <w:p>
      <w:pPr>
        <w:pStyle w:val="48"/>
        <w:ind w:left="0" w:firstLine="0"/>
      </w:pPr>
      <w:r>
        <w:rPr>
          <w:lang w:val="en-US" w:eastAsia="zh-CN"/>
        </w:rPr>
        <w:drawing>
          <wp:inline distT="0" distB="0" distL="0" distR="0">
            <wp:extent cx="5476875" cy="6858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21"/>
                    <a:stretch>
                      <a:fillRect/>
                    </a:stretch>
                  </pic:blipFill>
                  <pic:spPr>
                    <a:xfrm>
                      <a:off x="0" y="0"/>
                      <a:ext cx="5476875" cy="685800"/>
                    </a:xfrm>
                    <a:prstGeom prst="rect">
                      <a:avLst/>
                    </a:prstGeom>
                  </pic:spPr>
                </pic:pic>
              </a:graphicData>
            </a:graphic>
          </wp:inline>
        </w:drawing>
      </w:r>
    </w:p>
    <w:p>
      <w:pPr>
        <w:pStyle w:val="4"/>
      </w:pPr>
      <w:bookmarkStart w:id="71" w:name="_Toc9000"/>
      <w:bookmarkStart w:id="72" w:name="_Toc95140713"/>
      <w:r>
        <w:t>5.3.2</w:t>
      </w:r>
      <w:r>
        <w:tab/>
      </w:r>
      <w:r>
        <w:t>Requesting assignment of NR bands and NR band CBW extensions</w:t>
      </w:r>
      <w:bookmarkEnd w:id="71"/>
      <w:bookmarkEnd w:id="72"/>
    </w:p>
    <w:p>
      <w:pPr>
        <w:pStyle w:val="48"/>
        <w:ind w:left="0" w:firstLine="0"/>
      </w:pPr>
      <w:r>
        <w:t>See picture 5.3-2 showing location of the different buttons referenced in the text below.</w:t>
      </w:r>
    </w:p>
    <w:p>
      <w:pPr>
        <w:pStyle w:val="48"/>
        <w:ind w:left="0" w:firstLine="0"/>
      </w:pPr>
      <w:r>
        <w:t>To submit an assignment request for "Interested Operator" and/or "Responsible Company" for one or more NR bands and/or NR band CBW extensions do:</w:t>
      </w:r>
    </w:p>
    <w:p>
      <w:pPr>
        <w:pStyle w:val="48"/>
      </w:pPr>
      <w:r>
        <w:t>Step 1:</w:t>
      </w:r>
      <w:r>
        <w:tab/>
      </w:r>
      <w:r>
        <w:tab/>
      </w:r>
      <w:r>
        <w:t>Select the "NR bands" worksheet.</w:t>
      </w:r>
      <w:r>
        <w:tab/>
      </w:r>
      <w:r>
        <w:tab/>
      </w:r>
    </w:p>
    <w:p>
      <w:pPr>
        <w:pStyle w:val="48"/>
      </w:pPr>
      <w:r>
        <w:t>Step 2:</w:t>
      </w:r>
      <w:r>
        <w:tab/>
      </w:r>
      <w:r>
        <w:tab/>
      </w:r>
      <w:r>
        <w:t>Mark NR bands and NR band CBW extension items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In the pop-up window (see picture 5.3-3)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Press the "Request Assignment" button (see picture 5.3-3).</w:t>
      </w:r>
    </w:p>
    <w:p>
      <w:pPr>
        <w:pStyle w:val="48"/>
        <w:ind w:left="1134" w:hanging="850"/>
      </w:pPr>
      <w:r>
        <w:t xml:space="preserve">Step 6: </w:t>
      </w:r>
      <w:r>
        <w:tab/>
      </w:r>
      <w:r>
        <w:t>An email is created including the assignment request (see picture 5.3-4) including an Excel file with the requested configurations (see picture 5.3-5). Press the "Send" button to send the assignment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NR band or NR band CBW extension should the responsible company create a work plan as described in clause 6.</w:t>
      </w:r>
      <w:r>
        <w:rPr>
          <w:lang w:val="en-US"/>
        </w:rPr>
        <w:t>2</w:t>
      </w:r>
      <w:r>
        <w:t>.</w:t>
      </w:r>
    </w:p>
    <w:p>
      <w:pPr>
        <w:pStyle w:val="41"/>
        <w:sectPr>
          <w:headerReference r:id="rId10" w:type="default"/>
          <w:footerReference r:id="rId11" w:type="default"/>
          <w:footnotePr>
            <w:numRestart w:val="eachSect"/>
          </w:footnotePr>
          <w:pgSz w:w="11907" w:h="16840"/>
          <w:pgMar w:top="1416" w:right="1133" w:bottom="1133" w:left="1133" w:header="850" w:footer="340" w:gutter="0"/>
          <w:cols w:space="720" w:num="1"/>
          <w:formProt w:val="0"/>
          <w:docGrid w:linePitch="272" w:charSpace="0"/>
        </w:sectPr>
      </w:pPr>
    </w:p>
    <w:p>
      <w:pPr>
        <w:pStyle w:val="41"/>
      </w:pPr>
      <w:r>
        <w:rPr>
          <w:lang w:val="en-US"/>
        </w:rPr>
        <w:t>P</w:t>
      </w:r>
      <w:r>
        <w:t>icture 5.3-2: NR band worksheet overview.</w:t>
      </w:r>
    </w:p>
    <w:p>
      <w:pPr>
        <w:pStyle w:val="41"/>
      </w:pPr>
    </w:p>
    <w:p>
      <w:pPr>
        <w:pStyle w:val="41"/>
      </w:pPr>
    </w:p>
    <w:p>
      <w:pPr>
        <w:pStyle w:val="41"/>
      </w:pPr>
      <w:r>
        <w:rPr>
          <w:lang w:val="en-US" w:eastAsia="zh-CN"/>
        </w:rPr>
        <mc:AlternateContent>
          <mc:Choice Requires="wps">
            <w:drawing>
              <wp:anchor distT="0" distB="0" distL="114300" distR="114300" simplePos="0" relativeHeight="251674624" behindDoc="0" locked="0" layoutInCell="1" allowOverlap="1">
                <wp:simplePos x="0" y="0"/>
                <wp:positionH relativeFrom="page">
                  <wp:posOffset>807720</wp:posOffset>
                </wp:positionH>
                <wp:positionV relativeFrom="paragraph">
                  <wp:posOffset>97790</wp:posOffset>
                </wp:positionV>
                <wp:extent cx="9382125" cy="4518660"/>
                <wp:effectExtent l="0" t="0" r="28575" b="15240"/>
                <wp:wrapNone/>
                <wp:docPr id="46" name="Text Box 46"/>
                <wp:cNvGraphicFramePr/>
                <a:graphic xmlns:a="http://schemas.openxmlformats.org/drawingml/2006/main">
                  <a:graphicData uri="http://schemas.microsoft.com/office/word/2010/wordprocessingShape">
                    <wps:wsp>
                      <wps:cNvSpPr txBox="1"/>
                      <wps:spPr>
                        <a:xfrm>
                          <a:off x="0" y="0"/>
                          <a:ext cx="9382125" cy="4518837"/>
                        </a:xfrm>
                        <a:prstGeom prst="rect">
                          <a:avLst/>
                        </a:prstGeom>
                        <a:noFill/>
                        <a:ln w="3175">
                          <a:solidFill>
                            <a:schemeClr val="tx1"/>
                          </a:solidFill>
                        </a:ln>
                      </wps:spPr>
                      <wps:txb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rPr>
                                <w:lang w:val="en-US" w:eastAsia="zh-CN"/>
                              </w:rPr>
                              <w:drawing>
                                <wp:inline distT="0" distB="0" distL="0" distR="0">
                                  <wp:extent cx="30194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a:stretch>
                                            <a:fillRect/>
                                          </a:stretch>
                                        </pic:blipFill>
                                        <pic:spPr>
                                          <a:xfrm>
                                            <a:off x="0" y="0"/>
                                            <a:ext cx="3019425" cy="1219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6" o:spid="_x0000_s1026" o:spt="202" type="#_x0000_t202" style="position:absolute;left:0pt;margin-left:63.6pt;margin-top:7.7pt;height:355.8pt;width:738.75pt;mso-position-horizontal-relative:page;z-index:251674624;mso-width-relative:page;mso-height-relative:page;" filled="f" stroked="t" coordsize="21600,21600" o:gfxdata="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RkZTZAAAACwEAAA8AAAAAAAAAAQAgAAAA&#10;IgAAAGRycy9kb3ducmV2LnhtbFBLAQIUABQAAAAIAIdO4kD8OtROQwIAAJEEAAAOAAAAAAAAAAEA&#10;IAAAACgBAABkcnMvZTJvRG9jLnhtbFBLBQYAAAAABgAGAFkBAADdBQAAAAA=&#10;">
                <v:fill on="f" focussize="0,0"/>
                <v:stroke weight="0.25pt" color="#000000 [3213]" joinstyle="round"/>
                <v:imagedata o:title=""/>
                <o:lock v:ext="edit" aspectratio="f"/>
                <v:textbo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rPr>
                          <w:lang w:val="en-US" w:eastAsia="zh-CN"/>
                        </w:rPr>
                        <w:drawing>
                          <wp:inline distT="0" distB="0" distL="0" distR="0">
                            <wp:extent cx="30194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a:stretch>
                                      <a:fillRect/>
                                    </a:stretch>
                                  </pic:blipFill>
                                  <pic:spPr>
                                    <a:xfrm>
                                      <a:off x="0" y="0"/>
                                      <a:ext cx="3019425" cy="1219200"/>
                                    </a:xfrm>
                                    <a:prstGeom prst="rect">
                                      <a:avLst/>
                                    </a:prstGeom>
                                  </pic:spPr>
                                </pic:pic>
                              </a:graphicData>
                            </a:graphic>
                          </wp:inline>
                        </w:drawing>
                      </w:r>
                    </w:p>
                  </w:txbxContent>
                </v:textbox>
              </v:shape>
            </w:pict>
          </mc:Fallback>
        </mc:AlternateContent>
      </w:r>
    </w:p>
    <w:p>
      <w:pPr>
        <w:pStyle w:val="41"/>
      </w:pPr>
    </w:p>
    <w:p>
      <w:pPr>
        <w:pStyle w:val="37"/>
      </w:pPr>
      <w:r>
        <w:rPr>
          <w:lang w:val="en-US" w:eastAsia="zh-CN"/>
        </w:rPr>
        <mc:AlternateContent>
          <mc:Choice Requires="wps">
            <w:drawing>
              <wp:anchor distT="0" distB="0" distL="114300" distR="114300" simplePos="0" relativeHeight="251679744" behindDoc="0" locked="0" layoutInCell="1" allowOverlap="1">
                <wp:simplePos x="0" y="0"/>
                <wp:positionH relativeFrom="margin">
                  <wp:posOffset>7690485</wp:posOffset>
                </wp:positionH>
                <wp:positionV relativeFrom="paragraph">
                  <wp:posOffset>1366520</wp:posOffset>
                </wp:positionV>
                <wp:extent cx="488950" cy="382905"/>
                <wp:effectExtent l="38100" t="0" r="25400" b="55880"/>
                <wp:wrapNone/>
                <wp:docPr id="47" name="Straight Connector 47"/>
                <wp:cNvGraphicFramePr/>
                <a:graphic xmlns:a="http://schemas.openxmlformats.org/drawingml/2006/main">
                  <a:graphicData uri="http://schemas.microsoft.com/office/word/2010/wordprocessingShape">
                    <wps:wsp>
                      <wps:cNvCnPr/>
                      <wps:spPr>
                        <a:xfrm flipV="1">
                          <a:off x="0" y="0"/>
                          <a:ext cx="489098" cy="38277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7" o:spid="_x0000_s1026" o:spt="20" style="position:absolute;left:0pt;flip:y;margin-left:605.55pt;margin-top:107.6pt;height:30.15pt;width:38.5pt;mso-position-horizontal-relative:margin;z-index:251679744;mso-width-relative:page;mso-height-relative:page;" filled="f" stroked="t" coordsize="21600,21600" o:gfxdata="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I3sW2QAAAA0BAAAPAAAAAAAAAAEAIAAAACIA&#10;AABkcnMvZG93bnJldi54bWxQSwECFAAUAAAACACHTuJATHdwFAgCAAADBAAADgAAAAAAAAABACAA&#10;AAAoAQAAZHJzL2Uyb0RvYy54bWxQSwUGAAAAAAYABgBZAQAAog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75648" behindDoc="0" locked="0" layoutInCell="1" allowOverlap="1">
                <wp:simplePos x="0" y="0"/>
                <wp:positionH relativeFrom="margin">
                  <wp:posOffset>8179435</wp:posOffset>
                </wp:positionH>
                <wp:positionV relativeFrom="paragraph">
                  <wp:posOffset>706755</wp:posOffset>
                </wp:positionV>
                <wp:extent cx="338455" cy="1562735"/>
                <wp:effectExtent l="57150" t="0" r="23495" b="56515"/>
                <wp:wrapNone/>
                <wp:docPr id="48" name="Straight Connector 48"/>
                <wp:cNvGraphicFramePr/>
                <a:graphic xmlns:a="http://schemas.openxmlformats.org/drawingml/2006/main">
                  <a:graphicData uri="http://schemas.microsoft.com/office/word/2010/wordprocessingShape">
                    <wps:wsp>
                      <wps:cNvCnPr/>
                      <wps:spPr>
                        <a:xfrm flipV="1">
                          <a:off x="0" y="0"/>
                          <a:ext cx="338470" cy="1562986"/>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8" o:spid="_x0000_s1026" o:spt="20" style="position:absolute;left:0pt;flip:y;margin-left:644.05pt;margin-top:55.65pt;height:123.05pt;width:26.65pt;mso-position-horizontal-relative:margin;z-index:251675648;mso-width-relative:page;mso-height-relative:page;" filled="f" stroked="t" coordsize="21600,21600" o:gfxdata="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c3Rf2gAAAA0BAAAPAAAAAAAAAAEAIAAAACIA&#10;AABkcnMvZG93bnJldi54bWxQSwECFAAUAAAACACHTuJA7gG2mQcCAAAEBAAADgAAAAAAAAABACAA&#10;AAApAQAAZHJzL2Uyb0RvYy54bWxQSwUGAAAAAAYABgBZAQAAog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78720" behindDoc="0" locked="0" layoutInCell="1" allowOverlap="1">
                <wp:simplePos x="0" y="0"/>
                <wp:positionH relativeFrom="column">
                  <wp:posOffset>460375</wp:posOffset>
                </wp:positionH>
                <wp:positionV relativeFrom="paragraph">
                  <wp:posOffset>1004570</wp:posOffset>
                </wp:positionV>
                <wp:extent cx="499745" cy="946150"/>
                <wp:effectExtent l="0" t="0" r="53340" b="63500"/>
                <wp:wrapNone/>
                <wp:docPr id="49" name="Straight Arrow Connector 49"/>
                <wp:cNvGraphicFramePr/>
                <a:graphic xmlns:a="http://schemas.openxmlformats.org/drawingml/2006/main">
                  <a:graphicData uri="http://schemas.microsoft.com/office/word/2010/wordprocessingShape">
                    <wps:wsp>
                      <wps:cNvCnPr/>
                      <wps:spPr>
                        <a:xfrm>
                          <a:off x="0" y="0"/>
                          <a:ext cx="499730" cy="946298"/>
                        </a:xfrm>
                        <a:prstGeom prst="straightConnector1">
                          <a:avLst/>
                        </a:prstGeom>
                        <a:ln w="1270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9" o:spid="_x0000_s1026" o:spt="32" type="#_x0000_t32" style="position:absolute;left:0pt;margin-left:36.25pt;margin-top:79.1pt;height:74.5pt;width:39.35pt;z-index:251678720;mso-width-relative:page;mso-height-relative:page;" filled="f" stroked="t" coordsize="21600,21600" o:gfxdata="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2WL+XZAAAACgEAAA8AAAAAAAAAAQAgAAAAIgAA&#10;AGRycy9kb3ducmV2LnhtbFBLAQIUABQAAAAIAIdO4kAGJ/QoBwIAAA0EAAAOAAAAAAAAAAEAIAAA&#10;ACgBAABkcnMvZTJvRG9jLnhtbFBLBQYAAAAABgAGAFkBAAChBQAAAAA=&#10;">
                <v:fill on="f" focussize="0,0"/>
                <v:stroke weight="1pt" color="#2F5597 [2404]" miterlimit="8" joinstyle="miter" endarrow="block"/>
                <v:imagedata o:title=""/>
                <o:lock v:ext="edit" aspectratio="f"/>
              </v:shape>
            </w:pict>
          </mc:Fallback>
        </mc:AlternateContent>
      </w:r>
      <w:r>
        <w:rPr>
          <w:lang w:val="en-US" w:eastAsia="zh-CN"/>
        </w:rPr>
        <mc:AlternateContent>
          <mc:Choice Requires="wps">
            <w:drawing>
              <wp:anchor distT="0" distB="0" distL="114300" distR="114300" simplePos="0" relativeHeight="251676672" behindDoc="0" locked="0" layoutInCell="1" allowOverlap="1">
                <wp:simplePos x="0" y="0"/>
                <wp:positionH relativeFrom="column">
                  <wp:posOffset>7671435</wp:posOffset>
                </wp:positionH>
                <wp:positionV relativeFrom="paragraph">
                  <wp:posOffset>22860</wp:posOffset>
                </wp:positionV>
                <wp:extent cx="1704975" cy="666750"/>
                <wp:effectExtent l="0" t="0" r="28575" b="19050"/>
                <wp:wrapNone/>
                <wp:docPr id="53" name="Oval 53"/>
                <wp:cNvGraphicFramePr/>
                <a:graphic xmlns:a="http://schemas.openxmlformats.org/drawingml/2006/main">
                  <a:graphicData uri="http://schemas.microsoft.com/office/word/2010/wordprocessingShape">
                    <wps:wsp>
                      <wps:cNvSpPr/>
                      <wps:spPr>
                        <a:xfrm>
                          <a:off x="0" y="0"/>
                          <a:ext cx="1704975" cy="666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3" o:spid="_x0000_s1026" o:spt="3" type="#_x0000_t3" style="position:absolute;left:0pt;margin-left:604.05pt;margin-top:1.8pt;height:52.5pt;width:134.25pt;z-index:251676672;v-text-anchor:middle;mso-width-relative:page;mso-height-relative:page;" filled="f" stroked="t" coordsize="21600,21600" o:gfxdata="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y3hLHYAAAACwEAAA8AAAAAAAAAAQAgAAAAIgAAAGRycy9kb3du&#10;cmV2LnhtbFBLAQIUABQAAAAIAIdO4kAfliV9cQIAAO8EAAAOAAAAAAAAAAEAIAAAACcBAABkcnMv&#10;ZTJvRG9jLnhtbFBLBQYAAAAABgAGAFkBAAAKBg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77696" behindDoc="0" locked="0" layoutInCell="1" allowOverlap="1">
                <wp:simplePos x="0" y="0"/>
                <wp:positionH relativeFrom="column">
                  <wp:posOffset>213360</wp:posOffset>
                </wp:positionH>
                <wp:positionV relativeFrom="paragraph">
                  <wp:posOffset>26670</wp:posOffset>
                </wp:positionV>
                <wp:extent cx="457200" cy="971550"/>
                <wp:effectExtent l="0" t="0" r="19050" b="19050"/>
                <wp:wrapNone/>
                <wp:docPr id="57" name="Oval 57"/>
                <wp:cNvGraphicFramePr/>
                <a:graphic xmlns:a="http://schemas.openxmlformats.org/drawingml/2006/main">
                  <a:graphicData uri="http://schemas.microsoft.com/office/word/2010/wordprocessingShape">
                    <wps:wsp>
                      <wps:cNvSpPr/>
                      <wps:spPr>
                        <a:xfrm>
                          <a:off x="0" y="0"/>
                          <a:ext cx="457200" cy="971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7" o:spid="_x0000_s1026" o:spt="3" type="#_x0000_t3" style="position:absolute;left:0pt;margin-left:16.8pt;margin-top:2.1pt;height:76.5pt;width:36pt;z-index:251677696;v-text-anchor:middle;mso-width-relative:page;mso-height-relative:page;" filled="f" stroked="t" coordsize="21600,21600" o:gfxdata="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BIHRbXAAAACAEAAA8AAAAAAAAAAQAgAAAAIgAAAGRycy9kb3ducmV2Lnht&#10;bFBLAQIUABQAAAAIAIdO4kBKTFq8bAIAAO4EAAAOAAAAAAAAAAEAIAAAACYBAABkcnMvZTJvRG9j&#10;LnhtbFBLBQYAAAAABgAGAFkBAAAEBgAAAAA=&#10;">
                <v:fill on="f" focussize="0,0"/>
                <v:stroke weight="1pt" color="#2F528F [3204]" miterlimit="8" joinstyle="miter"/>
                <v:imagedata o:title=""/>
                <o:lock v:ext="edit" aspectratio="f"/>
              </v:shape>
            </w:pict>
          </mc:Fallback>
        </mc:AlternateContent>
      </w:r>
      <w:r>
        <w:rPr>
          <w:lang w:val="en-US" w:eastAsia="zh-CN"/>
        </w:rPr>
        <w:drawing>
          <wp:inline distT="0" distB="0" distL="0" distR="0">
            <wp:extent cx="9074785" cy="140779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23"/>
                    <a:stretch>
                      <a:fillRect/>
                    </a:stretch>
                  </pic:blipFill>
                  <pic:spPr>
                    <a:xfrm>
                      <a:off x="0" y="0"/>
                      <a:ext cx="9074785" cy="1407795"/>
                    </a:xfrm>
                    <a:prstGeom prst="rect">
                      <a:avLst/>
                    </a:prstGeom>
                  </pic:spPr>
                </pic:pic>
              </a:graphicData>
            </a:graphic>
          </wp:inline>
        </w:drawing>
      </w:r>
    </w:p>
    <w:p>
      <w:pPr>
        <w:pStyle w:val="37"/>
      </w:pPr>
    </w:p>
    <w:p>
      <w:pPr>
        <w:pStyle w:val="37"/>
      </w:pPr>
    </w:p>
    <w:p>
      <w:pPr>
        <w:pStyle w:val="37"/>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rPr>
          <w:lang w:val="en-US" w:eastAsia="zh-CN"/>
        </w:rPr>
        <w:drawing>
          <wp:inline distT="0" distB="0" distL="0" distR="0">
            <wp:extent cx="472440" cy="2113915"/>
            <wp:effectExtent l="0" t="0" r="381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24"/>
                    <a:stretch>
                      <a:fillRect/>
                    </a:stretch>
                  </pic:blipFill>
                  <pic:spPr>
                    <a:xfrm>
                      <a:off x="0" y="0"/>
                      <a:ext cx="473014" cy="2114085"/>
                    </a:xfrm>
                    <a:prstGeom prst="rect">
                      <a:avLst/>
                    </a:prstGeom>
                  </pic:spPr>
                </pic:pic>
              </a:graphicData>
            </a:graphic>
          </wp:inline>
        </w:drawing>
      </w:r>
    </w:p>
    <w:p>
      <w:pPr>
        <w:pStyle w:val="37"/>
      </w:pPr>
    </w:p>
    <w:p>
      <w:pPr>
        <w:pStyle w:val="41"/>
        <w:rPr>
          <w:lang w:val="en-US"/>
        </w:rPr>
      </w:pPr>
      <w:r>
        <w:t xml:space="preserve">Picture </w:t>
      </w:r>
      <w:r>
        <w:rPr>
          <w:lang w:val="en-US"/>
        </w:rPr>
        <w:t>5</w:t>
      </w:r>
      <w:r>
        <w:t>.</w:t>
      </w:r>
      <w:r>
        <w:rPr>
          <w:lang w:val="en-US"/>
        </w:rPr>
        <w:t>3</w:t>
      </w:r>
      <w:r>
        <w:t>-</w:t>
      </w:r>
      <w:r>
        <w:rPr>
          <w:lang w:val="en-US"/>
        </w:rPr>
        <w:t>3</w:t>
      </w:r>
      <w:r>
        <w:t>: Assignment request form for NR bands and CBW extensions.</w:t>
      </w:r>
    </w:p>
    <w:p>
      <w:r>
        <w:rPr>
          <w:lang w:val="en-US" w:eastAsia="zh-CN"/>
        </w:rPr>
        <w:drawing>
          <wp:inline distT="0" distB="0" distL="0" distR="0">
            <wp:extent cx="6122035" cy="2400300"/>
            <wp:effectExtent l="19050" t="19050" r="12065" b="190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25"/>
                    <a:stretch>
                      <a:fillRect/>
                    </a:stretch>
                  </pic:blipFill>
                  <pic:spPr>
                    <a:xfrm>
                      <a:off x="0" y="0"/>
                      <a:ext cx="6122035" cy="2400300"/>
                    </a:xfrm>
                    <a:prstGeom prst="rect">
                      <a:avLst/>
                    </a:prstGeom>
                    <a:ln>
                      <a:solidFill>
                        <a:schemeClr val="accent1"/>
                      </a:solidFill>
                    </a:ln>
                  </pic:spPr>
                </pic:pic>
              </a:graphicData>
            </a:graphic>
          </wp:inline>
        </w:drawing>
      </w:r>
    </w:p>
    <w:p>
      <w:pPr>
        <w:pStyle w:val="41"/>
      </w:pPr>
      <w:r>
        <w:t xml:space="preserve">Picture </w:t>
      </w:r>
      <w:r>
        <w:rPr>
          <w:lang w:val="en-US"/>
        </w:rPr>
        <w:t>5</w:t>
      </w:r>
      <w:r>
        <w:t>.</w:t>
      </w:r>
      <w:r>
        <w:rPr>
          <w:lang w:val="en-US"/>
        </w:rPr>
        <w:t>3</w:t>
      </w:r>
      <w:r>
        <w:t>-</w:t>
      </w:r>
      <w:r>
        <w:rPr>
          <w:lang w:val="en-US"/>
        </w:rPr>
        <w:t>4</w:t>
      </w:r>
      <w:r>
        <w:t>: Example of an assignment request email.</w:t>
      </w:r>
    </w:p>
    <w:p>
      <w:pPr>
        <w:pStyle w:val="41"/>
      </w:pPr>
      <w:r>
        <w:rPr>
          <w:lang w:val="en-US" w:eastAsia="zh-CN"/>
        </w:rPr>
        <w:drawing>
          <wp:inline distT="0" distB="0" distL="0" distR="0">
            <wp:extent cx="6122035" cy="1732915"/>
            <wp:effectExtent l="19050" t="19050" r="12065" b="196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26"/>
                    <a:stretch>
                      <a:fillRect/>
                    </a:stretch>
                  </pic:blipFill>
                  <pic:spPr>
                    <a:xfrm>
                      <a:off x="0" y="0"/>
                      <a:ext cx="6122035" cy="1732915"/>
                    </a:xfrm>
                    <a:prstGeom prst="rect">
                      <a:avLst/>
                    </a:prstGeom>
                    <a:ln>
                      <a:solidFill>
                        <a:schemeClr val="accent1"/>
                      </a:solidFill>
                    </a:ln>
                  </pic:spPr>
                </pic:pic>
              </a:graphicData>
            </a:graphic>
          </wp:inline>
        </w:drawing>
      </w:r>
    </w:p>
    <w:p/>
    <w:p>
      <w:pPr>
        <w:pStyle w:val="41"/>
      </w:pPr>
      <w:r>
        <w:t xml:space="preserve">Picture </w:t>
      </w:r>
      <w:r>
        <w:rPr>
          <w:lang w:val="en-US"/>
        </w:rPr>
        <w:t>5</w:t>
      </w:r>
      <w:r>
        <w:t>.</w:t>
      </w:r>
      <w:r>
        <w:rPr>
          <w:lang w:val="en-US"/>
        </w:rPr>
        <w:t>3</w:t>
      </w:r>
      <w:r>
        <w:t>-</w:t>
      </w:r>
      <w:r>
        <w:rPr>
          <w:lang w:val="en-US"/>
        </w:rPr>
        <w:t>5</w:t>
      </w:r>
      <w:r>
        <w:t>: Example of attached EXCEL file attachment for an assignment request of a NR band CBW extension.</w:t>
      </w:r>
    </w:p>
    <w:p>
      <w:pPr>
        <w:pStyle w:val="41"/>
      </w:pPr>
      <w:r>
        <w:rPr>
          <w:lang w:val="en-US" w:eastAsia="zh-CN"/>
        </w:rPr>
        <w:drawing>
          <wp:inline distT="0" distB="0" distL="0" distR="0">
            <wp:extent cx="6122035" cy="1338580"/>
            <wp:effectExtent l="19050" t="19050" r="12065" b="1397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27"/>
                    <a:stretch>
                      <a:fillRect/>
                    </a:stretch>
                  </pic:blipFill>
                  <pic:spPr>
                    <a:xfrm>
                      <a:off x="0" y="0"/>
                      <a:ext cx="6122035" cy="1338580"/>
                    </a:xfrm>
                    <a:prstGeom prst="rect">
                      <a:avLst/>
                    </a:prstGeom>
                    <a:ln>
                      <a:solidFill>
                        <a:schemeClr val="accent1"/>
                      </a:solidFill>
                    </a:ln>
                  </pic:spPr>
                </pic:pic>
              </a:graphicData>
            </a:graphic>
          </wp:inline>
        </w:drawing>
      </w:r>
    </w:p>
    <w:p/>
    <w:p>
      <w:pPr>
        <w:pStyle w:val="3"/>
      </w:pPr>
      <w:bookmarkStart w:id="73" w:name="_Toc25724"/>
      <w:bookmarkStart w:id="74" w:name="_Toc95140714"/>
      <w:r>
        <w:t>5.4</w:t>
      </w:r>
      <w:r>
        <w:tab/>
      </w:r>
      <w:r>
        <w:rPr>
          <w:lang w:val="en-US"/>
        </w:rPr>
        <w:t>5G NR</w:t>
      </w:r>
      <w:r>
        <w:t xml:space="preserve"> CA</w:t>
      </w:r>
      <w:r>
        <w:rPr>
          <w:lang w:val="en-US"/>
        </w:rPr>
        <w:t>DC</w:t>
      </w:r>
      <w:r>
        <w:t xml:space="preserve"> Configurations worksheet</w:t>
      </w:r>
      <w:bookmarkEnd w:id="73"/>
      <w:bookmarkEnd w:id="74"/>
      <w:r>
        <w:t xml:space="preserve"> </w:t>
      </w:r>
    </w:p>
    <w:p>
      <w:pPr>
        <w:pStyle w:val="41"/>
        <w:jc w:val="left"/>
      </w:pPr>
      <w:r>
        <w:rPr>
          <w:lang w:val="en-US" w:eastAsia="zh-CN"/>
        </w:rPr>
        <w:drawing>
          <wp:inline distT="0" distB="0" distL="0" distR="0">
            <wp:extent cx="3733800" cy="285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8"/>
                    <a:stretch>
                      <a:fillRect/>
                    </a:stretch>
                  </pic:blipFill>
                  <pic:spPr>
                    <a:xfrm>
                      <a:off x="0" y="0"/>
                      <a:ext cx="3733800" cy="285750"/>
                    </a:xfrm>
                    <a:prstGeom prst="rect">
                      <a:avLst/>
                    </a:prstGeom>
                  </pic:spPr>
                </pic:pic>
              </a:graphicData>
            </a:graphic>
          </wp:inline>
        </w:drawing>
      </w:r>
    </w:p>
    <w:p>
      <w:pPr>
        <w:pStyle w:val="41"/>
        <w:jc w:val="left"/>
      </w:pPr>
    </w:p>
    <w:p>
      <w:pPr>
        <w:pStyle w:val="4"/>
      </w:pPr>
      <w:bookmarkStart w:id="75" w:name="_Toc19713"/>
      <w:bookmarkStart w:id="76" w:name="_Toc95140715"/>
      <w:r>
        <w:t>5.4.1</w:t>
      </w:r>
      <w:r>
        <w:tab/>
      </w:r>
      <w:r>
        <w:t>Overview</w:t>
      </w:r>
      <w:bookmarkEnd w:id="75"/>
      <w:bookmarkEnd w:id="76"/>
    </w:p>
    <w:p>
      <w:pPr>
        <w:pStyle w:val="48"/>
        <w:ind w:left="0" w:firstLine="0"/>
      </w:pPr>
      <w:r>
        <w:t xml:space="preserve">Picture 5.4-1 shows a snapshot of the worksheet "5G NR CADC Configurations". The list covers all NR CA, NR-DC, NR SUL, NE-DC and EN-DC configurations within the scope of RAN5 5G NR work items and based on the </w:t>
      </w:r>
      <w:r>
        <w:rPr>
          <w:lang w:val="en-US"/>
        </w:rPr>
        <w:t xml:space="preserve">TS </w:t>
      </w:r>
      <w:r>
        <w:t xml:space="preserve">38.101-1,-2,-3 [11,12,13] versions as indicated in the top </w:t>
      </w:r>
      <w:r>
        <w:rPr>
          <w:lang w:val="en-US"/>
        </w:rPr>
        <w:t>o</w:t>
      </w:r>
      <w:r>
        <w:t>f the worksheet (see item 1 in Picture 5.4-1).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configuration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configuration was introduced in TS 38.101-1 [11], TS 38.101-2 [12] or TS 38.101-3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configuration</w:t>
            </w:r>
          </w:p>
        </w:tc>
        <w:tc>
          <w:tcPr>
            <w:tcW w:w="6234" w:type="dxa"/>
          </w:tcPr>
          <w:p>
            <w:pPr>
              <w:pStyle w:val="40"/>
            </w:pPr>
            <w:r>
              <w:t>Indicates if the configuration is a NR CA, NR-DC, NR SUL, NE-DC or EN-DC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Indi</w:t>
            </w:r>
            <w:r>
              <w:rPr>
                <w:lang w:val="en-US"/>
              </w:rPr>
              <w:t>c</w:t>
            </w:r>
            <w:r>
              <w:t>ates the source TS and Table number the configuration is specified in. The format used is TS:Table &lt;Table number&gt;, e.g. " 38.101-3:Table 5.5A.1-1" for TS 38.101-3 and Table 5.5A.1-1.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Configuration</w:t>
            </w:r>
          </w:p>
        </w:tc>
        <w:tc>
          <w:tcPr>
            <w:tcW w:w="6234" w:type="dxa"/>
          </w:tcPr>
          <w:p>
            <w:pPr>
              <w:pStyle w:val="40"/>
            </w:pPr>
            <w:r>
              <w:t>Indicates the DL configuration for NR CA, NR-DC, NE-DC and EN-DC configurations. For NR SUL it indicates the SUL band combination if the TS and Source Table is "38.101-1:Table 5.5C-1" else it indicates the SUL band combination with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Uplink configuration</w:t>
            </w:r>
          </w:p>
        </w:tc>
        <w:tc>
          <w:tcPr>
            <w:tcW w:w="6234" w:type="dxa"/>
          </w:tcPr>
          <w:p>
            <w:pPr>
              <w:pStyle w:val="40"/>
            </w:pPr>
            <w:r>
              <w:t>Indicates the UL configuration for the configuration for NR CA, NR-DC, NE-DC and EN-DC configurations. For NR SUL it is not applicable if the TS and Source Table is "38.101-1:Table 5.5C-1" else it indicates the SUL configuration for the SUL band combination with CA indicated in column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PC3 details for the configuration (and its UL configuration when applicable) in RAN5 TSs and TRs. See clause 5.1 for the purpose of the differ</w:t>
            </w:r>
            <w:r>
              <w:rPr>
                <w:lang w:val="en-US"/>
              </w:rPr>
              <w:t>e</w:t>
            </w:r>
            <w:r>
              <w:t>nt status indication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if Power Class 2 has been completed for the configuration in RAN5 TSs and TRs. No value indicates that PC2 details are not cmpleted or nor applciable for the configura</w:t>
            </w:r>
            <w:r>
              <w:rPr>
                <w:lang w:val="en-US"/>
              </w:rPr>
              <w:t>t</w:t>
            </w:r>
            <w:r>
              <w: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configuration was declared completed in RAN5 TSs and TRs.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 xml:space="preserve">Reference RAN5 </w:t>
            </w:r>
            <w:r>
              <w:rPr>
                <w:shd w:val="clear" w:fill="FFC000"/>
              </w:rPr>
              <w:t xml:space="preserve">CDS </w:t>
            </w:r>
            <w:r>
              <w:t xml:space="preserve">TDOC declaring the completion of the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operator(s) of the configuration and PC3.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w:t>
            </w:r>
            <w:r>
              <w:rPr>
                <w:lang w:val="en-US"/>
              </w:rPr>
              <w:t>c</w:t>
            </w:r>
            <w:r>
              <w:t>ate the company (or companies) acting as responsible company to coordinate the contributions to secure all aspects for the configuration has been taken into account before the configuration is declared as completed. The workplans/checklists provided by PRD21 give guidance to the responsible company.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configuration for PC3 was assigned to interested operator and respon</w:t>
            </w:r>
            <w:r>
              <w:rPr>
                <w:lang w:val="en-US"/>
              </w:rPr>
              <w:t>s</w:t>
            </w:r>
            <w:r>
              <w:t>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w:t>
            </w:r>
            <w:r>
              <w:rPr>
                <w:lang w:val="en-US"/>
              </w:rPr>
              <w:t>i</w:t>
            </w:r>
            <w:r>
              <w:t>cates 3GPP WI code to be used in CRs for the configuration.</w:t>
            </w:r>
          </w:p>
        </w:tc>
      </w:tr>
    </w:tbl>
    <w:p>
      <w:pPr>
        <w:pStyle w:val="48"/>
        <w:ind w:left="0" w:firstLine="0"/>
      </w:pPr>
    </w:p>
    <w:p>
      <w:r>
        <w:t xml:space="preserve">The colour labelling of </w:t>
      </w:r>
      <w:r>
        <w:rPr>
          <w:lang w:val="en-US"/>
        </w:rPr>
        <w:t>5G NR CADC</w:t>
      </w:r>
      <w:r>
        <w:t xml:space="preserve"> configurations in the list reflects the current status of the configurations: </w:t>
      </w:r>
    </w:p>
    <w:tbl>
      <w:tblPr>
        <w:tblStyle w:val="26"/>
        <w:tblW w:w="9493" w:type="dxa"/>
        <w:tblInd w:w="0" w:type="dxa"/>
        <w:tblLayout w:type="autofit"/>
        <w:tblCellMar>
          <w:top w:w="0" w:type="dxa"/>
          <w:left w:w="108" w:type="dxa"/>
          <w:bottom w:w="0" w:type="dxa"/>
          <w:right w:w="108" w:type="dxa"/>
        </w:tblCellMar>
      </w:tblPr>
      <w:tblGrid>
        <w:gridCol w:w="9493"/>
      </w:tblGrid>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CADC configuration is complete in the RAN5 test specifications. Available for testing.</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 xml:space="preserve">Ongoing: Yellow row indicates that the 5G NR CADC configuration is assigned to </w:t>
            </w:r>
            <w:r>
              <w:rPr>
                <w:rFonts w:ascii="Calibri" w:hAnsi="Calibri"/>
                <w:color w:val="000000"/>
                <w:sz w:val="16"/>
                <w:szCs w:val="16"/>
                <w:lang w:val="en-US" w:eastAsia="en-GB"/>
              </w:rPr>
              <w:t xml:space="preserve">at least one "Interested Operator" and at least one "Responsible Company". CRs can be submitted to </w:t>
            </w:r>
            <w:r>
              <w:rPr>
                <w:rFonts w:ascii="Calibri" w:hAnsi="Calibri"/>
                <w:color w:val="000000"/>
                <w:sz w:val="16"/>
                <w:szCs w:val="16"/>
                <w:lang w:eastAsia="en-GB"/>
              </w:rPr>
              <w:t>RAN5 test specifications.</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sz w:val="16"/>
                <w:szCs w:val="16"/>
                <w:lang w:eastAsia="en-GB"/>
              </w:rPr>
            </w:pPr>
            <w:r>
              <w:rPr>
                <w:rFonts w:ascii="Calibri" w:hAnsi="Calibri"/>
                <w:sz w:val="16"/>
                <w:szCs w:val="16"/>
                <w:lang w:eastAsia="en-GB"/>
              </w:rPr>
              <w:t>Ongoing: White row with black text indicates that the 5G NR CADC configuration is ongoing but not yet assigned to any "Respons</w:t>
            </w:r>
            <w:r>
              <w:rPr>
                <w:rFonts w:ascii="Calibri" w:hAnsi="Calibri"/>
                <w:sz w:val="16"/>
                <w:szCs w:val="16"/>
                <w:lang w:val="en-US" w:eastAsia="en-GB"/>
              </w:rPr>
              <w:t>i</w:t>
            </w:r>
            <w:r>
              <w:rPr>
                <w:rFonts w:ascii="Calibri" w:hAnsi="Calibri"/>
                <w:sz w:val="16"/>
                <w:szCs w:val="16"/>
                <w:lang w:eastAsia="en-GB"/>
              </w:rPr>
              <w:t>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CADC configuration is is pending assignment to "Interested Operator".</w:t>
            </w:r>
            <w:r>
              <w:t xml:space="preserve"> </w:t>
            </w:r>
            <w:r>
              <w:rPr>
                <w:rFonts w:ascii="Calibri" w:hAnsi="Calibri"/>
                <w:color w:val="FF0000"/>
                <w:sz w:val="16"/>
                <w:szCs w:val="16"/>
                <w:lang w:eastAsia="en-GB"/>
              </w:rPr>
              <w:t>No CRs shall be submitted to the RAN5 specifications.</w:t>
            </w:r>
          </w:p>
        </w:tc>
      </w:tr>
    </w:tbl>
    <w:p>
      <w:pPr>
        <w:pStyle w:val="48"/>
        <w:ind w:left="0" w:firstLine="0"/>
      </w:pPr>
    </w:p>
    <w:p>
      <w:pPr>
        <w:pStyle w:val="48"/>
        <w:ind w:left="0" w:firstLine="0"/>
      </w:pPr>
      <w:r>
        <w:t>Item 2 and Item 3 in Picture 5.4-1 shows controls for marking configurations to request assignments as "Interested Operator" and "Responsible Company", and to create workplans/checklists for the marked configurations. See clause 6.1 for more details.</w:t>
      </w:r>
    </w:p>
    <w:p>
      <w:pPr>
        <w:pStyle w:val="48"/>
        <w:ind w:left="0" w:firstLine="0"/>
      </w:pPr>
      <w:r>
        <w:t>Item 4 in Picture 5.4-1 shows options buttons for pre-defined sort options of the list.</w:t>
      </w:r>
    </w:p>
    <w:p>
      <w:pPr>
        <w:pStyle w:val="48"/>
        <w:ind w:left="0" w:firstLine="0"/>
      </w:pPr>
      <w:r>
        <w:t xml:space="preserve">The column "Applicable RAN5 WI code(s) for CRs" (see item 5 in Picture 5.4-1) shows the RAN5 WI code(s) to be specified on the CR coversheet for CRs to the 5G NR CADC configuration. </w:t>
      </w:r>
    </w:p>
    <w:p>
      <w:pPr>
        <w:pStyle w:val="41"/>
        <w:sectPr>
          <w:headerReference r:id="rId12" w:type="default"/>
          <w:footerReference r:id="rId13" w:type="default"/>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w:t>
      </w:r>
      <w:r>
        <w:rPr>
          <w:lang w:val="en-US"/>
        </w:rPr>
        <w:t>1</w:t>
      </w:r>
      <w:r>
        <w:t>: 5G NR CADC configuration worksheet overview.</w:t>
      </w:r>
    </w:p>
    <w:p>
      <w:pPr>
        <w:pStyle w:val="37"/>
        <w:jc w:val="both"/>
      </w:pPr>
      <w:r>
        <w:rPr>
          <w:lang w:val="en-US" w:eastAsia="zh-CN"/>
        </w:rPr>
        <mc:AlternateContent>
          <mc:Choice Requires="wps">
            <w:drawing>
              <wp:anchor distT="0" distB="0" distL="114300" distR="114300" simplePos="0" relativeHeight="251663360" behindDoc="0" locked="0" layoutInCell="1" allowOverlap="1">
                <wp:simplePos x="0" y="0"/>
                <wp:positionH relativeFrom="margin">
                  <wp:posOffset>8041005</wp:posOffset>
                </wp:positionH>
                <wp:positionV relativeFrom="paragraph">
                  <wp:posOffset>1002665</wp:posOffset>
                </wp:positionV>
                <wp:extent cx="939800" cy="1995170"/>
                <wp:effectExtent l="38100" t="0" r="31750" b="62230"/>
                <wp:wrapNone/>
                <wp:docPr id="5" name="Straight Connector 5"/>
                <wp:cNvGraphicFramePr/>
                <a:graphic xmlns:a="http://schemas.openxmlformats.org/drawingml/2006/main">
                  <a:graphicData uri="http://schemas.microsoft.com/office/word/2010/wordprocessingShape">
                    <wps:wsp>
                      <wps:cNvCnPr/>
                      <wps:spPr>
                        <a:xfrm flipV="1">
                          <a:off x="0" y="0"/>
                          <a:ext cx="939910" cy="199539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5" o:spid="_x0000_s1026" o:spt="20" style="position:absolute;left:0pt;flip:y;margin-left:633.15pt;margin-top:78.95pt;height:157.1pt;width:74pt;mso-position-horizontal-relative:margin;z-index:251663360;mso-width-relative:page;mso-height-relative:page;" filled="f" stroked="t" coordsize="21600,21600" o:gfxdata="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&#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SOeY2gAAAA0BAAAPAAAAAAAAAAEAIAAAACIAAABk&#10;cnMvZG93bnJldi54bWxQSwECFAAUAAAACACHTuJA4nt6fgQCAAACBAAADgAAAAAAAAABACAAAAAp&#10;AQAAZHJzL2Uyb0RvYy54bWxQSwUGAAAAAAYABgBZAQAAnw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8305165</wp:posOffset>
                </wp:positionH>
                <wp:positionV relativeFrom="paragraph">
                  <wp:posOffset>311150</wp:posOffset>
                </wp:positionV>
                <wp:extent cx="1463040" cy="691515"/>
                <wp:effectExtent l="0" t="0" r="22860" b="13335"/>
                <wp:wrapNone/>
                <wp:docPr id="13" name="Oval 13"/>
                <wp:cNvGraphicFramePr/>
                <a:graphic xmlns:a="http://schemas.openxmlformats.org/drawingml/2006/main">
                  <a:graphicData uri="http://schemas.microsoft.com/office/word/2010/wordprocessingShape">
                    <wps:wsp>
                      <wps:cNvSpPr/>
                      <wps:spPr>
                        <a:xfrm>
                          <a:off x="0" y="0"/>
                          <a:ext cx="1463040" cy="69176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3" o:spid="_x0000_s1026" o:spt="3" type="#_x0000_t3" style="position:absolute;left:0pt;margin-left:653.95pt;margin-top:24.5pt;height:54.45pt;width:115.2pt;z-index:251659264;v-text-anchor:middle;mso-width-relative:page;mso-height-relative:page;" filled="f" stroked="t" coordsize="21600,21600" o:gfxdata="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HdCZdkAAAAMAQAADwAAAAAAAAABACAAAAAiAAAAZHJzL2Rvd25y&#10;ZXYueG1sUEsBAhQAFAAAAAgAh07iQKDYJNJvAgAA7wQAAA4AAAAAAAAAAQAgAAAAKAEAAGRycy9l&#10;Mm9Eb2MueG1sUEsFBgAAAAAGAAYAWQEAAAkGA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73600" behindDoc="0" locked="0" layoutInCell="1" allowOverlap="1">
                <wp:simplePos x="0" y="0"/>
                <wp:positionH relativeFrom="column">
                  <wp:posOffset>8340725</wp:posOffset>
                </wp:positionH>
                <wp:positionV relativeFrom="paragraph">
                  <wp:posOffset>1989455</wp:posOffset>
                </wp:positionV>
                <wp:extent cx="254635" cy="278130"/>
                <wp:effectExtent l="0" t="0" r="12700" b="26670"/>
                <wp:wrapNone/>
                <wp:docPr id="20" name="Text Box 20"/>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26" o:spt="202" type="#_x0000_t202" style="position:absolute;left:0pt;margin-left:656.75pt;margin-top:156.65pt;height:21.9pt;width:20.05pt;z-index:251673600;mso-width-relative:page;mso-height-relative:page;" fillcolor="#FFFFFF [3201]" filled="t" stroked="t" coordsize="21600,21600" o:gfxdata="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v/XR2gAAAA0BAAAPAAAAAAAA&#10;AAEAIAAAACIAAABkcnMvZG93bnJldi54bWxQSwECFAAUAAAACACHTuJAwe2YbEkCAAC5BAAADgAA&#10;AAAAAAABACAAAAAp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3</w:t>
                      </w:r>
                    </w:p>
                  </w:txbxContent>
                </v:textbox>
              </v:shape>
            </w:pict>
          </mc:Fallback>
        </mc:AlternateContent>
      </w:r>
      <w:r>
        <w:rPr>
          <w:lang w:val="en-US" w:eastAsia="zh-CN"/>
        </w:rPr>
        <mc:AlternateContent>
          <mc:Choice Requires="wps">
            <w:drawing>
              <wp:anchor distT="0" distB="0" distL="114300" distR="114300" simplePos="0" relativeHeight="251672576" behindDoc="0" locked="0" layoutInCell="1" allowOverlap="1">
                <wp:simplePos x="0" y="0"/>
                <wp:positionH relativeFrom="column">
                  <wp:posOffset>6718300</wp:posOffset>
                </wp:positionH>
                <wp:positionV relativeFrom="paragraph">
                  <wp:posOffset>1882140</wp:posOffset>
                </wp:positionV>
                <wp:extent cx="254635" cy="278130"/>
                <wp:effectExtent l="0" t="0" r="12700" b="26670"/>
                <wp:wrapNone/>
                <wp:docPr id="22" name="Text Box 2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41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 o:spid="_x0000_s1026" o:spt="202" type="#_x0000_t202" style="position:absolute;left:0pt;margin-left:529pt;margin-top:148.2pt;height:21.9pt;width:20.05pt;z-index:251672576;mso-width-relative:page;mso-height-relative:page;" fillcolor="#FFFFFF [3201]" filled="t" stroked="t" coordsize="21600,21600" o:gfxdata="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ysyS2gAAAA0BAAAPAAAAAAAA&#10;AAEAIAAAACIAAABkcnMvZG93bnJldi54bWxQSwECFAAUAAAACACHTuJA5TTajUkCAAC5BAAADgAA&#10;AAAAAAABACAAAAAp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41</w:t>
                      </w:r>
                    </w:p>
                  </w:txbxContent>
                </v:textbox>
              </v:shape>
            </w:pict>
          </mc:Fallback>
        </mc:AlternateContent>
      </w:r>
      <w:r>
        <w:rPr>
          <w:lang w:val="en-US" w:eastAsia="zh-CN"/>
        </w:rPr>
        <mc:AlternateContent>
          <mc:Choice Requires="wps">
            <w:drawing>
              <wp:anchor distT="0" distB="0" distL="114300" distR="114300" simplePos="0" relativeHeight="251670528" behindDoc="0" locked="0" layoutInCell="1" allowOverlap="1">
                <wp:simplePos x="0" y="0"/>
                <wp:positionH relativeFrom="column">
                  <wp:posOffset>3366135</wp:posOffset>
                </wp:positionH>
                <wp:positionV relativeFrom="paragraph">
                  <wp:posOffset>1773555</wp:posOffset>
                </wp:positionV>
                <wp:extent cx="254635" cy="278130"/>
                <wp:effectExtent l="0" t="0" r="12700" b="26670"/>
                <wp:wrapNone/>
                <wp:docPr id="23" name="Text Box 23"/>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 o:spid="_x0000_s1026" o:spt="202" type="#_x0000_t202" style="position:absolute;left:0pt;margin-left:265.05pt;margin-top:139.65pt;height:21.9pt;width:20.05pt;z-index:251670528;mso-width-relative:page;mso-height-relative:page;" fillcolor="#FFFFFF [3201]" filled="t" stroked="t" coordsize="21600,21600" o:gfxdata="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oRAs2QAAAAsBAAAPAAAAAAAA&#10;AAEAIAAAACIAAABkcnMvZG93bnJldi54bWxQSwECFAAUAAAACACHTuJAd1h7/UoCAAC5BAAADgAA&#10;AAAAAAABACAAAAAo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1</w:t>
                      </w:r>
                    </w:p>
                  </w:txbxContent>
                </v:textbox>
              </v:shape>
            </w:pict>
          </mc:Fallback>
        </mc:AlternateContent>
      </w:r>
      <w:r>
        <w:rPr>
          <w:lang w:val="en-US" w:eastAsia="zh-CN"/>
        </w:rPr>
        <mc:AlternateContent>
          <mc:Choice Requires="wps">
            <w:drawing>
              <wp:anchor distT="0" distB="0" distL="114300" distR="114300" simplePos="0" relativeHeight="251668480" behindDoc="0" locked="0" layoutInCell="1" allowOverlap="1">
                <wp:simplePos x="0" y="0"/>
                <wp:positionH relativeFrom="margin">
                  <wp:posOffset>3096895</wp:posOffset>
                </wp:positionH>
                <wp:positionV relativeFrom="paragraph">
                  <wp:posOffset>621030</wp:posOffset>
                </wp:positionV>
                <wp:extent cx="580390" cy="1876425"/>
                <wp:effectExtent l="0" t="0" r="67310" b="47625"/>
                <wp:wrapNone/>
                <wp:docPr id="25" name="Straight Connector 25"/>
                <wp:cNvGraphicFramePr/>
                <a:graphic xmlns:a="http://schemas.openxmlformats.org/drawingml/2006/main">
                  <a:graphicData uri="http://schemas.microsoft.com/office/word/2010/wordprocessingShape">
                    <wps:wsp>
                      <wps:cNvCnPr/>
                      <wps:spPr>
                        <a:xfrm flipH="1" flipV="1">
                          <a:off x="0" y="0"/>
                          <a:ext cx="580445" cy="187650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5" o:spid="_x0000_s1026" o:spt="20" style="position:absolute;left:0pt;flip:x y;margin-left:243.85pt;margin-top:48.9pt;height:147.75pt;width:45.7pt;mso-position-horizontal-relative:margin;z-index:251668480;mso-width-relative:page;mso-height-relative:page;" filled="f" stroked="t" coordsize="21600,21600" o:gfxdata="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q24F2gAAAAoBAAAPAAAAAAAAAAEA&#10;IAAAACIAAABkcnMvZG93bnJldi54bWxQSwECFAAUAAAACACHTuJAL2q+/Q0CAAAOBAAADgAAAAAA&#10;AAABACAAAAApAQAAZHJzL2Uyb0RvYy54bWxQSwUGAAAAAAYABgBZAQAAqA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7456" behindDoc="0" locked="0" layoutInCell="1" allowOverlap="1">
                <wp:simplePos x="0" y="0"/>
                <wp:positionH relativeFrom="column">
                  <wp:posOffset>1633855</wp:posOffset>
                </wp:positionH>
                <wp:positionV relativeFrom="paragraph">
                  <wp:posOffset>160020</wp:posOffset>
                </wp:positionV>
                <wp:extent cx="3244215" cy="469265"/>
                <wp:effectExtent l="0" t="0" r="13970" b="26670"/>
                <wp:wrapNone/>
                <wp:docPr id="26" name="Oval 26"/>
                <wp:cNvGraphicFramePr/>
                <a:graphic xmlns:a="http://schemas.openxmlformats.org/drawingml/2006/main">
                  <a:graphicData uri="http://schemas.microsoft.com/office/word/2010/wordprocessingShape">
                    <wps:wsp>
                      <wps:cNvSpPr/>
                      <wps:spPr>
                        <a:xfrm>
                          <a:off x="0" y="0"/>
                          <a:ext cx="3244077" cy="46912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6" o:spid="_x0000_s1026" o:spt="3" type="#_x0000_t3" style="position:absolute;left:0pt;margin-left:128.65pt;margin-top:12.6pt;height:36.95pt;width:255.45pt;z-index:251667456;v-text-anchor:middle;mso-width-relative:page;mso-height-relative:page;" filled="f" stroked="t" coordsize="21600,21600" o:gfxdata="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02LV7YAAAACQEAAA8AAAAAAAAAAQAgAAAAIgAAAGRy&#10;cy9kb3ducmV2LnhtbFBLAQIUABQAAAAIAIdO4kAzAcbodwIAAPoEAAAOAAAAAAAAAAEAIAAAACcB&#10;AABkcnMvZTJvRG9jLnhtbFBLBQYAAAAABgAGAFkBAAAQBgAAAAA=&#10;">
                <v:fill on="f" focussize="0,0"/>
                <v:stroke weight="1pt" color="#2F528F [3204]" miterlimit="8" joinstyle="miter"/>
                <v:imagedata o:title=""/>
                <o:lock v:ext="edit" aspectratio="f"/>
                <v:textbo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v:textbox>
              </v:shape>
            </w:pict>
          </mc:Fallback>
        </mc:AlternateContent>
      </w:r>
      <w:r>
        <w:rPr>
          <w:lang w:val="en-US" w:eastAsia="zh-CN"/>
        </w:rPr>
        <mc:AlternateContent>
          <mc:Choice Requires="wps">
            <w:drawing>
              <wp:anchor distT="0" distB="0" distL="114300" distR="114300" simplePos="0" relativeHeight="251662336" behindDoc="0" locked="0" layoutInCell="1" allowOverlap="1">
                <wp:simplePos x="0" y="0"/>
                <wp:positionH relativeFrom="margin">
                  <wp:posOffset>1053465</wp:posOffset>
                </wp:positionH>
                <wp:positionV relativeFrom="paragraph">
                  <wp:posOffset>2132330</wp:posOffset>
                </wp:positionV>
                <wp:extent cx="563880" cy="864870"/>
                <wp:effectExtent l="0" t="0" r="64770" b="49530"/>
                <wp:wrapNone/>
                <wp:docPr id="27" name="Straight Connector 27"/>
                <wp:cNvGraphicFramePr/>
                <a:graphic xmlns:a="http://schemas.openxmlformats.org/drawingml/2006/main">
                  <a:graphicData uri="http://schemas.microsoft.com/office/word/2010/wordprocessingShape">
                    <wps:wsp>
                      <wps:cNvCnPr/>
                      <wps:spPr>
                        <a:xfrm flipH="1" flipV="1">
                          <a:off x="0" y="0"/>
                          <a:ext cx="563935" cy="86489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7" o:spid="_x0000_s1026" o:spt="20" style="position:absolute;left:0pt;flip:x y;margin-left:82.95pt;margin-top:167.9pt;height:68.1pt;width:44.4pt;mso-position-horizontal-relative:margin;z-index:251662336;mso-width-relative:page;mso-height-relative:page;" filled="f" stroked="t" coordsize="21600,21600" o:gfxdata="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lzjdsAAAALAQAADwAAAAAAAAAB&#10;ACAAAAAiAAAAZHJzL2Rvd25yZXYueG1sUEsBAhQAFAAAAAgAh07iQBk6XF0NAgAADQQAAA4AAAAA&#10;AAAAAQAgAAAAKgEAAGRycy9lMm9Eb2MueG1sUEsFBgAAAAAGAAYAWQEAAKkFA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822960</wp:posOffset>
                </wp:positionH>
                <wp:positionV relativeFrom="paragraph">
                  <wp:posOffset>223520</wp:posOffset>
                </wp:positionV>
                <wp:extent cx="447675" cy="1892300"/>
                <wp:effectExtent l="0" t="0" r="28575" b="12700"/>
                <wp:wrapNone/>
                <wp:docPr id="28" name="Oval 28"/>
                <wp:cNvGraphicFramePr/>
                <a:graphic xmlns:a="http://schemas.openxmlformats.org/drawingml/2006/main">
                  <a:graphicData uri="http://schemas.microsoft.com/office/word/2010/wordprocessingShape">
                    <wps:wsp>
                      <wps:cNvSpPr/>
                      <wps:spPr>
                        <a:xfrm>
                          <a:off x="0" y="0"/>
                          <a:ext cx="447675" cy="189241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64.8pt;margin-top:17.6pt;height:149pt;width:35.25pt;z-index:251660288;v-text-anchor:middle;mso-width-relative:page;mso-height-relative:page;" filled="f" stroked="t" coordsize="21600,21600" o:gfxdata="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ZwHW3WAAAACgEAAA8AAAAAAAAAAQAgAAAAIgAAAGRycy9k&#10;b3ducmV2LnhtbFBLAQIUABQAAAAIAIdO4kAb1ylxdgIAAPoEAAAOAAAAAAAAAAEAIAAAACUBAABk&#10;cnMvZTJvRG9jLnhtbFBLBQYAAAAABgAGAFkBAAANBgAAAAA=&#10;">
                <v:fill on="f" focussize="0,0"/>
                <v:stroke weight="1pt" color="#2F528F [3204]" miterlimit="8" joinstyle="miter"/>
                <v:imagedata o:title=""/>
                <o:lock v:ext="edit" aspectratio="f"/>
                <v:textbo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v:textbox>
              </v:shape>
            </w:pict>
          </mc:Fallback>
        </mc:AlternateContent>
      </w:r>
      <w:r>
        <w:rPr>
          <w:lang w:val="en-US" w:eastAsia="zh-CN"/>
        </w:rPr>
        <mc:AlternateContent>
          <mc:Choice Requires="wps">
            <w:drawing>
              <wp:anchor distT="0" distB="0" distL="114300" distR="114300" simplePos="0" relativeHeight="251669504" behindDoc="0" locked="0" layoutInCell="1" allowOverlap="1">
                <wp:simplePos x="0" y="0"/>
                <wp:positionH relativeFrom="margin">
                  <wp:posOffset>6110605</wp:posOffset>
                </wp:positionH>
                <wp:positionV relativeFrom="paragraph">
                  <wp:posOffset>1146175</wp:posOffset>
                </wp:positionV>
                <wp:extent cx="1183640" cy="2385695"/>
                <wp:effectExtent l="38100" t="0" r="35560" b="53340"/>
                <wp:wrapNone/>
                <wp:docPr id="29" name="Straight Connector 29"/>
                <wp:cNvGraphicFramePr/>
                <a:graphic xmlns:a="http://schemas.openxmlformats.org/drawingml/2006/main">
                  <a:graphicData uri="http://schemas.microsoft.com/office/word/2010/wordprocessingShape">
                    <wps:wsp>
                      <wps:cNvCnPr/>
                      <wps:spPr>
                        <a:xfrm flipV="1">
                          <a:off x="0" y="0"/>
                          <a:ext cx="1183806" cy="238539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9" o:spid="_x0000_s1026" o:spt="20" style="position:absolute;left:0pt;flip:y;margin-left:481.15pt;margin-top:90.25pt;height:187.85pt;width:93.2pt;mso-position-horizontal-relative:margin;z-index:251669504;mso-width-relative:page;mso-height-relative:page;" filled="f" stroked="t" coordsize="21600,21600" o:gfxdata="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nsY07aAAAADAEAAA8AAAAAAAAAAQAgAAAA&#10;IgAAAGRycy9kb3ducmV2LnhtbFBLAQIUABQAAAAIAIdO4kDGNR01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4384" behindDoc="0" locked="0" layoutInCell="1" allowOverlap="1">
                <wp:simplePos x="0" y="0"/>
                <wp:positionH relativeFrom="column">
                  <wp:posOffset>6790055</wp:posOffset>
                </wp:positionH>
                <wp:positionV relativeFrom="paragraph">
                  <wp:posOffset>301625</wp:posOffset>
                </wp:positionV>
                <wp:extent cx="1463675" cy="866775"/>
                <wp:effectExtent l="0" t="0" r="22860" b="28575"/>
                <wp:wrapNone/>
                <wp:docPr id="31" name="Oval 31"/>
                <wp:cNvGraphicFramePr/>
                <a:graphic xmlns:a="http://schemas.openxmlformats.org/drawingml/2006/main">
                  <a:graphicData uri="http://schemas.microsoft.com/office/word/2010/wordprocessingShape">
                    <wps:wsp>
                      <wps:cNvSpPr/>
                      <wps:spPr>
                        <a:xfrm>
                          <a:off x="0" y="0"/>
                          <a:ext cx="1463593" cy="866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1" o:spid="_x0000_s1026" o:spt="3" type="#_x0000_t3" style="position:absolute;left:0pt;margin-left:534.65pt;margin-top:23.75pt;height:68.25pt;width:115.25pt;z-index:251664384;v-text-anchor:middle;mso-width-relative:page;mso-height-relative:page;" filled="f" stroked="t" coordsize="21600,21600" o:gfxdata="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Gl5iraAAAADAEAAA8AAAAAAAAAAQAgAAAAIgAAAGRycy9kb3du&#10;cmV2LnhtbFBLAQIUABQAAAAIAIdO4kCHlA11bwIAAO8EAAAOAAAAAAAAAAEAIAAAACkBAABkcnMv&#10;ZTJvRG9jLnhtbFBLBQYAAAAABgAGAFkBAAAKBgAAAAA=&#10;">
                <v:fill on="f" focussize="0,0"/>
                <v:stroke weight="1pt" color="#2F528F [3204]" miterlimit="8" joinstyle="miter"/>
                <v:imagedata o:title=""/>
                <o:lock v:ext="edit" aspectratio="f"/>
              </v:shape>
            </w:pict>
          </mc:Fallback>
        </mc:AlternateContent>
      </w:r>
      <w:r>
        <w:t xml:space="preserve"> </w:t>
      </w:r>
      <w:r>
        <w:rPr>
          <w:lang w:val="en-US" w:eastAsia="zh-CN"/>
        </w:rPr>
        <w:drawing>
          <wp:inline distT="0" distB="0" distL="0" distR="0">
            <wp:extent cx="9074785" cy="21266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29"/>
                    <a:stretch>
                      <a:fillRect/>
                    </a:stretch>
                  </pic:blipFill>
                  <pic:spPr>
                    <a:xfrm>
                      <a:off x="0" y="0"/>
                      <a:ext cx="9074785" cy="2126615"/>
                    </a:xfrm>
                    <a:prstGeom prst="rect">
                      <a:avLst/>
                    </a:prstGeom>
                  </pic:spPr>
                </pic:pic>
              </a:graphicData>
            </a:graphic>
          </wp:inline>
        </w:drawing>
      </w:r>
    </w:p>
    <w:p>
      <w:r>
        <w:rPr>
          <w:lang w:val="en-US" w:eastAsia="zh-CN"/>
        </w:rPr>
        <mc:AlternateContent>
          <mc:Choice Requires="wps">
            <w:drawing>
              <wp:anchor distT="0" distB="0" distL="114300" distR="114300" simplePos="0" relativeHeight="251671552" behindDoc="0" locked="0" layoutInCell="1" allowOverlap="1">
                <wp:simplePos x="0" y="0"/>
                <wp:positionH relativeFrom="column">
                  <wp:posOffset>1219835</wp:posOffset>
                </wp:positionH>
                <wp:positionV relativeFrom="paragraph">
                  <wp:posOffset>16510</wp:posOffset>
                </wp:positionV>
                <wp:extent cx="254635" cy="278130"/>
                <wp:effectExtent l="0" t="0" r="12700" b="26670"/>
                <wp:wrapNone/>
                <wp:docPr id="32" name="Text Box 3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2" o:spid="_x0000_s1026" o:spt="202" type="#_x0000_t202" style="position:absolute;left:0pt;margin-left:96.05pt;margin-top:1.3pt;height:21.9pt;width:20.05pt;z-index:251671552;mso-width-relative:page;mso-height-relative:page;" fillcolor="#FFFFFF [3201]" filled="t" stroked="t" coordsize="21600,21600" o:gfxdata="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TOKKNcAAAAIAQAADwAAAAAAAAAB&#10;ACAAAAAiAAAAZHJzL2Rvd25yZXYueG1sUEsBAhQAFAAAAAgAh07iQOFnq5NKAgAAuQQAAA4AAAAA&#10;AAAAAQAgAAAAJgEAAGRycy9lMm9Eb2MueG1sUEsFBgAAAAAGAAYAWQEAAOIFAAAAAA==&#10;">
                <v:fill on="t" focussize="0,0"/>
                <v:stroke weight="1pt" color="#0070C0" joinstyle="round"/>
                <v:imagedata o:title=""/>
                <o:lock v:ext="edit" aspectratio="f"/>
                <v:textbox>
                  <w:txbxContent>
                    <w:p>
                      <w:pPr>
                        <w:rPr>
                          <w:b/>
                          <w:bCs/>
                          <w:sz w:val="24"/>
                          <w:szCs w:val="24"/>
                          <w:lang w:val="en-US"/>
                        </w:rPr>
                      </w:pPr>
                      <w:r>
                        <w:rPr>
                          <w:b/>
                          <w:bCs/>
                          <w:sz w:val="24"/>
                          <w:szCs w:val="24"/>
                          <w:lang w:val="en-US"/>
                        </w:rPr>
                        <w:t>2</w:t>
                      </w:r>
                    </w:p>
                  </w:txbxContent>
                </v:textbox>
              </v:shape>
            </w:pict>
          </mc:Fallback>
        </mc:AlternateContent>
      </w:r>
      <w:r>
        <w:rPr>
          <w:lang w:val="en-US" w:eastAsia="zh-CN"/>
        </w:rPr>
        <w:drawing>
          <wp:anchor distT="0" distB="0" distL="114300" distR="114300" simplePos="0" relativeHeight="251665408" behindDoc="0" locked="0" layoutInCell="1" allowOverlap="1">
            <wp:simplePos x="0" y="0"/>
            <wp:positionH relativeFrom="column">
              <wp:posOffset>1959610</wp:posOffset>
            </wp:positionH>
            <wp:positionV relativeFrom="paragraph">
              <wp:posOffset>119380</wp:posOffset>
            </wp:positionV>
            <wp:extent cx="4766310" cy="46101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4766375" cy="461010"/>
                    </a:xfrm>
                    <a:prstGeom prst="rect">
                      <a:avLst/>
                    </a:prstGeom>
                  </pic:spPr>
                </pic:pic>
              </a:graphicData>
            </a:graphic>
          </wp:anchor>
        </w:drawing>
      </w:r>
    </w:p>
    <w:p>
      <w:r>
        <w:rPr>
          <w:lang w:val="en-US" w:eastAsia="zh-CN"/>
        </w:rPr>
        <w:drawing>
          <wp:anchor distT="0" distB="0" distL="114300" distR="114300" simplePos="0" relativeHeight="251666432" behindDoc="0" locked="0" layoutInCell="1" allowOverlap="1">
            <wp:simplePos x="0" y="0"/>
            <wp:positionH relativeFrom="column">
              <wp:posOffset>1207135</wp:posOffset>
            </wp:positionH>
            <wp:positionV relativeFrom="paragraph">
              <wp:posOffset>343535</wp:posOffset>
            </wp:positionV>
            <wp:extent cx="863600" cy="244221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863608" cy="2442045"/>
                    </a:xfrm>
                    <a:prstGeom prst="rect">
                      <a:avLst/>
                    </a:prstGeom>
                  </pic:spPr>
                </pic:pic>
              </a:graphicData>
            </a:graphic>
          </wp:anchor>
        </w:drawing>
      </w:r>
      <w:r>
        <w:rPr>
          <w:lang w:val="en-US" w:eastAsia="zh-CN"/>
        </w:rPr>
        <w:drawing>
          <wp:anchor distT="0" distB="0" distL="114300" distR="114300" simplePos="0" relativeHeight="251661312" behindDoc="1" locked="0" layoutInCell="1" allowOverlap="1">
            <wp:simplePos x="0" y="0"/>
            <wp:positionH relativeFrom="column">
              <wp:posOffset>4366895</wp:posOffset>
            </wp:positionH>
            <wp:positionV relativeFrom="paragraph">
              <wp:posOffset>381635</wp:posOffset>
            </wp:positionV>
            <wp:extent cx="4943475" cy="137160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4943475" cy="1371600"/>
                    </a:xfrm>
                    <a:prstGeom prst="rect">
                      <a:avLst/>
                    </a:prstGeom>
                  </pic:spPr>
                </pic:pic>
              </a:graphicData>
            </a:graphic>
          </wp:anchor>
        </w:drawing>
      </w:r>
      <w:r>
        <w:t xml:space="preserve">                               </w:t>
      </w:r>
    </w:p>
    <w:p>
      <w:pPr>
        <w:sectPr>
          <w:footnotePr>
            <w:numRestart w:val="eachSect"/>
          </w:footnotePr>
          <w:pgSz w:w="16840" w:h="11907" w:orient="landscape"/>
          <w:pgMar w:top="1133" w:right="1416" w:bottom="1133" w:left="1133" w:header="850" w:footer="340" w:gutter="0"/>
          <w:cols w:space="720" w:num="1"/>
          <w:formProt w:val="0"/>
          <w:docGrid w:linePitch="272" w:charSpace="0"/>
        </w:sectPr>
      </w:pPr>
    </w:p>
    <w:p>
      <w:r>
        <w:t>A 5G NR CADC configurations in 38.101-x [11,12,13] clause 5.6A having UL CA and/or more than one BCS will in the PRD2</w:t>
      </w:r>
      <w:r>
        <w:rPr>
          <w:lang w:val="en-US"/>
        </w:rPr>
        <w:t>1</w:t>
      </w:r>
      <w:r>
        <w:t xml:space="preserve"> 5G NR CADC list be split into multiple rows where each row is limited to without UL CA or with one UL CA configuration and one BCS.</w:t>
      </w:r>
    </w:p>
    <w:p>
      <w:r>
        <w:t xml:space="preserve">The purpose of the splitting of the 38.101-x [11,12,13] 5G NR CADC configurations into multiple configurations is to allow progress of individual configurations dependent on industry interest. </w:t>
      </w:r>
    </w:p>
    <w:p>
      <w:pPr>
        <w:pStyle w:val="4"/>
      </w:pPr>
      <w:bookmarkStart w:id="77" w:name="_Toc95140716"/>
      <w:bookmarkStart w:id="78" w:name="_Toc8929"/>
      <w:r>
        <w:t>5.4.2</w:t>
      </w:r>
      <w:r>
        <w:tab/>
      </w:r>
      <w:r>
        <w:t>Requesting assignment of 5G NR CADC configurations</w:t>
      </w:r>
      <w:bookmarkEnd w:id="77"/>
      <w:bookmarkEnd w:id="78"/>
    </w:p>
    <w:p>
      <w:pPr>
        <w:pStyle w:val="48"/>
        <w:ind w:left="0" w:firstLine="0"/>
      </w:pPr>
      <w:r>
        <w:t>See picture 5.4.2-1 showing location of the different buttons referenced in the text below.</w:t>
      </w:r>
    </w:p>
    <w:p>
      <w:pPr>
        <w:pStyle w:val="48"/>
        <w:ind w:left="0" w:firstLine="0"/>
      </w:pPr>
      <w:r>
        <w:t>To submit an assignment request for "Interested Operator" and/or "Responsible Company" for one or more 5G NR CADC configurations do:</w:t>
      </w:r>
    </w:p>
    <w:p>
      <w:pPr>
        <w:pStyle w:val="48"/>
      </w:pPr>
      <w:r>
        <w:t>Step 1:</w:t>
      </w:r>
      <w:r>
        <w:tab/>
      </w:r>
      <w:r>
        <w:tab/>
      </w:r>
      <w:r>
        <w:t>Select the "5G NR CADC Configurations" worksheet.</w:t>
      </w:r>
    </w:p>
    <w:p>
      <w:pPr>
        <w:pStyle w:val="48"/>
      </w:pPr>
      <w:r>
        <w:t>Step 2:</w:t>
      </w:r>
      <w:r>
        <w:tab/>
      </w:r>
      <w:r>
        <w:tab/>
      </w:r>
      <w:r>
        <w:t>Mark the 5G NR CADC configurations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In the pop-up window (see picture 5.4.2-2)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Press the "Request Assignment" button (see picture 5.4.2-2).</w:t>
      </w:r>
    </w:p>
    <w:p>
      <w:pPr>
        <w:pStyle w:val="48"/>
        <w:ind w:left="1134" w:hanging="850"/>
      </w:pPr>
      <w:r>
        <w:t xml:space="preserve">Step 6: </w:t>
      </w:r>
      <w:r>
        <w:tab/>
      </w:r>
      <w:r>
        <w:t>An email is created including the assignment request (see picture 5.4.2-3) including an Excel file with the requested configurations (see picture 5.4.2-4). Press the "Send" button to send the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5G NR CADC configuration should the responsible company create a work plan as described in clause 6.</w:t>
      </w:r>
      <w:r>
        <w:rPr>
          <w:lang w:val="en-US"/>
        </w:rPr>
        <w:t>2</w:t>
      </w:r>
      <w:r>
        <w:t>.</w:t>
      </w:r>
    </w:p>
    <w:p>
      <w:pPr>
        <w:pStyle w:val="41"/>
        <w:sectPr>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5.4.2-1: 5G NR CA DC configuration worksheet overview.</w:t>
      </w:r>
    </w:p>
    <w:p>
      <w:pPr>
        <w:pStyle w:val="37"/>
        <w:jc w:val="both"/>
      </w:pPr>
      <w:r>
        <w:rPr>
          <w:lang w:val="en-US" w:eastAsia="zh-CN"/>
        </w:rPr>
        <mc:AlternateContent>
          <mc:Choice Requires="wps">
            <w:drawing>
              <wp:anchor distT="0" distB="0" distL="114300" distR="114300" simplePos="0" relativeHeight="251680768" behindDoc="0" locked="0" layoutInCell="1" allowOverlap="1">
                <wp:simplePos x="0" y="0"/>
                <wp:positionH relativeFrom="column">
                  <wp:posOffset>8241030</wp:posOffset>
                </wp:positionH>
                <wp:positionV relativeFrom="paragraph">
                  <wp:posOffset>111760</wp:posOffset>
                </wp:positionV>
                <wp:extent cx="1591310" cy="1033780"/>
                <wp:effectExtent l="0" t="0" r="27940" b="14605"/>
                <wp:wrapNone/>
                <wp:docPr id="77" name="Oval 77"/>
                <wp:cNvGraphicFramePr/>
                <a:graphic xmlns:a="http://schemas.openxmlformats.org/drawingml/2006/main">
                  <a:graphicData uri="http://schemas.microsoft.com/office/word/2010/wordprocessingShape">
                    <wps:wsp>
                      <wps:cNvSpPr/>
                      <wps:spPr>
                        <a:xfrm>
                          <a:off x="0" y="0"/>
                          <a:ext cx="1591420" cy="103375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77" o:spid="_x0000_s1026" o:spt="3" type="#_x0000_t3" style="position:absolute;left:0pt;margin-left:648.9pt;margin-top:8.8pt;height:81.4pt;width:125.3pt;z-index:251680768;v-text-anchor:middle;mso-width-relative:page;mso-height-relative:page;" filled="f" stroked="t" coordsize="21600,21600" o:gfxdata="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xSA0NkAAAAMAQAADwAAAAAAAAABACAAAAAiAAAAZHJzL2Rvd25y&#10;ZXYueG1sUEsBAhQAFAAAAAgAh07iQE7oMmJvAgAA8AQAAA4AAAAAAAAAAQAgAAAAKAEAAGRycy9l&#10;Mm9Eb2MueG1sUEsFBgAAAAAGAAYAWQEAAAkGA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83840" behindDoc="0" locked="0" layoutInCell="1" allowOverlap="1">
                <wp:simplePos x="0" y="0"/>
                <wp:positionH relativeFrom="margin">
                  <wp:posOffset>7693025</wp:posOffset>
                </wp:positionH>
                <wp:positionV relativeFrom="paragraph">
                  <wp:posOffset>1153795</wp:posOffset>
                </wp:positionV>
                <wp:extent cx="1065530" cy="2870200"/>
                <wp:effectExtent l="38100" t="0" r="20955" b="63500"/>
                <wp:wrapNone/>
                <wp:docPr id="79" name="Straight Connector 79"/>
                <wp:cNvGraphicFramePr/>
                <a:graphic xmlns:a="http://schemas.openxmlformats.org/drawingml/2006/main">
                  <a:graphicData uri="http://schemas.microsoft.com/office/word/2010/wordprocessingShape">
                    <wps:wsp>
                      <wps:cNvCnPr/>
                      <wps:spPr>
                        <a:xfrm flipV="1">
                          <a:off x="0" y="0"/>
                          <a:ext cx="1065475" cy="2870421"/>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9" o:spid="_x0000_s1026" o:spt="20" style="position:absolute;left:0pt;flip:y;margin-left:605.75pt;margin-top:90.85pt;height:226pt;width:83.9pt;mso-position-horizontal-relative:margin;z-index:251683840;mso-width-relative:page;mso-height-relative:page;" filled="f" stroked="t" coordsize="21600,21600" o:gfxdata="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07TTaAAAADQEAAA8AAAAAAAAAAQAgAAAA&#10;IgAAAGRycy9kb3ducmV2LnhtbFBLAQIUABQAAAAIAIdO4kDJ9b2I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82816" behindDoc="0" locked="0" layoutInCell="1" allowOverlap="1">
                <wp:simplePos x="0" y="0"/>
                <wp:positionH relativeFrom="margin">
                  <wp:posOffset>1023620</wp:posOffset>
                </wp:positionH>
                <wp:positionV relativeFrom="paragraph">
                  <wp:posOffset>1178560</wp:posOffset>
                </wp:positionV>
                <wp:extent cx="438150" cy="1504950"/>
                <wp:effectExtent l="0" t="0" r="76200" b="57150"/>
                <wp:wrapNone/>
                <wp:docPr id="92" name="Straight Connector 92"/>
                <wp:cNvGraphicFramePr/>
                <a:graphic xmlns:a="http://schemas.openxmlformats.org/drawingml/2006/main">
                  <a:graphicData uri="http://schemas.microsoft.com/office/word/2010/wordprocessingShape">
                    <wps:wsp>
                      <wps:cNvCnPr/>
                      <wps:spPr>
                        <a:xfrm flipH="1" flipV="1">
                          <a:off x="0" y="0"/>
                          <a:ext cx="438150" cy="150495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2" o:spid="_x0000_s1026" o:spt="20" style="position:absolute;left:0pt;flip:x y;margin-left:80.6pt;margin-top:92.8pt;height:118.5pt;width:34.5pt;mso-position-horizontal-relative:margin;z-index:251682816;mso-width-relative:page;mso-height-relative:page;" filled="f" stroked="t" coordsize="21600,21600" o:gfxdata="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9l/1dkAAAALAQAADwAAAAAAAAABACAAAAAi&#10;AAAAZHJzL2Rvd25yZXYueG1sUEsBAhQAFAAAAAgAh07iQIDcLEUJAgAADgQAAA4AAAAAAAAAAQAg&#10;AAAAKAEAAGRycy9lMm9Eb2MueG1sUEsFBgAAAAAGAAYAWQEAAKMFA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81792" behindDoc="0" locked="0" layoutInCell="1" allowOverlap="1">
                <wp:simplePos x="0" y="0"/>
                <wp:positionH relativeFrom="column">
                  <wp:posOffset>823595</wp:posOffset>
                </wp:positionH>
                <wp:positionV relativeFrom="paragraph">
                  <wp:posOffset>226060</wp:posOffset>
                </wp:positionV>
                <wp:extent cx="447675" cy="952500"/>
                <wp:effectExtent l="0" t="0" r="28575" b="19050"/>
                <wp:wrapNone/>
                <wp:docPr id="94" name="Oval 94"/>
                <wp:cNvGraphicFramePr/>
                <a:graphic xmlns:a="http://schemas.openxmlformats.org/drawingml/2006/main">
                  <a:graphicData uri="http://schemas.microsoft.com/office/word/2010/wordprocessingShape">
                    <wps:wsp>
                      <wps:cNvSpPr/>
                      <wps:spPr>
                        <a:xfrm>
                          <a:off x="0" y="0"/>
                          <a:ext cx="447675" cy="952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94" o:spid="_x0000_s1026" o:spt="3" type="#_x0000_t3" style="position:absolute;left:0pt;margin-left:64.85pt;margin-top:17.8pt;height:75pt;width:35.25pt;z-index:251681792;v-text-anchor:middle;mso-width-relative:page;mso-height-relative:page;" filled="f" stroked="t" coordsize="21600,21600" o:gfxdata="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2/G/1wAAAAoBAAAPAAAAAAAAAAEAIAAAACIAAABkcnMvZG93bnJldi54&#10;bWxQSwECFAAUAAAACACHTuJAm4EfQW0CAADuBAAADgAAAAAAAAABACAAAAAmAQAAZHJzL2Uyb0Rv&#10;Yy54bWxQSwUGAAAAAAYABgBZAQAABQYAAAAA&#10;">
                <v:fill on="f" focussize="0,0"/>
                <v:stroke weight="1pt" color="#2F528F [3204]" miterlimit="8" joinstyle="miter"/>
                <v:imagedata o:title=""/>
                <o:lock v:ext="edit" aspectratio="f"/>
              </v:shape>
            </w:pict>
          </mc:Fallback>
        </mc:AlternateContent>
      </w:r>
      <w:r>
        <w:t xml:space="preserve"> </w:t>
      </w:r>
      <w:r>
        <w:rPr>
          <w:lang w:val="en-US" w:eastAsia="zh-CN"/>
        </w:rPr>
        <w:drawing>
          <wp:inline distT="0" distB="0" distL="0" distR="0">
            <wp:extent cx="9074785" cy="2126615"/>
            <wp:effectExtent l="0" t="0" r="0" b="698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29"/>
                    <a:stretch>
                      <a:fillRect/>
                    </a:stretch>
                  </pic:blipFill>
                  <pic:spPr>
                    <a:xfrm>
                      <a:off x="0" y="0"/>
                      <a:ext cx="9074785" cy="2126615"/>
                    </a:xfrm>
                    <a:prstGeom prst="rect">
                      <a:avLst/>
                    </a:prstGeom>
                  </pic:spPr>
                </pic:pic>
              </a:graphicData>
            </a:graphic>
          </wp:inline>
        </w:drawing>
      </w:r>
    </w:p>
    <w:p/>
    <w:p>
      <w:pPr>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rPr>
          <w:lang w:val="en-US" w:eastAsia="zh-CN"/>
        </w:rPr>
        <w:drawing>
          <wp:inline distT="0" distB="0" distL="0" distR="0">
            <wp:extent cx="962025" cy="2720340"/>
            <wp:effectExtent l="0" t="0" r="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a:blip r:embed="rId31"/>
                    <a:stretch>
                      <a:fillRect/>
                    </a:stretch>
                  </pic:blipFill>
                  <pic:spPr>
                    <a:xfrm>
                      <a:off x="0" y="0"/>
                      <a:ext cx="964660" cy="2728404"/>
                    </a:xfrm>
                    <a:prstGeom prst="rect">
                      <a:avLst/>
                    </a:prstGeom>
                  </pic:spPr>
                </pic:pic>
              </a:graphicData>
            </a:graphic>
          </wp:inline>
        </w:drawing>
      </w:r>
      <w:r>
        <w:t xml:space="preserve">                                                                                                                                     </w:t>
      </w:r>
      <w:r>
        <w:rPr>
          <w:lang w:val="en-US" w:eastAsia="zh-CN"/>
        </w:rPr>
        <w:drawing>
          <wp:inline distT="0" distB="0" distL="0" distR="0">
            <wp:extent cx="2867025" cy="13430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33"/>
                    <a:stretch>
                      <a:fillRect/>
                    </a:stretch>
                  </pic:blipFill>
                  <pic:spPr>
                    <a:xfrm>
                      <a:off x="0" y="0"/>
                      <a:ext cx="2867025" cy="1343025"/>
                    </a:xfrm>
                    <a:prstGeom prst="rect">
                      <a:avLst/>
                    </a:prstGeom>
                  </pic:spPr>
                </pic:pic>
              </a:graphicData>
            </a:graphic>
          </wp:inline>
        </w:drawing>
      </w:r>
    </w:p>
    <w:p>
      <w:pPr>
        <w:pStyle w:val="41"/>
        <w:rPr>
          <w:lang w:val="en-US"/>
        </w:rPr>
      </w:pPr>
      <w:r>
        <w:t>Picture 5.4.2-2: Assignment request form for 5G NR CADC configurations.</w:t>
      </w:r>
    </w:p>
    <w:p>
      <w:r>
        <w:rPr>
          <w:lang w:val="en-US" w:eastAsia="zh-CN"/>
        </w:rPr>
        <w:drawing>
          <wp:inline distT="0" distB="0" distL="0" distR="0">
            <wp:extent cx="6122035" cy="2381250"/>
            <wp:effectExtent l="19050" t="19050" r="12065" b="190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34"/>
                    <a:stretch>
                      <a:fillRect/>
                    </a:stretch>
                  </pic:blipFill>
                  <pic:spPr>
                    <a:xfrm>
                      <a:off x="0" y="0"/>
                      <a:ext cx="6122035" cy="2381250"/>
                    </a:xfrm>
                    <a:prstGeom prst="rect">
                      <a:avLst/>
                    </a:prstGeom>
                    <a:ln>
                      <a:solidFill>
                        <a:schemeClr val="accent1"/>
                      </a:solidFill>
                    </a:ln>
                  </pic:spPr>
                </pic:pic>
              </a:graphicData>
            </a:graphic>
          </wp:inline>
        </w:drawing>
      </w:r>
    </w:p>
    <w:p>
      <w:pPr>
        <w:pStyle w:val="41"/>
      </w:pPr>
      <w:r>
        <w:t>Picture 5.4.2-3: Example assignment request email.</w:t>
      </w:r>
    </w:p>
    <w:p>
      <w:pPr>
        <w:pStyle w:val="41"/>
      </w:pPr>
      <w:r>
        <w:rPr>
          <w:lang w:val="en-US" w:eastAsia="zh-CN"/>
        </w:rPr>
        <w:drawing>
          <wp:inline distT="0" distB="0" distL="0" distR="0">
            <wp:extent cx="6122035" cy="1818640"/>
            <wp:effectExtent l="19050" t="19050" r="12065" b="1016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35"/>
                    <a:stretch>
                      <a:fillRect/>
                    </a:stretch>
                  </pic:blipFill>
                  <pic:spPr>
                    <a:xfrm>
                      <a:off x="0" y="0"/>
                      <a:ext cx="6122035" cy="1818640"/>
                    </a:xfrm>
                    <a:prstGeom prst="rect">
                      <a:avLst/>
                    </a:prstGeom>
                    <a:ln>
                      <a:solidFill>
                        <a:schemeClr val="accent1"/>
                      </a:solidFill>
                    </a:ln>
                  </pic:spPr>
                </pic:pic>
              </a:graphicData>
            </a:graphic>
          </wp:inline>
        </w:drawing>
      </w:r>
    </w:p>
    <w:p>
      <w:pPr>
        <w:pStyle w:val="41"/>
      </w:pPr>
    </w:p>
    <w:p>
      <w:pPr>
        <w:pStyle w:val="41"/>
      </w:pPr>
      <w:r>
        <w:t>Picture 5.4.2-4: Example of attached EXCEL file attachment for an assignment request of four 5G NR CADC configurations.</w:t>
      </w:r>
    </w:p>
    <w:p>
      <w:pPr>
        <w:pStyle w:val="41"/>
      </w:pPr>
      <w:r>
        <w:rPr>
          <w:lang w:val="en-US" w:eastAsia="zh-CN"/>
        </w:rPr>
        <w:drawing>
          <wp:inline distT="0" distB="0" distL="0" distR="0">
            <wp:extent cx="6573520" cy="1033145"/>
            <wp:effectExtent l="19050" t="19050" r="17780" b="146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36"/>
                    <a:stretch>
                      <a:fillRect/>
                    </a:stretch>
                  </pic:blipFill>
                  <pic:spPr>
                    <a:xfrm>
                      <a:off x="0" y="0"/>
                      <a:ext cx="6652203" cy="1046026"/>
                    </a:xfrm>
                    <a:prstGeom prst="rect">
                      <a:avLst/>
                    </a:prstGeom>
                    <a:ln>
                      <a:solidFill>
                        <a:schemeClr val="accent1"/>
                      </a:solidFill>
                    </a:ln>
                  </pic:spPr>
                </pic:pic>
              </a:graphicData>
            </a:graphic>
          </wp:inline>
        </w:drawing>
      </w:r>
    </w:p>
    <w:p/>
    <w:p>
      <w:pPr>
        <w:sectPr>
          <w:footnotePr>
            <w:numRestart w:val="eachSect"/>
          </w:footnotePr>
          <w:pgSz w:w="11907" w:h="16840"/>
          <w:pgMar w:top="1416" w:right="1133" w:bottom="1133" w:left="1133" w:header="850" w:footer="340" w:gutter="0"/>
          <w:cols w:space="720" w:num="1"/>
          <w:formProt w:val="0"/>
          <w:docGrid w:linePitch="272" w:charSpace="0"/>
        </w:sectPr>
      </w:pPr>
    </w:p>
    <w:bookmarkEnd w:id="62"/>
    <w:p>
      <w:pPr>
        <w:pStyle w:val="2"/>
      </w:pPr>
      <w:bookmarkStart w:id="79" w:name="_Toc29735"/>
      <w:bookmarkStart w:id="80" w:name="_Toc95140718"/>
      <w:bookmarkStart w:id="81" w:name="_Toc12062"/>
      <w:r>
        <w:t>6</w:t>
      </w:r>
      <w:r>
        <w:tab/>
      </w:r>
      <w:r>
        <w:t>Responsible Company guidelines</w:t>
      </w:r>
      <w:bookmarkEnd w:id="79"/>
      <w:bookmarkEnd w:id="80"/>
    </w:p>
    <w:p>
      <w:pPr>
        <w:pStyle w:val="3"/>
      </w:pPr>
      <w:bookmarkStart w:id="82" w:name="_Toc95140719"/>
      <w:bookmarkStart w:id="83" w:name="_Toc17431"/>
      <w:r>
        <w:t>6.1</w:t>
      </w:r>
      <w:r>
        <w:tab/>
      </w:r>
      <w:bookmarkEnd w:id="81"/>
      <w:bookmarkEnd w:id="82"/>
      <w:bookmarkStart w:id="84" w:name="_Toc95140728"/>
      <w:bookmarkStart w:id="85" w:name="_Toc3646"/>
      <w:r>
        <w:t>General</w:t>
      </w:r>
      <w:bookmarkEnd w:id="83"/>
      <w:bookmarkEnd w:id="84"/>
      <w:bookmarkEnd w:id="85"/>
      <w:r>
        <w:t xml:space="preserve"> </w:t>
      </w:r>
    </w:p>
    <w:p>
      <w:pPr>
        <w:pStyle w:val="49"/>
      </w:pPr>
      <w:r>
        <w:rPr>
          <w:shd w:val="clear" w:fill="FFC000"/>
        </w:rPr>
        <w:t>Editor's note: Not all WP templates as listed in Table 6.1-1 are included in this version of PRD21. See the attached zip file named "WP templates" for available WP templates.</w:t>
      </w:r>
    </w:p>
    <w:p>
      <w:r>
        <w:t>PRD2</w:t>
      </w:r>
      <w:r>
        <w:rPr>
          <w:lang w:val="en-US"/>
        </w:rPr>
        <w:t>1</w:t>
      </w:r>
      <w:r>
        <w:t xml:space="preserve"> includes a zip-file with workplan/checklist templates (WP templates) as listed in Table </w:t>
      </w:r>
      <w:r>
        <w:rPr>
          <w:lang w:val="en-US"/>
        </w:rPr>
        <w:t>6</w:t>
      </w:r>
      <w:r>
        <w:t>.1-</w:t>
      </w:r>
      <w:r>
        <w:rPr>
          <w:lang w:val="en-US"/>
        </w:rPr>
        <w:t>1</w:t>
      </w:r>
      <w:r>
        <w:t xml:space="preserve">. The WP templates are divided by type of configuration (NR Band, NR CBW, NR CA, NR-DC, NR SUL, NE-DC and EN-DC), power class (PC2, PC3) and frequency range (FR1, FR2 and FR1+FR2). </w:t>
      </w:r>
    </w:p>
    <w:p>
      <w:pPr>
        <w:pStyle w:val="50"/>
      </w:pPr>
      <w:r>
        <w:t>Table 6.1-1: WP templates in the PRD21 “WP templates” zip-fil.</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1"/>
            </w:pPr>
            <w:r>
              <w:t>WP template name</w:t>
            </w:r>
          </w:p>
        </w:tc>
        <w:tc>
          <w:tcPr>
            <w:tcW w:w="6942"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pStyle w:val="41"/>
            </w:pPr>
            <w:r>
              <w:t>NR band and NR band 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pStyle w:val="40"/>
            </w:pPr>
            <w:r>
              <w:t>NR band FR1</w:t>
            </w:r>
          </w:p>
        </w:tc>
        <w:tc>
          <w:tcPr>
            <w:tcW w:w="6942" w:type="dxa"/>
            <w:vMerge w:val="restart"/>
          </w:tcPr>
          <w:p>
            <w:pPr>
              <w:pStyle w:val="40"/>
            </w:pPr>
            <w:r>
              <w:t>WP template/checklist for introducing one or more NR bands into RAN5 TSs and TRs depending on if the band is for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NR band 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pStyle w:val="40"/>
            </w:pPr>
            <w:r>
              <w:t>NR band FR1 CBW</w:t>
            </w:r>
          </w:p>
        </w:tc>
        <w:tc>
          <w:tcPr>
            <w:tcW w:w="6942" w:type="dxa"/>
            <w:vMerge w:val="restart"/>
          </w:tcPr>
          <w:p>
            <w:pPr>
              <w:pStyle w:val="40"/>
            </w:pPr>
            <w:r>
              <w:t>WP template/checklist for introducing one or more new channel bandwidth into RAN5 TSs and TRs depending on if the band is for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NR band FR2 CBW</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pStyle w:val="41"/>
            </w:pPr>
            <w:r>
              <w:t>Power Class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CA PC3 FR1</w:t>
            </w:r>
          </w:p>
        </w:tc>
        <w:tc>
          <w:tcPr>
            <w:tcW w:w="6942" w:type="dxa"/>
            <w:vMerge w:val="restart"/>
          </w:tcPr>
          <w:p>
            <w:pPr>
              <w:pStyle w:val="40"/>
            </w:pPr>
            <w:r>
              <w:t>WP template/checklist for introducing one or more NR CA Power Class 3 configuration(s) into RAN5 TSs and TRs depending on if the configuration(s) are within FR1, within FR2 or between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CA PC3 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CA PC3 FR1+FR2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pStyle w:val="40"/>
            </w:pPr>
            <w:r>
              <w:t>WP NR-DC PC3 FR1</w:t>
            </w:r>
          </w:p>
        </w:tc>
        <w:tc>
          <w:tcPr>
            <w:tcW w:w="6942" w:type="dxa"/>
            <w:vMerge w:val="restart"/>
          </w:tcPr>
          <w:p>
            <w:pPr>
              <w:pStyle w:val="40"/>
            </w:pPr>
            <w:r>
              <w:t>WP template/checklist for introducing one or more NR-DC Power Class 3 configuration(s) into RAN5 TSs and TRs depending on if the configuration(s) are within FR1 or between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pStyle w:val="40"/>
              <w:rPr>
                <w:lang w:val="sv-SE"/>
              </w:rPr>
            </w:pPr>
            <w:r>
              <w:rPr>
                <w:lang w:val="sv-SE"/>
              </w:rPr>
              <w:t>WP NR-DC PC3 FR1+FR2</w:t>
            </w:r>
          </w:p>
        </w:tc>
        <w:tc>
          <w:tcPr>
            <w:tcW w:w="6942" w:type="dxa"/>
            <w:vMerge w:val="continue"/>
          </w:tcPr>
          <w:p>
            <w:pPr>
              <w:pStyle w:val="40"/>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SUL PC3 FR1</w:t>
            </w:r>
          </w:p>
        </w:tc>
        <w:tc>
          <w:tcPr>
            <w:tcW w:w="6942" w:type="dxa"/>
          </w:tcPr>
          <w:p>
            <w:pPr>
              <w:pStyle w:val="40"/>
            </w:pPr>
            <w:r>
              <w:t>WP template/checklist for introducing one or more NR SUL Power Class 3 configuration(s) into RAN5 TSs and TRs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NE-DC PC3 FR1</w:t>
            </w:r>
          </w:p>
        </w:tc>
        <w:tc>
          <w:tcPr>
            <w:tcW w:w="6942" w:type="dxa"/>
            <w:vMerge w:val="restart"/>
          </w:tcPr>
          <w:p>
            <w:pPr>
              <w:pStyle w:val="40"/>
            </w:pPr>
            <w:r>
              <w:t>WP template/checklist for introducing one or more NE-DC Power Class 3 configuration(s) into RAN5 TSs and TRs depending on if the configuration(s) are within FR1 or within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NE-DC PC3 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pStyle w:val="40"/>
              <w:rPr>
                <w:lang w:val="sv-SE"/>
              </w:rPr>
            </w:pPr>
            <w:r>
              <w:rPr>
                <w:lang w:val="sv-SE"/>
              </w:rPr>
              <w:t>WP EN-DC PC3 FR1</w:t>
            </w:r>
          </w:p>
        </w:tc>
        <w:tc>
          <w:tcPr>
            <w:tcW w:w="6942" w:type="dxa"/>
            <w:vMerge w:val="restart"/>
          </w:tcPr>
          <w:p>
            <w:pPr>
              <w:pStyle w:val="40"/>
            </w:pPr>
            <w:r>
              <w:t>WP template/checklist for introducing one or more EN-DC Power Class 3 configuration(s) into RAN5 TSs and TRs depending on if the configuration(s) are within FR1, within FR2 or between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pStyle w:val="40"/>
              <w:rPr>
                <w:lang w:val="sv-SE"/>
              </w:rPr>
            </w:pPr>
            <w:r>
              <w:rPr>
                <w:lang w:val="sv-SE"/>
              </w:rPr>
              <w:t>WP EN-DC PC3 FR2</w:t>
            </w:r>
          </w:p>
        </w:tc>
        <w:tc>
          <w:tcPr>
            <w:tcW w:w="6942" w:type="dxa"/>
            <w:vMerge w:val="continue"/>
          </w:tcPr>
          <w:p>
            <w:pPr>
              <w:pStyle w:val="40"/>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EN-DC PC3 FR1+FR2</w:t>
            </w:r>
          </w:p>
        </w:tc>
        <w:tc>
          <w:tcPr>
            <w:tcW w:w="6942" w:type="dxa"/>
            <w:vMerge w:val="continue"/>
          </w:tcPr>
          <w:p>
            <w:pPr>
              <w:pStyle w:val="40"/>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pStyle w:val="41"/>
            </w:pPr>
            <w:r>
              <w:t>Power Class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SUL PC2 FR1</w:t>
            </w:r>
          </w:p>
        </w:tc>
        <w:tc>
          <w:tcPr>
            <w:tcW w:w="6942" w:type="dxa"/>
          </w:tcPr>
          <w:p>
            <w:pPr>
              <w:pStyle w:val="40"/>
            </w:pPr>
            <w:r>
              <w:t>WP template/checklist for introducing one or more NR SUL Power Class 2 configuration(s) into RAN5 TSs and TRs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EN-DC PC2 FR1</w:t>
            </w:r>
          </w:p>
        </w:tc>
        <w:tc>
          <w:tcPr>
            <w:tcW w:w="6942" w:type="dxa"/>
          </w:tcPr>
          <w:p>
            <w:pPr>
              <w:pStyle w:val="40"/>
            </w:pPr>
            <w:r>
              <w:t>WP template/checklist for introducing one or more EN-DC Power Class 2 configuration(s) into RAN5 TSs and TRs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en-US"/>
              </w:rPr>
            </w:pPr>
            <w:r>
              <w:rPr>
                <w:lang w:val="en-US"/>
              </w:rPr>
              <w:t>WP NR CA PC2 FR1</w:t>
            </w:r>
          </w:p>
        </w:tc>
        <w:tc>
          <w:tcPr>
            <w:tcW w:w="6942" w:type="dxa"/>
          </w:tcPr>
          <w:p>
            <w:pPr>
              <w:pStyle w:val="40"/>
            </w:pPr>
            <w:r>
              <w:t xml:space="preserve">WP template/checklist for introducing one or more NR </w:t>
            </w:r>
            <w:r>
              <w:rPr>
                <w:lang w:val="en-US"/>
              </w:rPr>
              <w:t>CA</w:t>
            </w:r>
            <w:r>
              <w:t xml:space="preserve"> Power Class 2 configuration(s) into RAN5 TSs and TRs for FR1.</w:t>
            </w:r>
          </w:p>
        </w:tc>
      </w:tr>
    </w:tbl>
    <w:p/>
    <w:p>
      <w:r>
        <w:t>The WP templates are used by the responsible company as a guideline and checklist how to introduce and document the introduction of the NR bands, NR band CBW Extensions and 5G NR CADC configurations into the relevant RAN5 technical specification</w:t>
      </w:r>
      <w:r>
        <w:rPr>
          <w:lang w:val="en-US"/>
        </w:rPr>
        <w:t>s</w:t>
      </w:r>
      <w:r>
        <w:t xml:space="preserve"> and technical reports. </w:t>
      </w:r>
    </w:p>
    <w:p>
      <w:r>
        <w:rPr>
          <w:shd w:val="clear" w:fill="FFC000"/>
        </w:rPr>
        <w:t>The completed</w:t>
      </w:r>
      <w:r>
        <w:t xml:space="preserve"> WP </w:t>
      </w:r>
      <w:r>
        <w:rPr>
          <w:lang w:val="en-US"/>
        </w:rPr>
        <w:t>is</w:t>
      </w:r>
      <w:r>
        <w:t xml:space="preserve"> also used in the final step to confirm completion of NR bands, NR CBW extensions and 5G NR CADC </w:t>
      </w:r>
      <w:r>
        <w:rPr>
          <w:lang w:val="en-US"/>
        </w:rPr>
        <w:t>c</w:t>
      </w:r>
      <w:r>
        <w:t xml:space="preserve">onfigurations by attaching the WP to the </w:t>
      </w:r>
      <w:r>
        <w:rPr>
          <w:shd w:val="clear" w:fill="FFC000"/>
        </w:rPr>
        <w:t>RAN5 CDS declaration</w:t>
      </w:r>
      <w:r>
        <w:t>, sub-clause 6.4.</w:t>
      </w:r>
    </w:p>
    <w:p>
      <w:r>
        <w:t>A WP may include one or more NR bands, NR CBW extensions or 5G NR CADC configurations.</w:t>
      </w:r>
    </w:p>
    <w:p>
      <w:r>
        <w:t>The WP has three outline levels:</w:t>
      </w:r>
    </w:p>
    <w:p>
      <w:pPr>
        <w:pStyle w:val="48"/>
      </w:pPr>
      <w:r>
        <w:t xml:space="preserve">Outline Level 1: Showing overview of recommended workflow steps to introduce the </w:t>
      </w:r>
      <w:r>
        <w:rPr>
          <w:shd w:val="clear" w:fill="FFC000"/>
        </w:rPr>
        <w:t>NR bands, NR CBW extensions or</w:t>
      </w:r>
      <w:r>
        <w:t xml:space="preserve"> 5G NR CADC configurations</w:t>
      </w:r>
    </w:p>
    <w:p>
      <w:pPr>
        <w:pStyle w:val="48"/>
      </w:pPr>
      <w:r>
        <w:t>Outline Level 2: Showing all WP items under each workflow step.</w:t>
      </w:r>
    </w:p>
    <w:p>
      <w:pPr>
        <w:pStyle w:val="48"/>
      </w:pPr>
      <w:r>
        <w:t>Outline Level 3: Showing all details of the WP (as Outline Level 2 + details of WP scope and overall status).</w:t>
      </w:r>
    </w:p>
    <w:p>
      <w:r>
        <w:t xml:space="preserve">The outline level is selected in the upper left corner of the WP by selecting 1, 2 or 3: </w:t>
      </w:r>
      <w:r>
        <w:rPr>
          <w:lang w:val="en-US" w:eastAsia="zh-CN"/>
        </w:rPr>
        <w:drawing>
          <wp:inline distT="0" distB="0" distL="0" distR="0">
            <wp:extent cx="3810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381000" cy="171450"/>
                    </a:xfrm>
                    <a:prstGeom prst="rect">
                      <a:avLst/>
                    </a:prstGeom>
                  </pic:spPr>
                </pic:pic>
              </a:graphicData>
            </a:graphic>
          </wp:inline>
        </w:drawing>
      </w:r>
      <w:r>
        <w:br w:type="textWrapping"/>
      </w:r>
    </w:p>
    <w:p>
      <w:r>
        <w:t xml:space="preserve">The WP is structured in the recommended workflow steps to introduce the new NR band(s), NR CBW Extension(s) or 5G NR CADC configuration(s) in RAN5 technical specifications and technical reports. The overall completion and the completion of each workflow step is shown in section 2 of the WP, see Picture </w:t>
      </w:r>
      <w:r>
        <w:rPr>
          <w:lang w:val="en-US"/>
        </w:rPr>
        <w:t>6.1-1</w:t>
      </w:r>
      <w:r>
        <w:t>. The completion status is calculated based on the reported status for each WP item in section 3 of the WP.</w:t>
      </w:r>
    </w:p>
    <w:p>
      <w:pPr>
        <w:pStyle w:val="41"/>
      </w:pPr>
      <w:r>
        <w:t>Picture 6.1-1: WP workflow steps and WP overall status information (NR CA WP).</w:t>
      </w:r>
    </w:p>
    <w:p>
      <w:pPr>
        <w:pStyle w:val="41"/>
      </w:pPr>
      <w:r>
        <w:drawing>
          <wp:inline distT="0" distB="0" distL="0" distR="0">
            <wp:extent cx="5705475" cy="1514475"/>
            <wp:effectExtent l="19050" t="19050" r="2857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38"/>
                    <a:stretch>
                      <a:fillRect/>
                    </a:stretch>
                  </pic:blipFill>
                  <pic:spPr>
                    <a:xfrm>
                      <a:off x="0" y="0"/>
                      <a:ext cx="5712989" cy="1516393"/>
                    </a:xfrm>
                    <a:prstGeom prst="rect">
                      <a:avLst/>
                    </a:prstGeom>
                    <a:ln>
                      <a:solidFill>
                        <a:schemeClr val="accent1"/>
                      </a:solidFill>
                    </a:ln>
                  </pic:spPr>
                </pic:pic>
              </a:graphicData>
            </a:graphic>
          </wp:inline>
        </w:drawing>
      </w:r>
    </w:p>
    <w:p>
      <w:pPr>
        <w:pStyle w:val="41"/>
      </w:pPr>
    </w:p>
    <w:p>
      <w:r>
        <w:t>For each workflow step the WP include</w:t>
      </w:r>
      <w:r>
        <w:rPr>
          <w:lang w:val="en-US"/>
        </w:rPr>
        <w:t>s</w:t>
      </w:r>
      <w:r>
        <w:t xml:space="preserve"> a number of WP item rows with status columns to indicate progress and completion of the WP item tasks, see Picture </w:t>
      </w:r>
      <w:r>
        <w:rPr>
          <w:lang w:val="en-US"/>
        </w:rPr>
        <w:t>6.1-2</w:t>
      </w:r>
      <w:r>
        <w:t xml:space="preserve"> for an example of WP item rows for work flow step 1.</w:t>
      </w:r>
    </w:p>
    <w:p>
      <w:pPr>
        <w:pStyle w:val="41"/>
      </w:pPr>
      <w:r>
        <w:t>Picture 6.1-2: Example of a workflow step and its WP item rows (NR CA WP).</w:t>
      </w:r>
    </w:p>
    <w:p>
      <w:pPr>
        <w:jc w:val="center"/>
      </w:pPr>
      <w:r>
        <w:rPr>
          <w:lang w:val="en-US" w:eastAsia="zh-CN"/>
        </w:rPr>
        <w:drawing>
          <wp:inline distT="0" distB="0" distL="0" distR="0">
            <wp:extent cx="6122035" cy="1564005"/>
            <wp:effectExtent l="19050" t="19050" r="12065" b="171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pic:cNvPicPr>
                  </pic:nvPicPr>
                  <pic:blipFill>
                    <a:blip r:embed="rId39"/>
                    <a:stretch>
                      <a:fillRect/>
                    </a:stretch>
                  </pic:blipFill>
                  <pic:spPr>
                    <a:xfrm>
                      <a:off x="0" y="0"/>
                      <a:ext cx="6122035" cy="1564005"/>
                    </a:xfrm>
                    <a:prstGeom prst="rect">
                      <a:avLst/>
                    </a:prstGeom>
                    <a:ln>
                      <a:solidFill>
                        <a:schemeClr val="accent1"/>
                      </a:solidFill>
                    </a:ln>
                  </pic:spPr>
                </pic:pic>
              </a:graphicData>
            </a:graphic>
          </wp:inline>
        </w:drawing>
      </w:r>
    </w:p>
    <w:p>
      <w:r>
        <w:t xml:space="preserve">The applicable WP </w:t>
      </w:r>
      <w:r>
        <w:rPr>
          <w:lang w:val="en-US"/>
        </w:rPr>
        <w:t>i</w:t>
      </w:r>
      <w:r>
        <w:t xml:space="preserve">tem rows are dependent on the type of NR band, NR CBW extension or 5G NR CADC configurations covered by the WP. </w:t>
      </w:r>
    </w:p>
    <w:p>
      <w:pPr>
        <w:pStyle w:val="3"/>
      </w:pPr>
      <w:bookmarkStart w:id="86" w:name="_Toc5039"/>
      <w:bookmarkStart w:id="87" w:name="_Toc966"/>
      <w:r>
        <w:rPr>
          <w:lang w:val="en-US"/>
        </w:rPr>
        <w:t>6.2</w:t>
      </w:r>
      <w:r>
        <w:tab/>
      </w:r>
      <w:r>
        <w:t>Creating a WP/Checklist</w:t>
      </w:r>
      <w:bookmarkEnd w:id="86"/>
    </w:p>
    <w:p>
      <w:pPr>
        <w:pStyle w:val="37"/>
      </w:pPr>
      <w:r>
        <w:t>Note:</w:t>
      </w:r>
      <w:r>
        <w:tab/>
      </w:r>
      <w:r>
        <w:t xml:space="preserve">The guideline in this clause uses a set of NR CA PC3 FR1 configurations as an example to create a NR CA PC3 FR1 workplan. Creating work plans for other type of target configurations follwos the same principles.   </w:t>
      </w:r>
    </w:p>
    <w:p>
      <w:r>
        <w:t>To create a WP/Checklist do:</w:t>
      </w:r>
    </w:p>
    <w:p>
      <w:pPr>
        <w:pStyle w:val="48"/>
      </w:pPr>
      <w:r>
        <w:t>1.</w:t>
      </w:r>
      <w:r>
        <w:tab/>
      </w:r>
      <w:r>
        <w:t xml:space="preserve">Select the relevant WP template in the PRD21 WP templates zip-file and save it on Your computer using the following name convention: </w:t>
      </w:r>
    </w:p>
    <w:p>
      <w:pPr>
        <w:pStyle w:val="59"/>
      </w:pPr>
      <w:r>
        <w:t>WP filename: &lt;WP template name&gt;-&lt;Company&gt;-&lt;WP scope label&gt;, where</w:t>
      </w:r>
    </w:p>
    <w:p>
      <w:pPr>
        <w:pStyle w:val="60"/>
      </w:pPr>
      <w:r>
        <w:t>&lt;WP template name&gt; is the name of the WP template as picked from the WP templates zip-file,</w:t>
      </w:r>
    </w:p>
    <w:p>
      <w:pPr>
        <w:pStyle w:val="60"/>
      </w:pPr>
      <w:r>
        <w:t>&lt;Company&gt; is name of Your company (use short abbreviation if possible), and</w:t>
      </w:r>
    </w:p>
    <w:p>
      <w:pPr>
        <w:pStyle w:val="60"/>
      </w:pPr>
      <w:r>
        <w:t>&lt;WP scope label&gt; is a suitable short label of the scope of the WP</w:t>
      </w:r>
    </w:p>
    <w:p>
      <w:pPr>
        <w:pStyle w:val="59"/>
      </w:pPr>
      <w:r>
        <w:t>Example:</w:t>
      </w:r>
    </w:p>
    <w:p>
      <w:pPr>
        <w:pStyle w:val="60"/>
      </w:pPr>
      <w:r>
        <w:t>&lt;WP template name&gt; = "WP EN-DC PC3 FR1"</w:t>
      </w:r>
    </w:p>
    <w:p>
      <w:pPr>
        <w:pStyle w:val="60"/>
      </w:pPr>
      <w:r>
        <w:t>&lt;Company&gt; = "Ericsson"</w:t>
      </w:r>
    </w:p>
    <w:p>
      <w:pPr>
        <w:pStyle w:val="60"/>
      </w:pPr>
      <w:r>
        <w:t>&lt;WP scope label&gt; = "2bSet1" (two bands, configuration set 1)</w:t>
      </w:r>
    </w:p>
    <w:p>
      <w:pPr>
        <w:pStyle w:val="60"/>
      </w:pPr>
      <w:r>
        <w:t>=&gt; WP file name = "WP EN-DC PC3 FR1-Ericsson-2bSet1"</w:t>
      </w:r>
      <w:r>
        <w:br w:type="textWrapping"/>
      </w:r>
    </w:p>
    <w:p>
      <w:pPr>
        <w:pStyle w:val="48"/>
      </w:pPr>
      <w:r>
        <w:t>2.</w:t>
      </w:r>
      <w:r>
        <w:tab/>
      </w:r>
      <w:r>
        <w:t>Open the saved WP.</w:t>
      </w:r>
    </w:p>
    <w:p>
      <w:pPr>
        <w:pStyle w:val="48"/>
      </w:pPr>
      <w:r>
        <w:t>3.</w:t>
      </w:r>
      <w:r>
        <w:tab/>
      </w:r>
      <w:r>
        <w:t>Select the "WP scope" worksheet and do:</w:t>
      </w:r>
    </w:p>
    <w:p>
      <w:pPr>
        <w:pStyle w:val="59"/>
      </w:pPr>
      <w:r>
        <w:t>-</w:t>
      </w:r>
      <w:r>
        <w:tab/>
      </w:r>
      <w:r>
        <w:t>Fill in the Work Plan scope information (rows 5 to 8). See Picture 6.2-1 for an example.</w:t>
      </w:r>
    </w:p>
    <w:p>
      <w:pPr>
        <w:pStyle w:val="59"/>
      </w:pPr>
      <w:r>
        <w:t>-</w:t>
      </w:r>
      <w:r>
        <w:tab/>
      </w:r>
      <w:r>
        <w:t>Select the target NR bands, NR band CBW extensions or 5G NR CADC configurations from the PRD21 "5G NR bands and CADC configurations" list as described in the WP scope worksheet (step 1). See Picture 6.2-2 for an example.</w:t>
      </w:r>
    </w:p>
    <w:p>
      <w:pPr>
        <w:pStyle w:val="59"/>
      </w:pPr>
      <w:r>
        <w:t>-</w:t>
      </w:r>
      <w:r>
        <w:tab/>
      </w:r>
      <w:r>
        <w:t>Paste the selected target configurations in the table as described in the WP scope worksheet (steps 2 to 3). See Picture 6.2-3 for an example.</w:t>
      </w:r>
    </w:p>
    <w:p>
      <w:pPr>
        <w:pStyle w:val="48"/>
      </w:pPr>
      <w:r>
        <w:t>4.</w:t>
      </w:r>
      <w:r>
        <w:tab/>
      </w:r>
      <w:r>
        <w:t>Save the workplan.</w:t>
      </w:r>
    </w:p>
    <w:p>
      <w:pPr>
        <w:pStyle w:val="48"/>
      </w:pPr>
      <w:r>
        <w:t>5.</w:t>
      </w:r>
      <w:r>
        <w:tab/>
      </w:r>
      <w:r>
        <w:t xml:space="preserve">The work plan is ready for use. See sub-clause 6.3 for guideline of maintaining the WP. </w:t>
      </w:r>
    </w:p>
    <w:p>
      <w:pPr>
        <w:pStyle w:val="48"/>
        <w:sectPr>
          <w:headerReference r:id="rId14" w:type="default"/>
          <w:footerReference r:id="rId15" w:type="default"/>
          <w:footnotePr>
            <w:numRestart w:val="eachSect"/>
          </w:footnotePr>
          <w:pgSz w:w="11907" w:h="16840"/>
          <w:pgMar w:top="1416" w:right="1133" w:bottom="1133" w:left="1133" w:header="850" w:footer="340" w:gutter="0"/>
          <w:cols w:space="720" w:num="1"/>
          <w:formProt w:val="0"/>
          <w:docGrid w:linePitch="272" w:charSpace="0"/>
        </w:sectPr>
      </w:pPr>
    </w:p>
    <w:p>
      <w:pPr>
        <w:pStyle w:val="48"/>
      </w:pPr>
    </w:p>
    <w:p>
      <w:pPr>
        <w:pStyle w:val="41"/>
      </w:pPr>
    </w:p>
    <w:p>
      <w:pPr>
        <w:pStyle w:val="41"/>
      </w:pPr>
      <w:r>
        <w:t>Picture 6</w:t>
      </w:r>
      <w:r>
        <w:rPr>
          <w:lang w:val="en-US"/>
        </w:rPr>
        <w:t>.2</w:t>
      </w:r>
      <w:r>
        <w:t>-</w:t>
      </w:r>
      <w:r>
        <w:rPr>
          <w:lang w:val="en-US"/>
        </w:rPr>
        <w:t>1</w:t>
      </w:r>
      <w:r>
        <w:t>: Example Workplan scope filled in for a NR CA PC3 FR1 workplan.</w:t>
      </w:r>
    </w:p>
    <w:p>
      <w:pPr>
        <w:pStyle w:val="41"/>
      </w:pPr>
      <w:r>
        <w:rPr>
          <w:lang w:val="en-US" w:eastAsia="zh-CN"/>
        </w:rPr>
        <w:drawing>
          <wp:inline distT="0" distB="0" distL="0" distR="0">
            <wp:extent cx="9725025" cy="16573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40"/>
                    <a:stretch>
                      <a:fillRect/>
                    </a:stretch>
                  </pic:blipFill>
                  <pic:spPr>
                    <a:xfrm>
                      <a:off x="0" y="0"/>
                      <a:ext cx="9785128" cy="1667562"/>
                    </a:xfrm>
                    <a:prstGeom prst="rect">
                      <a:avLst/>
                    </a:prstGeom>
                  </pic:spPr>
                </pic:pic>
              </a:graphicData>
            </a:graphic>
          </wp:inline>
        </w:drawing>
      </w:r>
    </w:p>
    <w:p>
      <w:pPr>
        <w:pStyle w:val="41"/>
      </w:pPr>
    </w:p>
    <w:p>
      <w:pPr>
        <w:pStyle w:val="41"/>
      </w:pPr>
      <w:r>
        <w:t>Picture 6</w:t>
      </w:r>
      <w:r>
        <w:rPr>
          <w:lang w:val="en-US"/>
        </w:rPr>
        <w:t>.2</w:t>
      </w:r>
      <w:r>
        <w:t>-</w:t>
      </w:r>
      <w:r>
        <w:rPr>
          <w:lang w:val="en-US"/>
        </w:rPr>
        <w:t>2</w:t>
      </w:r>
      <w:r>
        <w:t xml:space="preserve">: Example: Selecting target configurations CA_n5A-n7A, CA_n5A-n78A and CA_7A-n78A in the </w:t>
      </w:r>
      <w:bookmarkStart w:id="88" w:name="_Hlk95897497"/>
      <w:r>
        <w:t>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w:t>
      </w:r>
      <w:bookmarkEnd w:id="88"/>
    </w:p>
    <w:p>
      <w:pPr>
        <w:pStyle w:val="41"/>
      </w:pPr>
      <w:r>
        <w:rPr>
          <w:lang w:val="en-US" w:eastAsia="zh-CN"/>
        </w:rPr>
        <w:drawing>
          <wp:inline distT="0" distB="0" distL="0" distR="0">
            <wp:extent cx="9794875" cy="167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1"/>
                    <a:stretch>
                      <a:fillRect/>
                    </a:stretch>
                  </pic:blipFill>
                  <pic:spPr>
                    <a:xfrm>
                      <a:off x="0" y="0"/>
                      <a:ext cx="9831725" cy="1682642"/>
                    </a:xfrm>
                    <a:prstGeom prst="rect">
                      <a:avLst/>
                    </a:prstGeom>
                  </pic:spPr>
                </pic:pic>
              </a:graphicData>
            </a:graphic>
          </wp:inline>
        </w:drawing>
      </w:r>
      <w:r>
        <w:t xml:space="preserve"> </w:t>
      </w:r>
    </w:p>
    <w:p>
      <w:pPr>
        <w:pStyle w:val="41"/>
      </w:pPr>
    </w:p>
    <w:p>
      <w:pPr>
        <w:spacing w:after="0"/>
        <w:rPr>
          <w:rFonts w:ascii="Arial" w:hAnsi="Arial"/>
          <w:b/>
          <w:sz w:val="18"/>
        </w:rPr>
      </w:pPr>
      <w:r>
        <w:br w:type="page"/>
      </w:r>
    </w:p>
    <w:p>
      <w:pPr>
        <w:pStyle w:val="41"/>
      </w:pPr>
    </w:p>
    <w:p>
      <w:pPr>
        <w:pStyle w:val="41"/>
      </w:pPr>
      <w:r>
        <w:t>Picture 6</w:t>
      </w:r>
      <w:r>
        <w:rPr>
          <w:lang w:val="en-US"/>
        </w:rPr>
        <w:t>.2</w:t>
      </w:r>
      <w:r>
        <w:t>-</w:t>
      </w:r>
      <w:r>
        <w:rPr>
          <w:lang w:val="en-US"/>
        </w:rPr>
        <w:t>3</w:t>
      </w:r>
      <w:r>
        <w:t>: Example: Target configurations added to the NR CA PC3 FR1 workplan.</w:t>
      </w:r>
    </w:p>
    <w:p>
      <w:pPr>
        <w:jc w:val="center"/>
      </w:pPr>
      <w:r>
        <w:rPr>
          <w:lang w:val="en-US" w:eastAsia="zh-CN"/>
        </w:rPr>
        <w:drawing>
          <wp:inline distT="0" distB="0" distL="0" distR="0">
            <wp:extent cx="9839325" cy="392874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42"/>
                    <a:stretch>
                      <a:fillRect/>
                    </a:stretch>
                  </pic:blipFill>
                  <pic:spPr>
                    <a:xfrm>
                      <a:off x="0" y="0"/>
                      <a:ext cx="9855489" cy="3935653"/>
                    </a:xfrm>
                    <a:prstGeom prst="rect">
                      <a:avLst/>
                    </a:prstGeom>
                  </pic:spPr>
                </pic:pic>
              </a:graphicData>
            </a:graphic>
          </wp:inline>
        </w:drawing>
      </w:r>
    </w:p>
    <w:p>
      <w:pPr>
        <w:pStyle w:val="41"/>
      </w:pPr>
    </w:p>
    <w:p>
      <w:pPr>
        <w:pStyle w:val="48"/>
      </w:pPr>
    </w:p>
    <w:p>
      <w:pPr>
        <w:pStyle w:val="3"/>
        <w:rPr>
          <w:lang w:val="en-US"/>
        </w:rPr>
        <w:sectPr>
          <w:footnotePr>
            <w:numRestart w:val="eachSect"/>
          </w:footnotePr>
          <w:pgSz w:w="16840" w:h="11907" w:orient="landscape"/>
          <w:pgMar w:top="1133" w:right="1416" w:bottom="1133" w:left="1133" w:header="850" w:footer="340" w:gutter="0"/>
          <w:cols w:space="720" w:num="1"/>
          <w:formProt w:val="0"/>
          <w:docGrid w:linePitch="272" w:charSpace="0"/>
        </w:sectPr>
      </w:pPr>
      <w:bookmarkStart w:id="89" w:name="_Toc1698"/>
      <w:bookmarkStart w:id="90" w:name="_Toc95140729"/>
    </w:p>
    <w:p>
      <w:pPr>
        <w:pStyle w:val="3"/>
      </w:pPr>
      <w:r>
        <w:rPr>
          <w:lang w:val="en-US"/>
        </w:rPr>
        <w:t>6.3</w:t>
      </w:r>
      <w:r>
        <w:tab/>
      </w:r>
      <w:r>
        <w:t>Maintaining the WP</w:t>
      </w:r>
      <w:bookmarkEnd w:id="87"/>
      <w:bookmarkEnd w:id="89"/>
      <w:bookmarkEnd w:id="90"/>
      <w:r>
        <w:t xml:space="preserve"> </w:t>
      </w:r>
    </w:p>
    <w:p>
      <w:r>
        <w:t>The columns marked as "WP item columns to be filled in" shall be filled in showing what have been done to complete the WP items. The purpose of the different columns is (see Picture 6.3-1):</w:t>
      </w:r>
    </w:p>
    <w:p>
      <w:pPr>
        <w:pStyle w:val="48"/>
      </w:pPr>
      <w:r>
        <w:t>-</w:t>
      </w:r>
      <w:r>
        <w:tab/>
      </w:r>
      <w:r>
        <w:t xml:space="preserve">The "Company" column is used to track company responsibility for the WP </w:t>
      </w:r>
      <w:r>
        <w:rPr>
          <w:lang w:val="en-US"/>
        </w:rPr>
        <w:t>i</w:t>
      </w:r>
      <w:r>
        <w:t>tem in case more companies than the assigned company of the 5G NR CADC configurations have contributed.</w:t>
      </w:r>
    </w:p>
    <w:p>
      <w:pPr>
        <w:pStyle w:val="48"/>
      </w:pPr>
      <w:r>
        <w:t>-</w:t>
      </w:r>
      <w:r>
        <w:tab/>
      </w:r>
      <w:r>
        <w:t>The "Target" column is by default linked to the values of the target completion date specified in the WP header. If needed specific target for a WP item can be added by replac</w:t>
      </w:r>
      <w:r>
        <w:rPr>
          <w:lang w:val="en-US"/>
        </w:rPr>
        <w:t>ing</w:t>
      </w:r>
      <w:r>
        <w:t xml:space="preserve"> the current formula in the target column with specific target information for the WP item.</w:t>
      </w:r>
    </w:p>
    <w:p>
      <w:pPr>
        <w:pStyle w:val="48"/>
      </w:pPr>
      <w:r>
        <w:t>-</w:t>
      </w:r>
      <w:r>
        <w:tab/>
      </w:r>
      <w:r>
        <w:t>The "TDOC(s)" column is used to track RAN5 contributions (CRs) progressing and completing the WP items.</w:t>
      </w:r>
    </w:p>
    <w:p>
      <w:pPr>
        <w:pStyle w:val="48"/>
        <w:jc w:val="both"/>
      </w:pPr>
      <w:r>
        <w:t xml:space="preserve">- </w:t>
      </w:r>
      <w:r>
        <w:tab/>
      </w:r>
      <w:r>
        <w:t>The "Comments" column can be used to add additional comments as needed for the WP item</w:t>
      </w:r>
      <w:r>
        <w:rPr>
          <w:lang w:val="en-US"/>
        </w:rPr>
        <w:t>s</w:t>
      </w:r>
      <w:r>
        <w:t>. E.g., for the case no changes were needed for the WP item then it is useful to add a comment "No changes needed" as justification for setting the WP item as completed (100%).</w:t>
      </w:r>
    </w:p>
    <w:p>
      <w:pPr>
        <w:pStyle w:val="48"/>
        <w:sectPr>
          <w:footnotePr>
            <w:numRestart w:val="eachSect"/>
          </w:footnotePr>
          <w:pgSz w:w="11907" w:h="16840"/>
          <w:pgMar w:top="1416" w:right="1133" w:bottom="1133" w:left="1133" w:header="850" w:footer="340" w:gutter="0"/>
          <w:cols w:space="720" w:num="1"/>
          <w:formProt w:val="0"/>
          <w:docGrid w:linePitch="272" w:charSpace="0"/>
        </w:sectPr>
      </w:pPr>
      <w:r>
        <w:t xml:space="preserve">- </w:t>
      </w:r>
      <w:r>
        <w:tab/>
      </w:r>
      <w:r>
        <w:t>WP item status columns are used to state the current status (0% to 100%) for the different areas covered by the status columns. As default the WP template have the applicable status columns set to "0%". In case a WP item is not applicable for the specific type of configurations then need all the status column be cleared (delete content of the status columns for the WP item). See Picture 6.3-2 for an example of a WP item changed to be made not applicable for the target configurations.</w:t>
      </w:r>
    </w:p>
    <w:p>
      <w:pPr>
        <w:pStyle w:val="48"/>
      </w:pPr>
    </w:p>
    <w:p>
      <w:pPr>
        <w:pStyle w:val="41"/>
      </w:pPr>
      <w:r>
        <w:t>Picture 6.3-1: Example: WP overall status and WP item columns (WP based on NR CA PC3 FR1 workplan template).</w:t>
      </w:r>
    </w:p>
    <w:p>
      <w:pPr>
        <w:pStyle w:val="41"/>
      </w:pPr>
      <w:r>
        <w:rPr>
          <w:lang w:val="en-US" w:eastAsia="zh-CN"/>
        </w:rPr>
        <w:drawing>
          <wp:inline distT="0" distB="0" distL="0" distR="0">
            <wp:extent cx="9074785" cy="54495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43"/>
                    <a:stretch>
                      <a:fillRect/>
                    </a:stretch>
                  </pic:blipFill>
                  <pic:spPr>
                    <a:xfrm>
                      <a:off x="0" y="0"/>
                      <a:ext cx="9074785" cy="5449570"/>
                    </a:xfrm>
                    <a:prstGeom prst="rect">
                      <a:avLst/>
                    </a:prstGeom>
                  </pic:spPr>
                </pic:pic>
              </a:graphicData>
            </a:graphic>
          </wp:inline>
        </w:drawing>
      </w:r>
    </w:p>
    <w:p>
      <w:pPr>
        <w:pStyle w:val="48"/>
      </w:pPr>
    </w:p>
    <w:p>
      <w:pPr>
        <w:rPr>
          <w:lang w:val="en-US"/>
        </w:rPr>
      </w:pPr>
      <w:bookmarkStart w:id="91" w:name="_Toc19370"/>
    </w:p>
    <w:p>
      <w:pPr>
        <w:pStyle w:val="41"/>
      </w:pPr>
      <w:r>
        <w:t>Picture 6.3-2: Example of WP item (WP item ID "3.5-2"not applicable for target configurations (WP based on NR CA PC3 FR1 workplan template).</w:t>
      </w:r>
    </w:p>
    <w:p>
      <w:pPr>
        <w:sectPr>
          <w:footnotePr>
            <w:numRestart w:val="eachSect"/>
          </w:footnotePr>
          <w:pgSz w:w="16840" w:h="11907" w:orient="landscape"/>
          <w:pgMar w:top="1133" w:right="1416" w:bottom="1133" w:left="1133" w:header="850" w:footer="340" w:gutter="0"/>
          <w:cols w:space="720" w:num="1"/>
          <w:formProt w:val="0"/>
          <w:docGrid w:linePitch="272" w:charSpace="0"/>
        </w:sectPr>
      </w:pPr>
      <w:r>
        <w:rPr>
          <w:lang w:val="en-US" w:eastAsia="zh-CN"/>
        </w:rPr>
        <w:drawing>
          <wp:inline distT="0" distB="0" distL="0" distR="0">
            <wp:extent cx="9020175" cy="30003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44"/>
                    <a:stretch>
                      <a:fillRect/>
                    </a:stretch>
                  </pic:blipFill>
                  <pic:spPr>
                    <a:xfrm>
                      <a:off x="0" y="0"/>
                      <a:ext cx="9020175" cy="3000375"/>
                    </a:xfrm>
                    <a:prstGeom prst="rect">
                      <a:avLst/>
                    </a:prstGeom>
                  </pic:spPr>
                </pic:pic>
              </a:graphicData>
            </a:graphic>
          </wp:inline>
        </w:drawing>
      </w:r>
    </w:p>
    <w:bookmarkEnd w:id="91"/>
    <w:p>
      <w:pPr>
        <w:pStyle w:val="3"/>
        <w:rPr>
          <w:lang w:val="en-US"/>
        </w:rPr>
      </w:pPr>
      <w:bookmarkStart w:id="92" w:name="_Toc95140730"/>
      <w:bookmarkStart w:id="93" w:name="_Toc14032"/>
      <w:bookmarkStart w:id="94" w:name="_Toc26825"/>
      <w:r>
        <w:rPr>
          <w:lang w:val="en-US"/>
        </w:rPr>
        <w:t>6.4</w:t>
      </w:r>
      <w:r>
        <w:rPr>
          <w:lang w:val="en-US"/>
        </w:rPr>
        <w:tab/>
      </w:r>
      <w:r>
        <w:rPr>
          <w:lang w:val="en-US"/>
        </w:rPr>
        <w:t>Reporting a NR bands, NR band CBW extensions and 5G NR CADC configuration as completed</w:t>
      </w:r>
      <w:bookmarkEnd w:id="92"/>
      <w:bookmarkEnd w:id="93"/>
      <w:bookmarkEnd w:id="94"/>
    </w:p>
    <w:p>
      <w:pPr>
        <w:shd w:val="clear" w:fill="FFC000"/>
      </w:pPr>
      <w:r>
        <w:t>When NR bands, NR band CBW extensions and 5G NR CADC configurations are completed in RAN5 specifications</w:t>
      </w:r>
      <w:r>
        <w:rPr>
          <w:rFonts w:hint="default"/>
          <w:lang w:val="en-US"/>
        </w:rPr>
        <w:t>,</w:t>
      </w:r>
      <w:r>
        <w:t xml:space="preserve"> the responsible company submit a Completion Declaration Statement (CDS) document based on the PRD21 CDS form as a RAN5 official TDOC. The PRD21 CDS form can be found as an attachment to PRD21.</w:t>
      </w:r>
    </w:p>
    <w:p>
      <w:pPr>
        <w:shd w:val="clear" w:fill="FFC000"/>
      </w:pPr>
      <w:r>
        <w:t xml:space="preserve">In the CDS form the responsible company fill in the following information (see Picture 6.4-1): </w:t>
      </w:r>
    </w:p>
    <w:p>
      <w:pPr>
        <w:pStyle w:val="48"/>
        <w:shd w:val="clear" w:fill="FFC000"/>
        <w:rPr>
          <w:rFonts w:hint="default"/>
          <w:lang w:val="en-US"/>
        </w:rPr>
      </w:pPr>
      <w:r>
        <w:t>-</w:t>
      </w:r>
      <w:r>
        <w:tab/>
      </w:r>
      <w:r>
        <w:t>affected PRD21 NR bands or 5G NR CADC configurations list</w:t>
      </w:r>
      <w:r>
        <w:rPr>
          <w:rFonts w:hint="default"/>
          <w:lang w:val="en-US"/>
        </w:rPr>
        <w:t>;</w:t>
      </w:r>
    </w:p>
    <w:p>
      <w:pPr>
        <w:pStyle w:val="48"/>
        <w:shd w:val="clear" w:fill="FFC000"/>
        <w:rPr>
          <w:rFonts w:hint="default"/>
          <w:lang w:val="en-US"/>
        </w:rPr>
      </w:pPr>
      <w:r>
        <w:t>-</w:t>
      </w:r>
      <w:r>
        <w:tab/>
      </w:r>
      <w:r>
        <w:t>affected power class</w:t>
      </w:r>
      <w:r>
        <w:rPr>
          <w:rFonts w:hint="default"/>
          <w:lang w:val="en-US"/>
        </w:rPr>
        <w:t>;</w:t>
      </w:r>
    </w:p>
    <w:p>
      <w:pPr>
        <w:pStyle w:val="48"/>
        <w:shd w:val="clear" w:fill="FFC000"/>
        <w:rPr>
          <w:rFonts w:hint="default"/>
          <w:lang w:val="en-US"/>
        </w:rPr>
      </w:pPr>
      <w:r>
        <w:t>-</w:t>
      </w:r>
      <w:r>
        <w:tab/>
      </w:r>
      <w:r>
        <w:rPr>
          <w:lang w:val="en-US"/>
        </w:rPr>
        <w:t>affected bands/configurations covered by the declaration.</w:t>
      </w:r>
      <w:r>
        <w:rPr>
          <w:rFonts w:hint="default"/>
          <w:lang w:val="en-US"/>
        </w:rPr>
        <w:t xml:space="preserve"> </w:t>
      </w:r>
    </w:p>
    <w:p>
      <w:pPr>
        <w:shd w:val="clear" w:fill="FFC000"/>
      </w:pPr>
      <w:r>
        <w:t>Bas</w:t>
      </w:r>
      <w:r>
        <w:rPr>
          <w:rFonts w:hint="default"/>
          <w:lang w:val="en-US"/>
        </w:rPr>
        <w:t>ing</w:t>
      </w:r>
      <w:r>
        <w:t xml:space="preserve"> on the PRD21 CDS document submitted at a meeting</w:t>
      </w:r>
      <w:r>
        <w:rPr>
          <w:rFonts w:hint="default"/>
          <w:lang w:val="en-US"/>
        </w:rPr>
        <w:t>,</w:t>
      </w:r>
      <w:r>
        <w:t xml:space="preserve"> the PRD21 rapporteur updates the status of the declared bands/configurations </w:t>
      </w:r>
      <w:r>
        <w:rPr>
          <w:rFonts w:hint="default"/>
          <w:lang w:val="en-US"/>
        </w:rPr>
        <w:t>in</w:t>
      </w:r>
      <w:r>
        <w:t>to "Completed" and adds the RAN5 TDOC number of the CDS document to the column "Completion reference"</w:t>
      </w:r>
      <w:r>
        <w:rPr>
          <w:rFonts w:hint="default"/>
          <w:lang w:val="en-US"/>
        </w:rPr>
        <w:t xml:space="preserve"> in the 5G NR CADC configuration list</w:t>
      </w:r>
      <w:r>
        <w:t>. See Picture 6.4-2,</w:t>
      </w:r>
    </w:p>
    <w:p>
      <w:pPr>
        <w:pStyle w:val="41"/>
        <w:shd w:val="clear" w:fill="FFC000"/>
      </w:pPr>
      <w:r>
        <w:t>Picture 6.4-1: PRD21 CDS form example</w:t>
      </w:r>
    </w:p>
    <w:p>
      <w:pPr>
        <w:pStyle w:val="41"/>
      </w:pPr>
      <w:r>
        <w:drawing>
          <wp:inline distT="0" distB="0" distL="0" distR="0">
            <wp:extent cx="3943350" cy="27603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45"/>
                    <a:stretch>
                      <a:fillRect/>
                    </a:stretch>
                  </pic:blipFill>
                  <pic:spPr>
                    <a:xfrm>
                      <a:off x="0" y="0"/>
                      <a:ext cx="3949796" cy="2765390"/>
                    </a:xfrm>
                    <a:prstGeom prst="rect">
                      <a:avLst/>
                    </a:prstGeom>
                  </pic:spPr>
                </pic:pic>
              </a:graphicData>
            </a:graphic>
          </wp:inline>
        </w:drawing>
      </w:r>
    </w:p>
    <w:p>
      <w:pPr>
        <w:pStyle w:val="41"/>
      </w:pPr>
    </w:p>
    <w:p>
      <w:pPr>
        <w:pStyle w:val="41"/>
      </w:pPr>
      <w:r>
        <w:rPr>
          <w:shd w:val="clear" w:fill="FFC000"/>
        </w:rPr>
        <w:t>Picture 6.4-2: Example of reference of CDS document in 5G NR CADC configuration list</w:t>
      </w:r>
    </w:p>
    <w:p>
      <w:pPr>
        <w:jc w:val="center"/>
      </w:pPr>
      <w:r>
        <w:drawing>
          <wp:inline distT="0" distB="0" distL="0" distR="0">
            <wp:extent cx="5353050" cy="281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46"/>
                    <a:stretch>
                      <a:fillRect/>
                    </a:stretch>
                  </pic:blipFill>
                  <pic:spPr>
                    <a:xfrm>
                      <a:off x="0" y="0"/>
                      <a:ext cx="5353050" cy="2819400"/>
                    </a:xfrm>
                    <a:prstGeom prst="rect">
                      <a:avLst/>
                    </a:prstGeom>
                  </pic:spPr>
                </pic:pic>
              </a:graphicData>
            </a:graphic>
          </wp:inline>
        </w:drawing>
      </w:r>
    </w:p>
    <w:p>
      <w:pPr>
        <w:pStyle w:val="2"/>
      </w:pPr>
      <w:bookmarkStart w:id="95" w:name="_Toc12480"/>
      <w:bookmarkStart w:id="96" w:name="_Toc95140731"/>
      <w:bookmarkStart w:id="97" w:name="_Hlk93667731"/>
      <w:r>
        <w:rPr>
          <w:lang w:val="en-US"/>
        </w:rPr>
        <w:t>7</w:t>
      </w:r>
      <w:r>
        <w:tab/>
      </w:r>
      <w:r>
        <w:t>CR author guideline for selecting WI code for CRs</w:t>
      </w:r>
      <w:bookmarkEnd w:id="95"/>
      <w:bookmarkEnd w:id="96"/>
    </w:p>
    <w:p>
      <w:r>
        <w:t>Any CR submitted to RAN5 to introduce or update details for a NR band, NR band CBW extension or 5G NR CADC configuration in RAN5 technical specification</w:t>
      </w:r>
      <w:r>
        <w:rPr>
          <w:lang w:val="en-US"/>
        </w:rPr>
        <w:t>s</w:t>
      </w:r>
      <w:r>
        <w:t xml:space="preserve"> and technical reports shall use the WI code as indicated in the PRD21 NR bands and 5G NR CADC configurations list in worksheet "NR bands" and "5G NR CADC Configurations" respectively. </w:t>
      </w:r>
    </w:p>
    <w:bookmarkEnd w:id="97"/>
    <w:p>
      <w:pPr>
        <w:jc w:val="left"/>
      </w:pPr>
    </w:p>
    <w:p>
      <w:pPr>
        <w:pStyle w:val="2"/>
      </w:pPr>
      <w:bookmarkStart w:id="98" w:name="_Toc28487"/>
      <w:bookmarkStart w:id="99" w:name="_Toc95140732"/>
      <w:bookmarkStart w:id="100" w:name="_Toc20982"/>
      <w:r>
        <w:rPr>
          <w:lang w:val="en-US"/>
        </w:rPr>
        <w:t>8</w:t>
      </w:r>
      <w:r>
        <w:tab/>
      </w:r>
      <w:r>
        <w:t>PRD rapporteur guidelines</w:t>
      </w:r>
      <w:bookmarkEnd w:id="98"/>
      <w:bookmarkEnd w:id="99"/>
      <w:bookmarkEnd w:id="100"/>
    </w:p>
    <w:p>
      <w:pPr>
        <w:pStyle w:val="3"/>
      </w:pPr>
      <w:bookmarkStart w:id="101" w:name="_Toc95140733"/>
      <w:bookmarkStart w:id="102" w:name="_Toc2915"/>
      <w:bookmarkStart w:id="103" w:name="_Toc20638"/>
      <w:r>
        <w:rPr>
          <w:lang w:val="en-US"/>
        </w:rPr>
        <w:t>8</w:t>
      </w:r>
      <w:r>
        <w:t>.1</w:t>
      </w:r>
      <w:r>
        <w:tab/>
      </w:r>
      <w:r>
        <w:t>PRD21 rapporte</w:t>
      </w:r>
      <w:r>
        <w:rPr>
          <w:shd w:val="clear" w:fill="FFC000"/>
        </w:rPr>
        <w:t>u</w:t>
      </w:r>
      <w:r>
        <w:t xml:space="preserve">r and WI rapporteur </w:t>
      </w:r>
      <w:bookmarkEnd w:id="101"/>
      <w:r>
        <w:t>respons</w:t>
      </w:r>
      <w:r>
        <w:rPr>
          <w:lang w:val="en-US"/>
        </w:rPr>
        <w:t>i</w:t>
      </w:r>
      <w:r>
        <w:t>bilities</w:t>
      </w:r>
      <w:bookmarkEnd w:id="102"/>
    </w:p>
    <w:p>
      <w:r>
        <w:t>The PRD2</w:t>
      </w:r>
      <w:r>
        <w:rPr>
          <w:lang w:val="en-US"/>
        </w:rPr>
        <w:t>1</w:t>
      </w:r>
      <w:r>
        <w:t xml:space="preserve"> rapporteur together with </w:t>
      </w:r>
      <w:r>
        <w:rPr>
          <w:shd w:val="clear" w:fill="FFC000"/>
        </w:rPr>
        <w:t>support of</w:t>
      </w:r>
      <w:r>
        <w:t xml:space="preserve"> the RAN5 rapporteurs for NR bands, NR band CBW extensions and </w:t>
      </w:r>
      <w:r>
        <w:rPr>
          <w:lang w:val="en-US"/>
        </w:rPr>
        <w:t xml:space="preserve">5G NR </w:t>
      </w:r>
      <w:r>
        <w:t>CA</w:t>
      </w:r>
      <w:r>
        <w:rPr>
          <w:lang w:val="en-US"/>
        </w:rPr>
        <w:t>DC</w:t>
      </w:r>
      <w:r>
        <w:t xml:space="preserve"> configuration work items </w:t>
      </w:r>
      <w:r>
        <w:rPr>
          <w:shd w:val="clear" w:fill="FFC000"/>
        </w:rPr>
        <w:t xml:space="preserve">is </w:t>
      </w:r>
      <w:r>
        <w:t>responsible for:</w:t>
      </w:r>
    </w:p>
    <w:p>
      <w:pPr>
        <w:pStyle w:val="48"/>
      </w:pPr>
      <w:r>
        <w:t>-</w:t>
      </w:r>
      <w:r>
        <w:tab/>
      </w:r>
      <w:r>
        <w:t xml:space="preserve">Keeping the NR band and </w:t>
      </w:r>
      <w:r>
        <w:rPr>
          <w:lang w:val="en-US"/>
        </w:rPr>
        <w:t xml:space="preserve">5G NR </w:t>
      </w:r>
      <w:r>
        <w:t>CA</w:t>
      </w:r>
      <w:r>
        <w:rPr>
          <w:lang w:val="en-US"/>
        </w:rPr>
        <w:t>DC</w:t>
      </w:r>
      <w:r>
        <w:t xml:space="preserve"> configuration list up to date with latest version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within the scope of RAN5 work items.</w:t>
      </w:r>
    </w:p>
    <w:p>
      <w:pPr>
        <w:pStyle w:val="48"/>
      </w:pPr>
      <w:r>
        <w:t>-</w:t>
      </w:r>
      <w:r>
        <w:tab/>
      </w:r>
      <w:r>
        <w:t>Handling assignment of Interested Operator and volunteering companies for NR bands, NR band CBW extensions and 5G NR CADC configurations.</w:t>
      </w:r>
    </w:p>
    <w:p>
      <w:pPr>
        <w:pStyle w:val="48"/>
      </w:pPr>
      <w:r>
        <w:t>-</w:t>
      </w:r>
      <w:r>
        <w:tab/>
      </w:r>
      <w:r>
        <w:t xml:space="preserve">Maintaining the status of completed NR bands, NR band CBW extensions and 5G NR CADC configurations in </w:t>
      </w:r>
      <w:r>
        <w:rPr>
          <w:shd w:val="clear" w:fill="FFC000"/>
        </w:rPr>
        <w:t>the NR bands and 5G NR CADC configurations worksheets.</w:t>
      </w:r>
    </w:p>
    <w:p>
      <w:pPr>
        <w:pStyle w:val="3"/>
      </w:pPr>
      <w:bookmarkStart w:id="104" w:name="_Toc95140734"/>
      <w:bookmarkStart w:id="105" w:name="_Toc7976"/>
      <w:r>
        <w:rPr>
          <w:lang w:val="en-US"/>
        </w:rPr>
        <w:t>8</w:t>
      </w:r>
      <w:r>
        <w:t>.2</w:t>
      </w:r>
      <w:r>
        <w:tab/>
      </w:r>
      <w:r>
        <w:t>Handling assignment requests</w:t>
      </w:r>
      <w:bookmarkEnd w:id="103"/>
      <w:bookmarkEnd w:id="104"/>
      <w:bookmarkEnd w:id="105"/>
    </w:p>
    <w:p>
      <w:pPr>
        <w:spacing w:after="0"/>
      </w:pPr>
      <w:r>
        <w:rPr>
          <w:shd w:val="clear" w:fill="FFC000"/>
        </w:rPr>
        <w:t>Bas</w:t>
      </w:r>
      <w:r>
        <w:rPr>
          <w:rFonts w:hint="default"/>
          <w:shd w:val="clear" w:fill="FFC000"/>
          <w:lang w:val="en-US"/>
        </w:rPr>
        <w:t>ing</w:t>
      </w:r>
      <w:r>
        <w:rPr>
          <w:shd w:val="clear" w:fill="FFC000"/>
        </w:rPr>
        <w:t xml:space="preserve"> on the PRD21 rapporteur received assignment request emails</w:t>
      </w:r>
      <w:r>
        <w:rPr>
          <w:rFonts w:hint="default"/>
          <w:shd w:val="clear" w:fill="FFC000"/>
          <w:lang w:val="en-US"/>
        </w:rPr>
        <w:t>,</w:t>
      </w:r>
      <w:r>
        <w:rPr>
          <w:shd w:val="clear" w:fill="FFC000"/>
        </w:rPr>
        <w:t xml:space="preserve"> the PRD21 rapporteur shall update the NR bands and 5G NR CADC configuration lists by:</w:t>
      </w:r>
      <w:r>
        <w:br w:type="textWrapping"/>
      </w:r>
    </w:p>
    <w:p>
      <w:pPr>
        <w:pStyle w:val="48"/>
      </w:pPr>
      <w:r>
        <w:t>-</w:t>
      </w:r>
      <w:r>
        <w:tab/>
      </w:r>
      <w:r>
        <w:t>Adding the interested operator, responsible company and respon</w:t>
      </w:r>
      <w:r>
        <w:rPr>
          <w:lang w:val="en-US"/>
        </w:rPr>
        <w:t>s</w:t>
      </w:r>
      <w:r>
        <w:t>ible company contact person to the "NR bands" worksheet for the requested NR bands and NR Band CBW extensions; and to the "</w:t>
      </w:r>
      <w:r>
        <w:rPr>
          <w:lang w:val="en-US"/>
        </w:rPr>
        <w:t>5</w:t>
      </w:r>
      <w:r>
        <w:t>G NR CADC Configurations " worksheet for the request 5G NR CADC configurations.</w:t>
      </w:r>
    </w:p>
    <w:p>
      <w:pPr>
        <w:pStyle w:val="48"/>
      </w:pPr>
      <w:r>
        <w:t>-</w:t>
      </w:r>
      <w:r>
        <w:tab/>
      </w:r>
      <w:r>
        <w:t>Add the RAN5 meeting the request was received in column "RAN5 Assignment [RAN5 meeting]".</w:t>
      </w:r>
    </w:p>
    <w:p>
      <w:pPr>
        <w:pStyle w:val="48"/>
      </w:pPr>
      <w:r>
        <w:t>-</w:t>
      </w:r>
      <w:r>
        <w:tab/>
      </w:r>
      <w:r>
        <w:t>Confirm the assignment by responding to the request email.</w:t>
      </w:r>
    </w:p>
    <w:p>
      <w:pPr>
        <w:pStyle w:val="3"/>
      </w:pPr>
      <w:bookmarkStart w:id="106" w:name="_Toc95140735"/>
      <w:bookmarkStart w:id="107" w:name="_Toc25546"/>
      <w:bookmarkStart w:id="108" w:name="_Toc7675"/>
      <w:r>
        <w:rPr>
          <w:lang w:val="en-US"/>
        </w:rPr>
        <w:t>8</w:t>
      </w:r>
      <w:r>
        <w:t>.3</w:t>
      </w:r>
      <w:r>
        <w:tab/>
      </w:r>
      <w:r>
        <w:t>Update the PRD2</w:t>
      </w:r>
      <w:r>
        <w:rPr>
          <w:lang w:val="en-US"/>
        </w:rPr>
        <w:t>1</w:t>
      </w:r>
      <w:r>
        <w:t xml:space="preserve"> 5G NR CADC list when new version of TS 38.101-x is published</w:t>
      </w:r>
      <w:bookmarkEnd w:id="106"/>
      <w:bookmarkEnd w:id="107"/>
      <w:bookmarkEnd w:id="108"/>
    </w:p>
    <w:p>
      <w:pPr>
        <w:pStyle w:val="4"/>
      </w:pPr>
      <w:bookmarkStart w:id="109" w:name="_Toc16009"/>
      <w:bookmarkStart w:id="110" w:name="_Toc23501"/>
      <w:bookmarkStart w:id="111" w:name="_Toc95140736"/>
      <w:r>
        <w:rPr>
          <w:lang w:val="en-US"/>
        </w:rPr>
        <w:t>8</w:t>
      </w:r>
      <w:r>
        <w:t>.3.1</w:t>
      </w:r>
      <w:r>
        <w:tab/>
      </w:r>
      <w:r>
        <w:t>Update of the</w:t>
      </w:r>
      <w:r>
        <w:rPr>
          <w:shd w:val="clear" w:fill="FFC000"/>
        </w:rPr>
        <w:t xml:space="preserve"> "NR bands" and</w:t>
      </w:r>
      <w:r>
        <w:t xml:space="preserve"> "5G NR CADC Configurations" </w:t>
      </w:r>
      <w:bookmarkEnd w:id="109"/>
      <w:r>
        <w:t>worksheet</w:t>
      </w:r>
      <w:bookmarkEnd w:id="110"/>
      <w:bookmarkEnd w:id="111"/>
      <w:r>
        <w:t xml:space="preserve">s </w:t>
      </w:r>
    </w:p>
    <w:p>
      <w:r>
        <w:t>Add any new or changed NR bands, NR bands CBW extensions and 5G NR CADC configurations (and its bandwidth combination set, BCS) in accordance to the latest version of 38.101-x [11,12,13] up to the release covered by the RAN5 NR bands, NR band CBW extensions and 5G NR CADC work items listed in clause 1.</w:t>
      </w:r>
    </w:p>
    <w:p>
      <w:r>
        <w:t>The column "Applicable RAN5 WI code(s) for CRs" is set in accordance to the current applicable WI codes as listed in clause 1 depending on the current status of the RAN5 WI the configuration belongs to.</w:t>
      </w:r>
    </w:p>
    <w:p>
      <w:pPr>
        <w:rPr>
          <w:b/>
          <w:bCs/>
        </w:rPr>
      </w:pPr>
      <w:r>
        <w:rPr>
          <w:b/>
          <w:bCs/>
        </w:rPr>
        <w:t xml:space="preserve">Example: 2D/2UL 5G NR CADC configuration </w:t>
      </w:r>
      <w:bookmarkStart w:id="112" w:name="_Hlk88050158"/>
      <w:r>
        <w:rPr>
          <w:b/>
          <w:bCs/>
        </w:rPr>
        <w:t>CA_1A-n3A</w:t>
      </w:r>
      <w:bookmarkEnd w:id="112"/>
    </w:p>
    <w:p>
      <w:r>
        <w:t xml:space="preserve">38.101-x [11,12,13] v17.4.0, </w:t>
      </w:r>
      <w:r>
        <w:rPr>
          <w:bCs/>
        </w:rPr>
        <w:t>Table 5.5A.3.1-1</w:t>
      </w:r>
      <w:r>
        <w:t xml:space="preserve"> specifies the NR CA configuration CA_1A-3A as: </w:t>
      </w:r>
    </w:p>
    <w:p>
      <w:pPr>
        <w:rPr>
          <w:b/>
          <w:bCs/>
          <w:highlight w:val="yellow"/>
        </w:rPr>
      </w:pPr>
      <w:r>
        <w:rPr>
          <w:lang w:val="en-US" w:eastAsia="zh-CN"/>
        </w:rPr>
        <w:drawing>
          <wp:inline distT="0" distB="0" distL="0" distR="0">
            <wp:extent cx="6122035" cy="13773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47"/>
                    <a:stretch>
                      <a:fillRect/>
                    </a:stretch>
                  </pic:blipFill>
                  <pic:spPr>
                    <a:xfrm>
                      <a:off x="0" y="0"/>
                      <a:ext cx="6122035" cy="1377315"/>
                    </a:xfrm>
                    <a:prstGeom prst="rect">
                      <a:avLst/>
                    </a:prstGeom>
                  </pic:spPr>
                </pic:pic>
              </a:graphicData>
            </a:graphic>
          </wp:inline>
        </w:drawing>
      </w:r>
      <w:r>
        <w:t xml:space="preserve"> </w:t>
      </w:r>
    </w:p>
    <w:p>
      <w:r>
        <w:t>BCS0 was introduced in Rel-16 and BCS1 in Rel-16 of TS 38.101-1 [11].</w:t>
      </w:r>
    </w:p>
    <w:p>
      <w:r>
        <w:t xml:space="preserve">For PRD21 CA list this configuration and its UL CA configurations are split into separate rows for each BCS and for each UL CA configuration as well as one row each for each BCS for the case without UL CA: </w:t>
      </w:r>
    </w:p>
    <w:p>
      <w:pPr>
        <w:rPr>
          <w:b/>
          <w:bCs/>
        </w:rPr>
      </w:pPr>
      <w:r>
        <w:rPr>
          <w:lang w:val="en-US" w:eastAsia="zh-CN"/>
        </w:rPr>
        <w:drawing>
          <wp:inline distT="0" distB="0" distL="0" distR="0">
            <wp:extent cx="6122035" cy="718185"/>
            <wp:effectExtent l="0" t="0" r="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48"/>
                    <a:stretch>
                      <a:fillRect/>
                    </a:stretch>
                  </pic:blipFill>
                  <pic:spPr>
                    <a:xfrm>
                      <a:off x="0" y="0"/>
                      <a:ext cx="6122035" cy="718185"/>
                    </a:xfrm>
                    <a:prstGeom prst="rect">
                      <a:avLst/>
                    </a:prstGeom>
                  </pic:spPr>
                </pic:pic>
              </a:graphicData>
            </a:graphic>
          </wp:inline>
        </w:drawing>
      </w:r>
      <w:r>
        <w:t xml:space="preserve"> </w:t>
      </w:r>
    </w:p>
    <w:p>
      <w:pPr>
        <w:rPr>
          <w:b/>
          <w:bCs/>
        </w:rPr>
      </w:pPr>
    </w:p>
    <w:p>
      <w:pPr>
        <w:pStyle w:val="4"/>
      </w:pPr>
      <w:bookmarkStart w:id="113" w:name="_Toc27767"/>
      <w:bookmarkStart w:id="114" w:name="_Toc95140737"/>
      <w:bookmarkStart w:id="115" w:name="_Toc31084"/>
      <w:r>
        <w:rPr>
          <w:lang w:val="en-US"/>
        </w:rPr>
        <w:t>8</w:t>
      </w:r>
      <w:r>
        <w:t>.3.</w:t>
      </w:r>
      <w:r>
        <w:rPr>
          <w:lang w:val="en-US"/>
        </w:rPr>
        <w:t>2</w:t>
      </w:r>
      <w:r>
        <w:tab/>
      </w:r>
      <w:r>
        <w:t xml:space="preserve">Update of the "Support data" </w:t>
      </w:r>
      <w:bookmarkEnd w:id="113"/>
      <w:r>
        <w:t>worksheet</w:t>
      </w:r>
      <w:bookmarkEnd w:id="114"/>
      <w:bookmarkEnd w:id="115"/>
      <w:r>
        <w:t xml:space="preserve"> </w:t>
      </w:r>
    </w:p>
    <w:p>
      <w:r>
        <w:t>The support data Excel worksheet is hidden in the published version of PRD21 5G NR CADC list. Unhide the worksheet and do:</w:t>
      </w:r>
    </w:p>
    <w:p>
      <w:pPr>
        <w:pStyle w:val="48"/>
        <w:numPr>
          <w:ilvl w:val="0"/>
          <w:numId w:val="4"/>
        </w:numPr>
      </w:pPr>
      <w:r>
        <w:t>Unhide the worksheet "Support data" in the Excel file attached to PRD21.</w:t>
      </w:r>
    </w:p>
    <w:p>
      <w:pPr>
        <w:pStyle w:val="48"/>
        <w:numPr>
          <w:ilvl w:val="0"/>
          <w:numId w:val="4"/>
        </w:numPr>
      </w:pPr>
      <w:r>
        <w:t>Update the version of TS 38.101-</w:t>
      </w:r>
      <w:r>
        <w:rPr>
          <w:lang w:val="en-US"/>
        </w:rPr>
        <w:t>x</w:t>
      </w:r>
      <w:r>
        <w:t xml:space="preserve"> [11,12,13] in the cell next to "Source of PRD21 support data"</w:t>
      </w:r>
      <w:r>
        <w:rPr>
          <w:lang w:val="en-US"/>
        </w:rPr>
        <w:t>.</w:t>
      </w:r>
    </w:p>
    <w:p>
      <w:pPr>
        <w:pStyle w:val="48"/>
        <w:numPr>
          <w:ilvl w:val="0"/>
          <w:numId w:val="4"/>
        </w:numPr>
      </w:pPr>
      <w:r>
        <w:t xml:space="preserve">Check if any changes are needed in the support data tables due to the new version of 38.101-x [11,12,13]. </w:t>
      </w:r>
    </w:p>
    <w:p>
      <w:pPr>
        <w:pStyle w:val="48"/>
        <w:numPr>
          <w:ilvl w:val="0"/>
          <w:numId w:val="4"/>
        </w:numPr>
      </w:pPr>
      <w:r>
        <w:t>Hide the worksheet "Support data"</w:t>
      </w:r>
      <w:r>
        <w:rPr>
          <w:lang w:val="en-US"/>
        </w:rPr>
        <w:t>.</w:t>
      </w:r>
    </w:p>
    <w:p>
      <w:pPr>
        <w:pStyle w:val="3"/>
      </w:pPr>
      <w:bookmarkStart w:id="116" w:name="_Toc95140738"/>
      <w:bookmarkStart w:id="117" w:name="_Toc18814"/>
      <w:bookmarkStart w:id="118" w:name="_Toc30558"/>
      <w:r>
        <w:rPr>
          <w:lang w:val="en-US"/>
        </w:rPr>
        <w:t>8</w:t>
      </w:r>
      <w:r>
        <w:t>.4</w:t>
      </w:r>
      <w:r>
        <w:tab/>
      </w:r>
      <w:r>
        <w:t>Update the PRD21 after end of RAN5 meetings</w:t>
      </w:r>
      <w:bookmarkEnd w:id="116"/>
      <w:bookmarkEnd w:id="117"/>
      <w:bookmarkEnd w:id="118"/>
    </w:p>
    <w:p>
      <w:pPr>
        <w:pStyle w:val="4"/>
      </w:pPr>
      <w:bookmarkStart w:id="119" w:name="_Toc95140739"/>
      <w:bookmarkStart w:id="120" w:name="_Toc5100"/>
      <w:bookmarkStart w:id="121" w:name="_Toc27396"/>
      <w:r>
        <w:rPr>
          <w:lang w:val="en-US"/>
        </w:rPr>
        <w:t>8</w:t>
      </w:r>
      <w:r>
        <w:t>.</w:t>
      </w:r>
      <w:r>
        <w:rPr>
          <w:lang w:val="en-US"/>
        </w:rPr>
        <w:t>4</w:t>
      </w:r>
      <w:r>
        <w:t>.1</w:t>
      </w:r>
      <w:r>
        <w:tab/>
      </w:r>
      <w:r>
        <w:t>Update status of NR bands, NR band CBW Extensions and 5G NR CADC Configurations</w:t>
      </w:r>
      <w:bookmarkEnd w:id="119"/>
      <w:bookmarkEnd w:id="120"/>
      <w:bookmarkEnd w:id="121"/>
    </w:p>
    <w:p>
      <w:pPr>
        <w:rPr>
          <w:lang w:val="en-US"/>
        </w:rPr>
      </w:pPr>
      <w:r>
        <w:rPr>
          <w:shd w:val="clear" w:fill="FFC000"/>
        </w:rPr>
        <w:t>Bas</w:t>
      </w:r>
      <w:r>
        <w:rPr>
          <w:rFonts w:hint="default"/>
          <w:shd w:val="clear" w:fill="FFC000"/>
          <w:lang w:val="en-US"/>
        </w:rPr>
        <w:t>ing</w:t>
      </w:r>
      <w:r>
        <w:rPr>
          <w:shd w:val="clear" w:fill="FFC000"/>
        </w:rPr>
        <w:t xml:space="preserve"> on the submitted CDS documents to a RAN5 meeting declaring completion of NR bands, NR band extensions and 5G NR CADC Configurations</w:t>
      </w:r>
      <w:r>
        <w:rPr>
          <w:rFonts w:hint="default"/>
          <w:shd w:val="clear" w:fill="FFC000"/>
          <w:lang w:val="en-US"/>
        </w:rPr>
        <w:t>,</w:t>
      </w:r>
      <w:r>
        <w:rPr>
          <w:shd w:val="clear" w:fill="FFC000"/>
        </w:rPr>
        <w:t xml:space="preserve"> the PRD rapporteur</w:t>
      </w:r>
      <w:r>
        <w:rPr>
          <w:rFonts w:hint="default"/>
          <w:shd w:val="clear" w:fill="FFC000"/>
          <w:lang w:val="en-US"/>
        </w:rPr>
        <w:t>s</w:t>
      </w:r>
      <w:r>
        <w:rPr>
          <w:shd w:val="clear" w:fill="FFC000"/>
        </w:rPr>
        <w:t xml:space="preserve"> change the status to "Completed", add the RAN5 meeting to column "RAN5 Completion" and add the reference to the agreed CDS documen</w:t>
      </w:r>
      <w:r>
        <w:rPr>
          <w:rFonts w:hint="default"/>
          <w:shd w:val="clear" w:fill="FFC000"/>
          <w:lang w:val="en-US"/>
        </w:rPr>
        <w:t xml:space="preserve">t </w:t>
      </w:r>
      <w:r>
        <w:rPr>
          <w:shd w:val="clear" w:fill="FFC000"/>
        </w:rPr>
        <w:t>in column "Completion Reference"</w:t>
      </w:r>
      <w:r>
        <w:t>.</w:t>
      </w:r>
    </w:p>
    <w:p>
      <w:pPr>
        <w:pStyle w:val="4"/>
      </w:pPr>
      <w:bookmarkStart w:id="122" w:name="_Toc9318"/>
      <w:bookmarkStart w:id="123" w:name="_Toc7089"/>
      <w:bookmarkStart w:id="124" w:name="_Toc95140740"/>
      <w:r>
        <w:rPr>
          <w:lang w:val="en-US"/>
        </w:rPr>
        <w:t>8</w:t>
      </w:r>
      <w:r>
        <w:t>.</w:t>
      </w:r>
      <w:r>
        <w:rPr>
          <w:lang w:val="en-US"/>
        </w:rPr>
        <w:t>4</w:t>
      </w:r>
      <w:r>
        <w:t>.</w:t>
      </w:r>
      <w:r>
        <w:rPr>
          <w:lang w:val="en-US"/>
        </w:rPr>
        <w:t>2</w:t>
      </w:r>
      <w:r>
        <w:tab/>
      </w:r>
      <w:r>
        <w:t>Update when a RAN5 NR bands, NR band CBW Extensions or 5G NR CADC basket WI is closed</w:t>
      </w:r>
      <w:bookmarkEnd w:id="122"/>
      <w:bookmarkEnd w:id="123"/>
      <w:bookmarkEnd w:id="124"/>
      <w:r>
        <w:t xml:space="preserve"> </w:t>
      </w:r>
    </w:p>
    <w:p>
      <w:r>
        <w:t>When a NR bands, NR band extension and RAN5 5G NR CADC basket work item has been closed</w:t>
      </w:r>
      <w:r>
        <w:rPr>
          <w:lang w:val="en-US"/>
        </w:rPr>
        <w:t>,</w:t>
      </w:r>
      <w:r>
        <w:t xml:space="preserve"> the following need to be updated:</w:t>
      </w:r>
    </w:p>
    <w:p>
      <w:pPr>
        <w:pStyle w:val="48"/>
      </w:pPr>
      <w:r>
        <w:t>-</w:t>
      </w:r>
      <w:r>
        <w:tab/>
      </w:r>
      <w:r>
        <w:t>For each NR band, NR Band extension or 5G NR CADC configuration of the closed WI add "TEIx_Text," before the existing WI code in column "Applicable RAN5 WI code(s) for CRs" where x is the number of the release, e.g. 15 for Rel-15</w:t>
      </w:r>
      <w:r>
        <w:rPr>
          <w:lang w:val="en-US"/>
        </w:rPr>
        <w:t>,</w:t>
      </w:r>
      <w:r>
        <w:t xml:space="preserve"> etc.</w:t>
      </w:r>
    </w:p>
    <w:p>
      <w:pPr>
        <w:pStyle w:val="3"/>
      </w:pPr>
      <w:bookmarkStart w:id="125" w:name="_Toc32426"/>
      <w:bookmarkStart w:id="126" w:name="_Toc1181"/>
      <w:bookmarkStart w:id="127" w:name="_Toc95140741"/>
      <w:r>
        <w:rPr>
          <w:lang w:val="en-US"/>
        </w:rPr>
        <w:t>8</w:t>
      </w:r>
      <w:r>
        <w:t>.5</w:t>
      </w:r>
      <w:r>
        <w:tab/>
      </w:r>
      <w:r>
        <w:t>Update the WP template</w:t>
      </w:r>
      <w:bookmarkEnd w:id="125"/>
      <w:r>
        <w:t>s</w:t>
      </w:r>
      <w:bookmarkEnd w:id="126"/>
      <w:bookmarkEnd w:id="127"/>
    </w:p>
    <w:p>
      <w:r>
        <w:t>When a WP template need to be updated pay attention to not overwrite cells with formulas.</w:t>
      </w:r>
    </w:p>
    <w:p>
      <w:r>
        <w:t>Add new WP items by copy</w:t>
      </w:r>
      <w:r>
        <w:rPr>
          <w:lang w:val="en-US"/>
        </w:rPr>
        <w:t>ing</w:t>
      </w:r>
      <w:r>
        <w:t xml:space="preserve"> an existing WP item row and insert</w:t>
      </w:r>
      <w:r>
        <w:rPr>
          <w:lang w:val="en-US"/>
        </w:rPr>
        <w:t>ing</w:t>
      </w:r>
      <w:r>
        <w:t xml:space="preserve"> above the relevant black row under each WP step area and modify</w:t>
      </w:r>
      <w:r>
        <w:rPr>
          <w:lang w:val="en-US"/>
        </w:rPr>
        <w:t>ing</w:t>
      </w:r>
      <w:r>
        <w:t xml:space="preserve"> as needed.</w:t>
      </w:r>
    </w:p>
    <w:p>
      <w:pPr>
        <w:pStyle w:val="3"/>
      </w:pPr>
      <w:bookmarkStart w:id="128" w:name="_Toc19511"/>
      <w:bookmarkStart w:id="129" w:name="_Toc12081"/>
      <w:bookmarkStart w:id="130" w:name="_Toc95140742"/>
      <w:r>
        <w:rPr>
          <w:lang w:val="en-US"/>
        </w:rPr>
        <w:t>8</w:t>
      </w:r>
      <w:r>
        <w:t>.6</w:t>
      </w:r>
      <w:r>
        <w:tab/>
      </w:r>
      <w:r>
        <w:t>Update when PRD21 rapporteur is changed</w:t>
      </w:r>
      <w:bookmarkEnd w:id="128"/>
      <w:bookmarkEnd w:id="129"/>
      <w:bookmarkEnd w:id="130"/>
    </w:p>
    <w:p>
      <w:r>
        <w:t>When a new rapporteur is assigned to PRD21 do:</w:t>
      </w:r>
    </w:p>
    <w:p>
      <w:pPr>
        <w:pStyle w:val="48"/>
        <w:numPr>
          <w:ilvl w:val="0"/>
          <w:numId w:val="4"/>
        </w:numPr>
      </w:pPr>
      <w:r>
        <w:t>Unhide the worksheet "Support data" in the Excel file attached to PRD21.</w:t>
      </w:r>
    </w:p>
    <w:p>
      <w:pPr>
        <w:pStyle w:val="48"/>
        <w:numPr>
          <w:ilvl w:val="0"/>
          <w:numId w:val="4"/>
        </w:numPr>
      </w:pPr>
      <w:r>
        <w:t>In the "Support data" worksheet</w:t>
      </w:r>
      <w:r>
        <w:rPr>
          <w:lang w:val="en-US"/>
        </w:rPr>
        <w:t>,</w:t>
      </w:r>
      <w:r>
        <w:t xml:space="preserve"> update the PRD21 contact person details</w:t>
      </w:r>
      <w:r>
        <w:rPr>
          <w:lang w:val="en-US"/>
        </w:rPr>
        <w:t>, including</w:t>
      </w:r>
      <w:r>
        <w:t xml:space="preserve"> Name, Company and email address. It is important that the email address is correct as it will be used in the assignment request emails.</w:t>
      </w:r>
    </w:p>
    <w:p>
      <w:pPr>
        <w:pStyle w:val="48"/>
        <w:numPr>
          <w:ilvl w:val="0"/>
          <w:numId w:val="4"/>
        </w:numPr>
      </w:pPr>
      <w:r>
        <w:t>Hide the worksheet "Support data"</w:t>
      </w:r>
      <w:r>
        <w:rPr>
          <w:lang w:val="en-US"/>
        </w:rPr>
        <w:t>.</w:t>
      </w:r>
    </w:p>
    <w:p>
      <w:pPr>
        <w:pStyle w:val="10"/>
      </w:pPr>
      <w:bookmarkStart w:id="131" w:name="_Toc9498"/>
      <w:bookmarkStart w:id="132" w:name="_Toc22683"/>
      <w:r>
        <w:br w:type="column"/>
      </w:r>
      <w:bookmarkStart w:id="133" w:name="_Toc95140743"/>
      <w:r>
        <w:t>Annex A (informative):</w:t>
      </w:r>
      <w:r>
        <w:br w:type="textWrapping"/>
      </w:r>
      <w:r>
        <w:t>Change history</w:t>
      </w:r>
      <w:bookmarkEnd w:id="131"/>
      <w:bookmarkEnd w:id="132"/>
      <w:bookmarkEnd w:id="133"/>
    </w:p>
    <w:tbl>
      <w:tblPr>
        <w:tblStyle w:val="26"/>
        <w:tblW w:w="9976"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1137"/>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976" w:type="dxa"/>
            <w:gridSpan w:val="8"/>
            <w:tcBorders>
              <w:bottom w:val="nil"/>
            </w:tcBorders>
            <w:shd w:val="solid" w:color="FFFFFF" w:fill="auto"/>
          </w:tcPr>
          <w:p>
            <w:pPr>
              <w:pStyle w:val="40"/>
              <w:jc w:val="center"/>
              <w:rPr>
                <w:b/>
                <w:sz w:val="16"/>
              </w:rPr>
            </w:pPr>
            <w:bookmarkStart w:id="134" w:name="historyclause"/>
            <w:bookmarkEnd w:id="134"/>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40"/>
              <w:rPr>
                <w:b/>
                <w:sz w:val="16"/>
              </w:rPr>
            </w:pPr>
            <w:r>
              <w:rPr>
                <w:b/>
                <w:sz w:val="16"/>
              </w:rPr>
              <w:t>Date</w:t>
            </w:r>
          </w:p>
        </w:tc>
        <w:tc>
          <w:tcPr>
            <w:tcW w:w="1137" w:type="dxa"/>
            <w:shd w:val="pct10" w:color="auto" w:fill="FFFFFF"/>
          </w:tcPr>
          <w:p>
            <w:pPr>
              <w:pStyle w:val="40"/>
              <w:rPr>
                <w:b/>
                <w:sz w:val="16"/>
              </w:rPr>
            </w:pPr>
            <w:r>
              <w:rPr>
                <w:b/>
                <w:sz w:val="16"/>
              </w:rPr>
              <w:t>Meeting</w:t>
            </w:r>
          </w:p>
        </w:tc>
        <w:tc>
          <w:tcPr>
            <w:tcW w:w="1094" w:type="dxa"/>
            <w:shd w:val="pct10" w:color="auto" w:fill="FFFFFF"/>
          </w:tcPr>
          <w:p>
            <w:pPr>
              <w:pStyle w:val="40"/>
              <w:rPr>
                <w:b/>
                <w:sz w:val="16"/>
              </w:rPr>
            </w:pPr>
            <w:r>
              <w:rPr>
                <w:b/>
                <w:sz w:val="16"/>
              </w:rPr>
              <w:t>TDoc</w:t>
            </w:r>
          </w:p>
        </w:tc>
        <w:tc>
          <w:tcPr>
            <w:tcW w:w="425" w:type="dxa"/>
            <w:shd w:val="pct10" w:color="auto" w:fill="FFFFFF"/>
          </w:tcPr>
          <w:p>
            <w:pPr>
              <w:pStyle w:val="40"/>
              <w:rPr>
                <w:b/>
                <w:sz w:val="16"/>
              </w:rPr>
            </w:pPr>
            <w:r>
              <w:rPr>
                <w:b/>
                <w:sz w:val="16"/>
              </w:rPr>
              <w:t>CR</w:t>
            </w:r>
          </w:p>
        </w:tc>
        <w:tc>
          <w:tcPr>
            <w:tcW w:w="425" w:type="dxa"/>
            <w:shd w:val="pct10" w:color="auto" w:fill="FFFFFF"/>
          </w:tcPr>
          <w:p>
            <w:pPr>
              <w:pStyle w:val="40"/>
              <w:rPr>
                <w:b/>
                <w:sz w:val="16"/>
              </w:rPr>
            </w:pPr>
            <w:r>
              <w:rPr>
                <w:b/>
                <w:sz w:val="16"/>
              </w:rPr>
              <w:t>Rev</w:t>
            </w:r>
          </w:p>
        </w:tc>
        <w:tc>
          <w:tcPr>
            <w:tcW w:w="425" w:type="dxa"/>
            <w:shd w:val="pct10" w:color="auto" w:fill="FFFFFF"/>
          </w:tcPr>
          <w:p>
            <w:pPr>
              <w:pStyle w:val="40"/>
              <w:rPr>
                <w:b/>
                <w:sz w:val="16"/>
              </w:rPr>
            </w:pPr>
            <w:r>
              <w:rPr>
                <w:b/>
                <w:sz w:val="16"/>
              </w:rPr>
              <w:t>Cat</w:t>
            </w:r>
          </w:p>
        </w:tc>
        <w:tc>
          <w:tcPr>
            <w:tcW w:w="4962" w:type="dxa"/>
            <w:shd w:val="pct10" w:color="auto" w:fill="FFFFFF"/>
          </w:tcPr>
          <w:p>
            <w:pPr>
              <w:pStyle w:val="40"/>
              <w:rPr>
                <w:b/>
                <w:sz w:val="16"/>
              </w:rPr>
            </w:pPr>
            <w:r>
              <w:rPr>
                <w:b/>
                <w:sz w:val="16"/>
              </w:rPr>
              <w:t>Subject/Comment</w:t>
            </w:r>
          </w:p>
        </w:tc>
        <w:tc>
          <w:tcPr>
            <w:tcW w:w="708" w:type="dxa"/>
            <w:shd w:val="pct10" w:color="auto" w:fill="FFFFFF"/>
          </w:tcPr>
          <w:p>
            <w:pPr>
              <w:pStyle w:val="40"/>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00" w:type="dxa"/>
            <w:shd w:val="solid" w:color="FFFFFF" w:fill="auto"/>
          </w:tcPr>
          <w:p>
            <w:pPr>
              <w:pStyle w:val="40"/>
              <w:rPr>
                <w:sz w:val="16"/>
              </w:rPr>
            </w:pPr>
            <w:r>
              <w:rPr>
                <w:sz w:val="16"/>
              </w:rPr>
              <w:t>202</w:t>
            </w:r>
            <w:r>
              <w:rPr>
                <w:sz w:val="16"/>
                <w:lang w:val="en-US"/>
              </w:rPr>
              <w:t>2</w:t>
            </w:r>
            <w:r>
              <w:rPr>
                <w:sz w:val="16"/>
              </w:rPr>
              <w:t>-</w:t>
            </w:r>
            <w:r>
              <w:rPr>
                <w:sz w:val="16"/>
                <w:lang w:val="en-US"/>
              </w:rPr>
              <w:t>2</w:t>
            </w:r>
          </w:p>
        </w:tc>
        <w:tc>
          <w:tcPr>
            <w:tcW w:w="1137" w:type="dxa"/>
            <w:shd w:val="solid" w:color="FFFFFF" w:fill="auto"/>
          </w:tcPr>
          <w:p>
            <w:pPr>
              <w:pStyle w:val="40"/>
              <w:rPr>
                <w:sz w:val="16"/>
              </w:rPr>
            </w:pPr>
            <w:r>
              <w:rPr>
                <w:sz w:val="16"/>
              </w:rPr>
              <w:t>RAN5#9</w:t>
            </w:r>
            <w:r>
              <w:rPr>
                <w:sz w:val="16"/>
                <w:lang w:val="en-US"/>
              </w:rPr>
              <w:t>4</w:t>
            </w:r>
            <w:r>
              <w:rPr>
                <w:sz w:val="16"/>
              </w:rPr>
              <w:t>-e</w:t>
            </w:r>
          </w:p>
        </w:tc>
        <w:tc>
          <w:tcPr>
            <w:tcW w:w="1094" w:type="dxa"/>
            <w:shd w:val="solid" w:color="FFFFFF" w:fill="auto"/>
          </w:tcPr>
          <w:p>
            <w:pPr>
              <w:pStyle w:val="40"/>
              <w:rPr>
                <w:sz w:val="16"/>
                <w:highlight w:val="yellow"/>
                <w:lang w:val="en-US"/>
              </w:rPr>
            </w:pPr>
            <w:bookmarkStart w:id="135" w:name="_GoBack"/>
            <w:r>
              <w:rPr>
                <w:highlight w:val="none"/>
                <w:shd w:val="clear" w:fill="FFC000"/>
                <w:lang w:val="en-US"/>
              </w:rPr>
              <w:t>[R5-22</w:t>
            </w:r>
            <w:r>
              <w:rPr>
                <w:rFonts w:hint="default"/>
                <w:highlight w:val="none"/>
                <w:shd w:val="clear" w:fill="FFC000"/>
                <w:lang w:val="en-US"/>
              </w:rPr>
              <w:t>1398</w:t>
            </w:r>
            <w:r>
              <w:rPr>
                <w:highlight w:val="none"/>
                <w:shd w:val="clear" w:fill="FFC000"/>
                <w:lang w:val="en-US"/>
              </w:rPr>
              <w:t>]</w:t>
            </w:r>
            <w:bookmarkEnd w:id="135"/>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962" w:type="dxa"/>
            <w:shd w:val="solid" w:color="FFFFFF" w:fill="auto"/>
          </w:tcPr>
          <w:p>
            <w:pPr>
              <w:pStyle w:val="40"/>
              <w:rPr>
                <w:sz w:val="16"/>
              </w:rPr>
            </w:pPr>
            <w:r>
              <w:rPr>
                <w:sz w:val="16"/>
              </w:rPr>
              <w:t>First version</w:t>
            </w:r>
          </w:p>
        </w:tc>
        <w:tc>
          <w:tcPr>
            <w:tcW w:w="708" w:type="dxa"/>
            <w:shd w:val="solid" w:color="FFFFFF" w:fill="auto"/>
          </w:tcPr>
          <w:p>
            <w:pPr>
              <w:pStyle w:val="42"/>
              <w:rPr>
                <w:sz w:val="16"/>
                <w:szCs w:val="16"/>
              </w:rPr>
            </w:pPr>
            <w:r>
              <w:rPr>
                <w:sz w:val="16"/>
                <w:szCs w:val="16"/>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bl>
    <w:p/>
    <w:sectPr>
      <w:footnotePr>
        <w:numRestart w:val="eachSect"/>
      </w:footnotePr>
      <w:pgSz w:w="11907" w:h="16840"/>
      <w:pgMar w:top="1416" w:right="1133" w:bottom="1133"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19E52"/>
    <w:multiLevelType w:val="singleLevel"/>
    <w:tmpl w:val="9F919E52"/>
    <w:lvl w:ilvl="0" w:tentative="0">
      <w:start w:val="1"/>
      <w:numFmt w:val="decimal"/>
      <w:lvlText w:val="%1."/>
      <w:lvlJc w:val="left"/>
    </w:lvl>
  </w:abstractNum>
  <w:abstractNum w:abstractNumId="1">
    <w:nsid w:val="0119533D"/>
    <w:multiLevelType w:val="multilevel"/>
    <w:tmpl w:val="0119533D"/>
    <w:lvl w:ilvl="0" w:tentative="0">
      <w:start w:val="4"/>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D4C45F0"/>
    <w:multiLevelType w:val="singleLevel"/>
    <w:tmpl w:val="0D4C45F0"/>
    <w:lvl w:ilvl="0" w:tentative="0">
      <w:start w:val="1"/>
      <w:numFmt w:val="decimal"/>
      <w:lvlText w:val="%1."/>
      <w:lvlJc w:val="left"/>
    </w:lvl>
  </w:abstractNum>
  <w:abstractNum w:abstractNumId="3">
    <w:nsid w:val="66ADFBCC"/>
    <w:multiLevelType w:val="singleLevel"/>
    <w:tmpl w:val="66ADFBCC"/>
    <w:lvl w:ilvl="0" w:tentative="0">
      <w:start w:val="1"/>
      <w:numFmt w:val="decimal"/>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30E"/>
    <w:rsid w:val="00003573"/>
    <w:rsid w:val="00016781"/>
    <w:rsid w:val="000200D6"/>
    <w:rsid w:val="00020FC1"/>
    <w:rsid w:val="00030184"/>
    <w:rsid w:val="00033397"/>
    <w:rsid w:val="000336C0"/>
    <w:rsid w:val="00034240"/>
    <w:rsid w:val="00040095"/>
    <w:rsid w:val="00043C81"/>
    <w:rsid w:val="00044A47"/>
    <w:rsid w:val="000511DF"/>
    <w:rsid w:val="00051834"/>
    <w:rsid w:val="00051E7D"/>
    <w:rsid w:val="00053686"/>
    <w:rsid w:val="00054A22"/>
    <w:rsid w:val="00056C8A"/>
    <w:rsid w:val="00057D1D"/>
    <w:rsid w:val="00060A95"/>
    <w:rsid w:val="00062023"/>
    <w:rsid w:val="000633ED"/>
    <w:rsid w:val="00063EBB"/>
    <w:rsid w:val="0006545F"/>
    <w:rsid w:val="000655A6"/>
    <w:rsid w:val="000678DA"/>
    <w:rsid w:val="0007358F"/>
    <w:rsid w:val="00074309"/>
    <w:rsid w:val="00074D1B"/>
    <w:rsid w:val="00074E25"/>
    <w:rsid w:val="0007773C"/>
    <w:rsid w:val="00080353"/>
    <w:rsid w:val="00080512"/>
    <w:rsid w:val="00081301"/>
    <w:rsid w:val="00082220"/>
    <w:rsid w:val="00084C6F"/>
    <w:rsid w:val="00086307"/>
    <w:rsid w:val="00086DD9"/>
    <w:rsid w:val="0009054D"/>
    <w:rsid w:val="00091D02"/>
    <w:rsid w:val="0009659F"/>
    <w:rsid w:val="000A2118"/>
    <w:rsid w:val="000A7B46"/>
    <w:rsid w:val="000B012E"/>
    <w:rsid w:val="000B26BD"/>
    <w:rsid w:val="000C47C3"/>
    <w:rsid w:val="000D58AB"/>
    <w:rsid w:val="000E05F7"/>
    <w:rsid w:val="000E5CAF"/>
    <w:rsid w:val="000E6C4F"/>
    <w:rsid w:val="000F22B7"/>
    <w:rsid w:val="000F4243"/>
    <w:rsid w:val="000F7B6F"/>
    <w:rsid w:val="0010544B"/>
    <w:rsid w:val="0010743E"/>
    <w:rsid w:val="00124410"/>
    <w:rsid w:val="00126D97"/>
    <w:rsid w:val="00130E07"/>
    <w:rsid w:val="00133525"/>
    <w:rsid w:val="001344A4"/>
    <w:rsid w:val="00137842"/>
    <w:rsid w:val="00143C73"/>
    <w:rsid w:val="00143F67"/>
    <w:rsid w:val="001541B4"/>
    <w:rsid w:val="001543AA"/>
    <w:rsid w:val="00154700"/>
    <w:rsid w:val="00157316"/>
    <w:rsid w:val="0016115B"/>
    <w:rsid w:val="001613B7"/>
    <w:rsid w:val="0017112F"/>
    <w:rsid w:val="00173912"/>
    <w:rsid w:val="00175BFF"/>
    <w:rsid w:val="00176CAD"/>
    <w:rsid w:val="00177AAF"/>
    <w:rsid w:val="00184536"/>
    <w:rsid w:val="00185DA0"/>
    <w:rsid w:val="0018622C"/>
    <w:rsid w:val="001964BD"/>
    <w:rsid w:val="00196AB9"/>
    <w:rsid w:val="001A10E4"/>
    <w:rsid w:val="001A3EE7"/>
    <w:rsid w:val="001A4C42"/>
    <w:rsid w:val="001A7420"/>
    <w:rsid w:val="001A7448"/>
    <w:rsid w:val="001B1E21"/>
    <w:rsid w:val="001B3186"/>
    <w:rsid w:val="001B37C0"/>
    <w:rsid w:val="001B6637"/>
    <w:rsid w:val="001C21C3"/>
    <w:rsid w:val="001D02C2"/>
    <w:rsid w:val="001D19CB"/>
    <w:rsid w:val="001D4652"/>
    <w:rsid w:val="001D553D"/>
    <w:rsid w:val="001D6106"/>
    <w:rsid w:val="001D67E6"/>
    <w:rsid w:val="001E3CFC"/>
    <w:rsid w:val="001F0C1D"/>
    <w:rsid w:val="001F1132"/>
    <w:rsid w:val="001F168B"/>
    <w:rsid w:val="001F2424"/>
    <w:rsid w:val="001F4375"/>
    <w:rsid w:val="001F48BD"/>
    <w:rsid w:val="001F5086"/>
    <w:rsid w:val="001F6FD4"/>
    <w:rsid w:val="00202D6D"/>
    <w:rsid w:val="0021164B"/>
    <w:rsid w:val="00212259"/>
    <w:rsid w:val="0022028A"/>
    <w:rsid w:val="002209ED"/>
    <w:rsid w:val="00222BE6"/>
    <w:rsid w:val="002264FA"/>
    <w:rsid w:val="002304E4"/>
    <w:rsid w:val="002314C3"/>
    <w:rsid w:val="00234557"/>
    <w:rsid w:val="002347A2"/>
    <w:rsid w:val="00234B50"/>
    <w:rsid w:val="002363C0"/>
    <w:rsid w:val="00240355"/>
    <w:rsid w:val="00243170"/>
    <w:rsid w:val="002444F5"/>
    <w:rsid w:val="00250771"/>
    <w:rsid w:val="00251C61"/>
    <w:rsid w:val="00252211"/>
    <w:rsid w:val="0025493F"/>
    <w:rsid w:val="00255CBA"/>
    <w:rsid w:val="002611DD"/>
    <w:rsid w:val="00261AE3"/>
    <w:rsid w:val="002622C7"/>
    <w:rsid w:val="002675F0"/>
    <w:rsid w:val="00270317"/>
    <w:rsid w:val="002731FF"/>
    <w:rsid w:val="00276822"/>
    <w:rsid w:val="00280E68"/>
    <w:rsid w:val="00283494"/>
    <w:rsid w:val="00286D3C"/>
    <w:rsid w:val="00287D36"/>
    <w:rsid w:val="002951D2"/>
    <w:rsid w:val="00296983"/>
    <w:rsid w:val="002A08E0"/>
    <w:rsid w:val="002A4556"/>
    <w:rsid w:val="002A7DF4"/>
    <w:rsid w:val="002B1328"/>
    <w:rsid w:val="002B3CE7"/>
    <w:rsid w:val="002B4651"/>
    <w:rsid w:val="002B6339"/>
    <w:rsid w:val="002D3DF1"/>
    <w:rsid w:val="002D40C8"/>
    <w:rsid w:val="002E00EE"/>
    <w:rsid w:val="002E0E1E"/>
    <w:rsid w:val="002E2277"/>
    <w:rsid w:val="002E7CAD"/>
    <w:rsid w:val="002F26AC"/>
    <w:rsid w:val="002F3D79"/>
    <w:rsid w:val="002F678F"/>
    <w:rsid w:val="00315CB9"/>
    <w:rsid w:val="003172DC"/>
    <w:rsid w:val="00326E5C"/>
    <w:rsid w:val="00330524"/>
    <w:rsid w:val="00334B83"/>
    <w:rsid w:val="0034286F"/>
    <w:rsid w:val="003511BA"/>
    <w:rsid w:val="0035355D"/>
    <w:rsid w:val="00353EA6"/>
    <w:rsid w:val="003541E9"/>
    <w:rsid w:val="0035462D"/>
    <w:rsid w:val="00354F89"/>
    <w:rsid w:val="0035595D"/>
    <w:rsid w:val="0036182C"/>
    <w:rsid w:val="0036507F"/>
    <w:rsid w:val="00366C19"/>
    <w:rsid w:val="003765B8"/>
    <w:rsid w:val="003803A0"/>
    <w:rsid w:val="00387291"/>
    <w:rsid w:val="00387B4A"/>
    <w:rsid w:val="0039118B"/>
    <w:rsid w:val="0039400C"/>
    <w:rsid w:val="00394A11"/>
    <w:rsid w:val="003A176A"/>
    <w:rsid w:val="003C3971"/>
    <w:rsid w:val="003C6B9E"/>
    <w:rsid w:val="003D5DAE"/>
    <w:rsid w:val="003E0A93"/>
    <w:rsid w:val="003E51CE"/>
    <w:rsid w:val="003F6F99"/>
    <w:rsid w:val="00401D27"/>
    <w:rsid w:val="00403856"/>
    <w:rsid w:val="00412979"/>
    <w:rsid w:val="00414127"/>
    <w:rsid w:val="00423334"/>
    <w:rsid w:val="004247CD"/>
    <w:rsid w:val="004274B7"/>
    <w:rsid w:val="00432083"/>
    <w:rsid w:val="004345EC"/>
    <w:rsid w:val="00436DC9"/>
    <w:rsid w:val="004458DF"/>
    <w:rsid w:val="00453124"/>
    <w:rsid w:val="00453FAE"/>
    <w:rsid w:val="00456526"/>
    <w:rsid w:val="00456C23"/>
    <w:rsid w:val="00456F92"/>
    <w:rsid w:val="00457A2E"/>
    <w:rsid w:val="00460F21"/>
    <w:rsid w:val="0046277B"/>
    <w:rsid w:val="00465515"/>
    <w:rsid w:val="00467C72"/>
    <w:rsid w:val="00486D7B"/>
    <w:rsid w:val="00494A6C"/>
    <w:rsid w:val="00496665"/>
    <w:rsid w:val="004A0AA3"/>
    <w:rsid w:val="004A139E"/>
    <w:rsid w:val="004A7D64"/>
    <w:rsid w:val="004A7E2A"/>
    <w:rsid w:val="004B4BCF"/>
    <w:rsid w:val="004C5DB5"/>
    <w:rsid w:val="004D3578"/>
    <w:rsid w:val="004D4E25"/>
    <w:rsid w:val="004D50B2"/>
    <w:rsid w:val="004D53F8"/>
    <w:rsid w:val="004D6014"/>
    <w:rsid w:val="004E213A"/>
    <w:rsid w:val="004E46D9"/>
    <w:rsid w:val="004E54EC"/>
    <w:rsid w:val="004E668D"/>
    <w:rsid w:val="004F0988"/>
    <w:rsid w:val="004F104C"/>
    <w:rsid w:val="004F3340"/>
    <w:rsid w:val="004F7083"/>
    <w:rsid w:val="0050148F"/>
    <w:rsid w:val="00501B78"/>
    <w:rsid w:val="0051532A"/>
    <w:rsid w:val="0052362A"/>
    <w:rsid w:val="005258BB"/>
    <w:rsid w:val="0053388B"/>
    <w:rsid w:val="00535773"/>
    <w:rsid w:val="0054067F"/>
    <w:rsid w:val="00542161"/>
    <w:rsid w:val="0054311C"/>
    <w:rsid w:val="00543E6C"/>
    <w:rsid w:val="00556910"/>
    <w:rsid w:val="005569BB"/>
    <w:rsid w:val="00556CBC"/>
    <w:rsid w:val="00561ECD"/>
    <w:rsid w:val="00565087"/>
    <w:rsid w:val="00565464"/>
    <w:rsid w:val="00567008"/>
    <w:rsid w:val="00574EDA"/>
    <w:rsid w:val="00575387"/>
    <w:rsid w:val="00577C3D"/>
    <w:rsid w:val="0058589D"/>
    <w:rsid w:val="00597B11"/>
    <w:rsid w:val="005A776F"/>
    <w:rsid w:val="005B7396"/>
    <w:rsid w:val="005D2E01"/>
    <w:rsid w:val="005D6B41"/>
    <w:rsid w:val="005D7526"/>
    <w:rsid w:val="005E160B"/>
    <w:rsid w:val="005E4BB2"/>
    <w:rsid w:val="005F0B33"/>
    <w:rsid w:val="005F32EA"/>
    <w:rsid w:val="005F4058"/>
    <w:rsid w:val="005F7641"/>
    <w:rsid w:val="00601E81"/>
    <w:rsid w:val="00601EA8"/>
    <w:rsid w:val="00602AEA"/>
    <w:rsid w:val="006048D8"/>
    <w:rsid w:val="006049D9"/>
    <w:rsid w:val="0060511F"/>
    <w:rsid w:val="0060528E"/>
    <w:rsid w:val="006059BE"/>
    <w:rsid w:val="00610B1D"/>
    <w:rsid w:val="00610BC2"/>
    <w:rsid w:val="006136F7"/>
    <w:rsid w:val="00614FDF"/>
    <w:rsid w:val="00616085"/>
    <w:rsid w:val="006177F6"/>
    <w:rsid w:val="00620173"/>
    <w:rsid w:val="00623DD5"/>
    <w:rsid w:val="00631E30"/>
    <w:rsid w:val="00633FB1"/>
    <w:rsid w:val="0063543D"/>
    <w:rsid w:val="0064001F"/>
    <w:rsid w:val="00641D9E"/>
    <w:rsid w:val="00647114"/>
    <w:rsid w:val="00650A2F"/>
    <w:rsid w:val="006526B2"/>
    <w:rsid w:val="00655023"/>
    <w:rsid w:val="00657960"/>
    <w:rsid w:val="00666CC7"/>
    <w:rsid w:val="006721E1"/>
    <w:rsid w:val="00676268"/>
    <w:rsid w:val="00681601"/>
    <w:rsid w:val="00681B11"/>
    <w:rsid w:val="0068367C"/>
    <w:rsid w:val="00693E4D"/>
    <w:rsid w:val="00697B67"/>
    <w:rsid w:val="006A14C9"/>
    <w:rsid w:val="006A323F"/>
    <w:rsid w:val="006A753B"/>
    <w:rsid w:val="006B0C4F"/>
    <w:rsid w:val="006B30D0"/>
    <w:rsid w:val="006B417B"/>
    <w:rsid w:val="006B59D3"/>
    <w:rsid w:val="006C36E1"/>
    <w:rsid w:val="006C3D95"/>
    <w:rsid w:val="006C47C4"/>
    <w:rsid w:val="006C537B"/>
    <w:rsid w:val="006C7F08"/>
    <w:rsid w:val="006D3AE4"/>
    <w:rsid w:val="006D6772"/>
    <w:rsid w:val="006D7C83"/>
    <w:rsid w:val="006E0983"/>
    <w:rsid w:val="006E1351"/>
    <w:rsid w:val="006E5C86"/>
    <w:rsid w:val="006E5E0A"/>
    <w:rsid w:val="006E6E48"/>
    <w:rsid w:val="006E72FE"/>
    <w:rsid w:val="006F12B4"/>
    <w:rsid w:val="006F1944"/>
    <w:rsid w:val="006F5C48"/>
    <w:rsid w:val="00701116"/>
    <w:rsid w:val="00704622"/>
    <w:rsid w:val="00713C44"/>
    <w:rsid w:val="00714DDF"/>
    <w:rsid w:val="00726D9F"/>
    <w:rsid w:val="00734A5B"/>
    <w:rsid w:val="0073638D"/>
    <w:rsid w:val="00737D97"/>
    <w:rsid w:val="0074026F"/>
    <w:rsid w:val="007407E1"/>
    <w:rsid w:val="007429F6"/>
    <w:rsid w:val="00743004"/>
    <w:rsid w:val="00744E76"/>
    <w:rsid w:val="007451F1"/>
    <w:rsid w:val="0074631E"/>
    <w:rsid w:val="00750144"/>
    <w:rsid w:val="0075312E"/>
    <w:rsid w:val="00755D2B"/>
    <w:rsid w:val="00761937"/>
    <w:rsid w:val="007633F8"/>
    <w:rsid w:val="007739F2"/>
    <w:rsid w:val="00774DA4"/>
    <w:rsid w:val="00781F0F"/>
    <w:rsid w:val="00787CD2"/>
    <w:rsid w:val="00796646"/>
    <w:rsid w:val="007A54F7"/>
    <w:rsid w:val="007A598F"/>
    <w:rsid w:val="007B1948"/>
    <w:rsid w:val="007B19A7"/>
    <w:rsid w:val="007B600E"/>
    <w:rsid w:val="007B6633"/>
    <w:rsid w:val="007C56B1"/>
    <w:rsid w:val="007D7031"/>
    <w:rsid w:val="007E09C9"/>
    <w:rsid w:val="007E416B"/>
    <w:rsid w:val="007E422A"/>
    <w:rsid w:val="007E4BED"/>
    <w:rsid w:val="007E60AB"/>
    <w:rsid w:val="007F0F4A"/>
    <w:rsid w:val="007F5459"/>
    <w:rsid w:val="008028A4"/>
    <w:rsid w:val="00803D1D"/>
    <w:rsid w:val="00816E46"/>
    <w:rsid w:val="0082137C"/>
    <w:rsid w:val="00822184"/>
    <w:rsid w:val="00823C06"/>
    <w:rsid w:val="00824975"/>
    <w:rsid w:val="0082563E"/>
    <w:rsid w:val="00830747"/>
    <w:rsid w:val="008324E6"/>
    <w:rsid w:val="00832974"/>
    <w:rsid w:val="00835EAB"/>
    <w:rsid w:val="00842F5B"/>
    <w:rsid w:val="00843AE1"/>
    <w:rsid w:val="00846157"/>
    <w:rsid w:val="0084794D"/>
    <w:rsid w:val="00861802"/>
    <w:rsid w:val="0086536E"/>
    <w:rsid w:val="00867D68"/>
    <w:rsid w:val="00873879"/>
    <w:rsid w:val="00873F6A"/>
    <w:rsid w:val="00874928"/>
    <w:rsid w:val="0087605F"/>
    <w:rsid w:val="008768CA"/>
    <w:rsid w:val="00887FB7"/>
    <w:rsid w:val="00891030"/>
    <w:rsid w:val="00891858"/>
    <w:rsid w:val="00891986"/>
    <w:rsid w:val="00893EAD"/>
    <w:rsid w:val="008A2A8F"/>
    <w:rsid w:val="008A2FA8"/>
    <w:rsid w:val="008B0004"/>
    <w:rsid w:val="008B1BC1"/>
    <w:rsid w:val="008B2358"/>
    <w:rsid w:val="008B2823"/>
    <w:rsid w:val="008B2BB2"/>
    <w:rsid w:val="008B3D93"/>
    <w:rsid w:val="008C2C50"/>
    <w:rsid w:val="008C384C"/>
    <w:rsid w:val="008C6561"/>
    <w:rsid w:val="008D346A"/>
    <w:rsid w:val="008D6175"/>
    <w:rsid w:val="008E2411"/>
    <w:rsid w:val="008E429B"/>
    <w:rsid w:val="008F3486"/>
    <w:rsid w:val="0090271F"/>
    <w:rsid w:val="00902E23"/>
    <w:rsid w:val="00903643"/>
    <w:rsid w:val="009114D7"/>
    <w:rsid w:val="0091348E"/>
    <w:rsid w:val="00917CCB"/>
    <w:rsid w:val="009221D6"/>
    <w:rsid w:val="009300DC"/>
    <w:rsid w:val="00932AE3"/>
    <w:rsid w:val="0093351A"/>
    <w:rsid w:val="0093397E"/>
    <w:rsid w:val="00940D89"/>
    <w:rsid w:val="009412BC"/>
    <w:rsid w:val="00942EC2"/>
    <w:rsid w:val="009436C1"/>
    <w:rsid w:val="00943783"/>
    <w:rsid w:val="00947E63"/>
    <w:rsid w:val="00950EF6"/>
    <w:rsid w:val="009523A5"/>
    <w:rsid w:val="00962630"/>
    <w:rsid w:val="00967585"/>
    <w:rsid w:val="00967D2B"/>
    <w:rsid w:val="00974D57"/>
    <w:rsid w:val="00974E3A"/>
    <w:rsid w:val="009750EB"/>
    <w:rsid w:val="00975D30"/>
    <w:rsid w:val="00976A55"/>
    <w:rsid w:val="00980E9E"/>
    <w:rsid w:val="009813D2"/>
    <w:rsid w:val="00986E03"/>
    <w:rsid w:val="00991FBF"/>
    <w:rsid w:val="009A2095"/>
    <w:rsid w:val="009A2338"/>
    <w:rsid w:val="009B43B2"/>
    <w:rsid w:val="009B6D33"/>
    <w:rsid w:val="009B7CFA"/>
    <w:rsid w:val="009C09DA"/>
    <w:rsid w:val="009C48B2"/>
    <w:rsid w:val="009D29CC"/>
    <w:rsid w:val="009D5DFD"/>
    <w:rsid w:val="009E25A6"/>
    <w:rsid w:val="009E364F"/>
    <w:rsid w:val="009F2558"/>
    <w:rsid w:val="009F37B7"/>
    <w:rsid w:val="009F3C8D"/>
    <w:rsid w:val="009F45C0"/>
    <w:rsid w:val="009F7CAF"/>
    <w:rsid w:val="00A035FE"/>
    <w:rsid w:val="00A049DD"/>
    <w:rsid w:val="00A10F02"/>
    <w:rsid w:val="00A10FC5"/>
    <w:rsid w:val="00A11E39"/>
    <w:rsid w:val="00A14444"/>
    <w:rsid w:val="00A15A39"/>
    <w:rsid w:val="00A164B4"/>
    <w:rsid w:val="00A26956"/>
    <w:rsid w:val="00A27486"/>
    <w:rsid w:val="00A322B0"/>
    <w:rsid w:val="00A34E6F"/>
    <w:rsid w:val="00A50EC2"/>
    <w:rsid w:val="00A517AE"/>
    <w:rsid w:val="00A5249D"/>
    <w:rsid w:val="00A53724"/>
    <w:rsid w:val="00A55429"/>
    <w:rsid w:val="00A56066"/>
    <w:rsid w:val="00A6458F"/>
    <w:rsid w:val="00A677CC"/>
    <w:rsid w:val="00A71748"/>
    <w:rsid w:val="00A73129"/>
    <w:rsid w:val="00A73A3B"/>
    <w:rsid w:val="00A74CAC"/>
    <w:rsid w:val="00A76332"/>
    <w:rsid w:val="00A77063"/>
    <w:rsid w:val="00A82346"/>
    <w:rsid w:val="00A839FA"/>
    <w:rsid w:val="00A907A1"/>
    <w:rsid w:val="00A90A69"/>
    <w:rsid w:val="00A92BA1"/>
    <w:rsid w:val="00A950FC"/>
    <w:rsid w:val="00A95FDB"/>
    <w:rsid w:val="00A96ED5"/>
    <w:rsid w:val="00A976BB"/>
    <w:rsid w:val="00AA27CC"/>
    <w:rsid w:val="00AA2F8F"/>
    <w:rsid w:val="00AA46CE"/>
    <w:rsid w:val="00AB0303"/>
    <w:rsid w:val="00AB13B9"/>
    <w:rsid w:val="00AB584C"/>
    <w:rsid w:val="00AC122B"/>
    <w:rsid w:val="00AC67E6"/>
    <w:rsid w:val="00AC6BC6"/>
    <w:rsid w:val="00AC6F69"/>
    <w:rsid w:val="00AE0266"/>
    <w:rsid w:val="00AE0991"/>
    <w:rsid w:val="00AE65E2"/>
    <w:rsid w:val="00AE773B"/>
    <w:rsid w:val="00AF6FCC"/>
    <w:rsid w:val="00AF7E37"/>
    <w:rsid w:val="00B004AC"/>
    <w:rsid w:val="00B0559B"/>
    <w:rsid w:val="00B07955"/>
    <w:rsid w:val="00B15449"/>
    <w:rsid w:val="00B22ECA"/>
    <w:rsid w:val="00B27CB4"/>
    <w:rsid w:val="00B27EE5"/>
    <w:rsid w:val="00B30F8B"/>
    <w:rsid w:val="00B338A1"/>
    <w:rsid w:val="00B40B9D"/>
    <w:rsid w:val="00B416D3"/>
    <w:rsid w:val="00B41961"/>
    <w:rsid w:val="00B4514F"/>
    <w:rsid w:val="00B459E4"/>
    <w:rsid w:val="00B46301"/>
    <w:rsid w:val="00B501FF"/>
    <w:rsid w:val="00B51643"/>
    <w:rsid w:val="00B54AE7"/>
    <w:rsid w:val="00B5792E"/>
    <w:rsid w:val="00B57DDB"/>
    <w:rsid w:val="00B607BB"/>
    <w:rsid w:val="00B61578"/>
    <w:rsid w:val="00B61EDE"/>
    <w:rsid w:val="00B644F7"/>
    <w:rsid w:val="00B72DA0"/>
    <w:rsid w:val="00B81F83"/>
    <w:rsid w:val="00B8481D"/>
    <w:rsid w:val="00B93086"/>
    <w:rsid w:val="00BA19ED"/>
    <w:rsid w:val="00BA4B8D"/>
    <w:rsid w:val="00BB0D02"/>
    <w:rsid w:val="00BB11A8"/>
    <w:rsid w:val="00BB3D50"/>
    <w:rsid w:val="00BC0164"/>
    <w:rsid w:val="00BC0754"/>
    <w:rsid w:val="00BC0F7D"/>
    <w:rsid w:val="00BD21EA"/>
    <w:rsid w:val="00BD44EC"/>
    <w:rsid w:val="00BD7D31"/>
    <w:rsid w:val="00BE3255"/>
    <w:rsid w:val="00BE5C39"/>
    <w:rsid w:val="00BE60AC"/>
    <w:rsid w:val="00BE6C80"/>
    <w:rsid w:val="00BE7010"/>
    <w:rsid w:val="00BF0073"/>
    <w:rsid w:val="00BF128E"/>
    <w:rsid w:val="00BF1AA1"/>
    <w:rsid w:val="00BF1BF3"/>
    <w:rsid w:val="00C03E2E"/>
    <w:rsid w:val="00C04D51"/>
    <w:rsid w:val="00C0671F"/>
    <w:rsid w:val="00C074DD"/>
    <w:rsid w:val="00C1496A"/>
    <w:rsid w:val="00C22040"/>
    <w:rsid w:val="00C22EE4"/>
    <w:rsid w:val="00C33079"/>
    <w:rsid w:val="00C35CA4"/>
    <w:rsid w:val="00C45231"/>
    <w:rsid w:val="00C50973"/>
    <w:rsid w:val="00C571E2"/>
    <w:rsid w:val="00C708F3"/>
    <w:rsid w:val="00C71D24"/>
    <w:rsid w:val="00C72833"/>
    <w:rsid w:val="00C7324D"/>
    <w:rsid w:val="00C74DA3"/>
    <w:rsid w:val="00C77662"/>
    <w:rsid w:val="00C80F1D"/>
    <w:rsid w:val="00C81F71"/>
    <w:rsid w:val="00C82DBE"/>
    <w:rsid w:val="00C83E99"/>
    <w:rsid w:val="00C855B8"/>
    <w:rsid w:val="00C85A19"/>
    <w:rsid w:val="00C85B12"/>
    <w:rsid w:val="00C9068B"/>
    <w:rsid w:val="00C93F40"/>
    <w:rsid w:val="00C957E2"/>
    <w:rsid w:val="00C96381"/>
    <w:rsid w:val="00CA1772"/>
    <w:rsid w:val="00CA3D0C"/>
    <w:rsid w:val="00CA5B61"/>
    <w:rsid w:val="00CA692C"/>
    <w:rsid w:val="00CB2485"/>
    <w:rsid w:val="00CC09D1"/>
    <w:rsid w:val="00CC6518"/>
    <w:rsid w:val="00CC6C55"/>
    <w:rsid w:val="00CD4ADD"/>
    <w:rsid w:val="00CD6554"/>
    <w:rsid w:val="00CD7D55"/>
    <w:rsid w:val="00CE40A8"/>
    <w:rsid w:val="00CF0724"/>
    <w:rsid w:val="00CF3710"/>
    <w:rsid w:val="00CF4EB4"/>
    <w:rsid w:val="00D004DF"/>
    <w:rsid w:val="00D020B1"/>
    <w:rsid w:val="00D0453C"/>
    <w:rsid w:val="00D077B8"/>
    <w:rsid w:val="00D12676"/>
    <w:rsid w:val="00D13542"/>
    <w:rsid w:val="00D24950"/>
    <w:rsid w:val="00D32541"/>
    <w:rsid w:val="00D35298"/>
    <w:rsid w:val="00D41E31"/>
    <w:rsid w:val="00D4664A"/>
    <w:rsid w:val="00D528B8"/>
    <w:rsid w:val="00D55490"/>
    <w:rsid w:val="00D5772E"/>
    <w:rsid w:val="00D57972"/>
    <w:rsid w:val="00D655B8"/>
    <w:rsid w:val="00D66FDF"/>
    <w:rsid w:val="00D675A9"/>
    <w:rsid w:val="00D67B9F"/>
    <w:rsid w:val="00D70504"/>
    <w:rsid w:val="00D738D6"/>
    <w:rsid w:val="00D755EB"/>
    <w:rsid w:val="00D76048"/>
    <w:rsid w:val="00D8058B"/>
    <w:rsid w:val="00D820D8"/>
    <w:rsid w:val="00D87E00"/>
    <w:rsid w:val="00D90B39"/>
    <w:rsid w:val="00D9134D"/>
    <w:rsid w:val="00D95889"/>
    <w:rsid w:val="00D95DBD"/>
    <w:rsid w:val="00D9613D"/>
    <w:rsid w:val="00D96CED"/>
    <w:rsid w:val="00D96D72"/>
    <w:rsid w:val="00D97187"/>
    <w:rsid w:val="00DA119B"/>
    <w:rsid w:val="00DA7A03"/>
    <w:rsid w:val="00DB1818"/>
    <w:rsid w:val="00DC056E"/>
    <w:rsid w:val="00DC309B"/>
    <w:rsid w:val="00DC4BC7"/>
    <w:rsid w:val="00DC4DA2"/>
    <w:rsid w:val="00DC4E29"/>
    <w:rsid w:val="00DC4EBD"/>
    <w:rsid w:val="00DD265B"/>
    <w:rsid w:val="00DD3C7C"/>
    <w:rsid w:val="00DD4C17"/>
    <w:rsid w:val="00DD74A5"/>
    <w:rsid w:val="00DE571B"/>
    <w:rsid w:val="00DF2B1F"/>
    <w:rsid w:val="00DF384D"/>
    <w:rsid w:val="00DF62CD"/>
    <w:rsid w:val="00DF73C7"/>
    <w:rsid w:val="00E13DDB"/>
    <w:rsid w:val="00E16509"/>
    <w:rsid w:val="00E31FAF"/>
    <w:rsid w:val="00E32812"/>
    <w:rsid w:val="00E36815"/>
    <w:rsid w:val="00E41BFD"/>
    <w:rsid w:val="00E44582"/>
    <w:rsid w:val="00E56BBA"/>
    <w:rsid w:val="00E67375"/>
    <w:rsid w:val="00E748C2"/>
    <w:rsid w:val="00E77645"/>
    <w:rsid w:val="00E80FF3"/>
    <w:rsid w:val="00E8177D"/>
    <w:rsid w:val="00E83BD9"/>
    <w:rsid w:val="00E863FB"/>
    <w:rsid w:val="00E871F8"/>
    <w:rsid w:val="00E913BB"/>
    <w:rsid w:val="00E93926"/>
    <w:rsid w:val="00E93A52"/>
    <w:rsid w:val="00EA1264"/>
    <w:rsid w:val="00EA15B0"/>
    <w:rsid w:val="00EA1AB6"/>
    <w:rsid w:val="00EA5EA7"/>
    <w:rsid w:val="00EB10D2"/>
    <w:rsid w:val="00EC0785"/>
    <w:rsid w:val="00EC07B6"/>
    <w:rsid w:val="00EC38A0"/>
    <w:rsid w:val="00EC4A25"/>
    <w:rsid w:val="00EC686A"/>
    <w:rsid w:val="00EC7DED"/>
    <w:rsid w:val="00ED16D1"/>
    <w:rsid w:val="00EE0518"/>
    <w:rsid w:val="00EE16CF"/>
    <w:rsid w:val="00EE37F5"/>
    <w:rsid w:val="00EF458D"/>
    <w:rsid w:val="00EF54C9"/>
    <w:rsid w:val="00F025A2"/>
    <w:rsid w:val="00F02A12"/>
    <w:rsid w:val="00F04712"/>
    <w:rsid w:val="00F10545"/>
    <w:rsid w:val="00F12426"/>
    <w:rsid w:val="00F13360"/>
    <w:rsid w:val="00F216A9"/>
    <w:rsid w:val="00F2230B"/>
    <w:rsid w:val="00F22EC7"/>
    <w:rsid w:val="00F325C8"/>
    <w:rsid w:val="00F358A0"/>
    <w:rsid w:val="00F36276"/>
    <w:rsid w:val="00F37F6F"/>
    <w:rsid w:val="00F40D14"/>
    <w:rsid w:val="00F426F1"/>
    <w:rsid w:val="00F62A94"/>
    <w:rsid w:val="00F653B8"/>
    <w:rsid w:val="00F72CB6"/>
    <w:rsid w:val="00F735EC"/>
    <w:rsid w:val="00F74A94"/>
    <w:rsid w:val="00F75205"/>
    <w:rsid w:val="00F76D10"/>
    <w:rsid w:val="00F84D8C"/>
    <w:rsid w:val="00F86684"/>
    <w:rsid w:val="00F86891"/>
    <w:rsid w:val="00F874DE"/>
    <w:rsid w:val="00F9008D"/>
    <w:rsid w:val="00F95E45"/>
    <w:rsid w:val="00F96630"/>
    <w:rsid w:val="00FA1266"/>
    <w:rsid w:val="00FA2F22"/>
    <w:rsid w:val="00FA34D1"/>
    <w:rsid w:val="00FA6962"/>
    <w:rsid w:val="00FA7394"/>
    <w:rsid w:val="00FB15E0"/>
    <w:rsid w:val="00FC1192"/>
    <w:rsid w:val="00FC1460"/>
    <w:rsid w:val="00FD4EDE"/>
    <w:rsid w:val="00FF25B6"/>
    <w:rsid w:val="011F510C"/>
    <w:rsid w:val="01AC19E0"/>
    <w:rsid w:val="01F338DE"/>
    <w:rsid w:val="03802ADF"/>
    <w:rsid w:val="048A24AC"/>
    <w:rsid w:val="0490526F"/>
    <w:rsid w:val="053775A5"/>
    <w:rsid w:val="053F1686"/>
    <w:rsid w:val="05C14693"/>
    <w:rsid w:val="0620777C"/>
    <w:rsid w:val="06376F37"/>
    <w:rsid w:val="066130FD"/>
    <w:rsid w:val="06C219AC"/>
    <w:rsid w:val="071B3059"/>
    <w:rsid w:val="07544E51"/>
    <w:rsid w:val="07617291"/>
    <w:rsid w:val="07823B94"/>
    <w:rsid w:val="07A576B3"/>
    <w:rsid w:val="07EC35D0"/>
    <w:rsid w:val="08220A83"/>
    <w:rsid w:val="083E14F9"/>
    <w:rsid w:val="084B611E"/>
    <w:rsid w:val="08D46A62"/>
    <w:rsid w:val="08DE2598"/>
    <w:rsid w:val="09044119"/>
    <w:rsid w:val="091A1756"/>
    <w:rsid w:val="095B51A0"/>
    <w:rsid w:val="099318C0"/>
    <w:rsid w:val="09E458F3"/>
    <w:rsid w:val="0A0D0F18"/>
    <w:rsid w:val="0A107E1D"/>
    <w:rsid w:val="0AE77E36"/>
    <w:rsid w:val="0B285315"/>
    <w:rsid w:val="0B5E1103"/>
    <w:rsid w:val="0B6B0C02"/>
    <w:rsid w:val="0B7A457B"/>
    <w:rsid w:val="0C1D6D77"/>
    <w:rsid w:val="0C697668"/>
    <w:rsid w:val="0CFB2401"/>
    <w:rsid w:val="0D0F06B7"/>
    <w:rsid w:val="0DEF4B25"/>
    <w:rsid w:val="0E5714D5"/>
    <w:rsid w:val="0E8C31F8"/>
    <w:rsid w:val="0EAB3039"/>
    <w:rsid w:val="0EEF6E92"/>
    <w:rsid w:val="0F1D5BAA"/>
    <w:rsid w:val="0F347561"/>
    <w:rsid w:val="0F534ADB"/>
    <w:rsid w:val="0FB261BC"/>
    <w:rsid w:val="1011710D"/>
    <w:rsid w:val="103F31B0"/>
    <w:rsid w:val="109F16F3"/>
    <w:rsid w:val="10BB6B35"/>
    <w:rsid w:val="10E01C0A"/>
    <w:rsid w:val="10EF575C"/>
    <w:rsid w:val="110F618C"/>
    <w:rsid w:val="112E2FF4"/>
    <w:rsid w:val="11DB2048"/>
    <w:rsid w:val="11E27A68"/>
    <w:rsid w:val="120804F2"/>
    <w:rsid w:val="128A25EC"/>
    <w:rsid w:val="12E2616E"/>
    <w:rsid w:val="138131A6"/>
    <w:rsid w:val="13BB5DB0"/>
    <w:rsid w:val="1433781B"/>
    <w:rsid w:val="14501678"/>
    <w:rsid w:val="14BE2B05"/>
    <w:rsid w:val="152C6340"/>
    <w:rsid w:val="15733217"/>
    <w:rsid w:val="15F963D3"/>
    <w:rsid w:val="164F6DF7"/>
    <w:rsid w:val="16DE2138"/>
    <w:rsid w:val="171E5A3F"/>
    <w:rsid w:val="172C4065"/>
    <w:rsid w:val="172C6233"/>
    <w:rsid w:val="17915DBB"/>
    <w:rsid w:val="17A85514"/>
    <w:rsid w:val="17DB1C3B"/>
    <w:rsid w:val="180F640E"/>
    <w:rsid w:val="18293EA3"/>
    <w:rsid w:val="188050D3"/>
    <w:rsid w:val="196C5BA0"/>
    <w:rsid w:val="199F6269"/>
    <w:rsid w:val="19B00AB8"/>
    <w:rsid w:val="1A4B1996"/>
    <w:rsid w:val="1A684228"/>
    <w:rsid w:val="1B427C74"/>
    <w:rsid w:val="1B6A4E7C"/>
    <w:rsid w:val="1BAA3A35"/>
    <w:rsid w:val="1BED3A66"/>
    <w:rsid w:val="1CAF1B81"/>
    <w:rsid w:val="1CD27EE6"/>
    <w:rsid w:val="1CDE72B4"/>
    <w:rsid w:val="1D2C4DE1"/>
    <w:rsid w:val="1D565F66"/>
    <w:rsid w:val="1D8D72C3"/>
    <w:rsid w:val="1DA63610"/>
    <w:rsid w:val="1DC56190"/>
    <w:rsid w:val="1DE40722"/>
    <w:rsid w:val="1DF41F7D"/>
    <w:rsid w:val="1DF5788D"/>
    <w:rsid w:val="1E155D1D"/>
    <w:rsid w:val="1ECA6241"/>
    <w:rsid w:val="1ED351B4"/>
    <w:rsid w:val="1F972949"/>
    <w:rsid w:val="1FE8336C"/>
    <w:rsid w:val="1FFF2CE2"/>
    <w:rsid w:val="20526CD1"/>
    <w:rsid w:val="20E1067A"/>
    <w:rsid w:val="2137030A"/>
    <w:rsid w:val="21563D14"/>
    <w:rsid w:val="218B16B2"/>
    <w:rsid w:val="21B40FFA"/>
    <w:rsid w:val="21F63053"/>
    <w:rsid w:val="221F5E6C"/>
    <w:rsid w:val="22287614"/>
    <w:rsid w:val="22A260B8"/>
    <w:rsid w:val="22AD56E7"/>
    <w:rsid w:val="22F52A61"/>
    <w:rsid w:val="24E62946"/>
    <w:rsid w:val="250D5723"/>
    <w:rsid w:val="2571061E"/>
    <w:rsid w:val="25862E04"/>
    <w:rsid w:val="25A100EB"/>
    <w:rsid w:val="25D73E71"/>
    <w:rsid w:val="25FD2E5E"/>
    <w:rsid w:val="26752D47"/>
    <w:rsid w:val="26954EE2"/>
    <w:rsid w:val="27BE4120"/>
    <w:rsid w:val="27E358EE"/>
    <w:rsid w:val="280010C7"/>
    <w:rsid w:val="28341D30"/>
    <w:rsid w:val="283C1D56"/>
    <w:rsid w:val="283D284C"/>
    <w:rsid w:val="28B70904"/>
    <w:rsid w:val="2B3E669D"/>
    <w:rsid w:val="2B421DF4"/>
    <w:rsid w:val="2BA5154E"/>
    <w:rsid w:val="2C1620B8"/>
    <w:rsid w:val="2C297927"/>
    <w:rsid w:val="2C4B06E9"/>
    <w:rsid w:val="2C6B1FD6"/>
    <w:rsid w:val="2CE80BFA"/>
    <w:rsid w:val="2D6B4364"/>
    <w:rsid w:val="2DE94F87"/>
    <w:rsid w:val="2E906EA7"/>
    <w:rsid w:val="2EA87D0C"/>
    <w:rsid w:val="2F280A9E"/>
    <w:rsid w:val="301F1121"/>
    <w:rsid w:val="30673F24"/>
    <w:rsid w:val="30715219"/>
    <w:rsid w:val="319A609D"/>
    <w:rsid w:val="325B3ECE"/>
    <w:rsid w:val="326047D2"/>
    <w:rsid w:val="326341F4"/>
    <w:rsid w:val="33417CBE"/>
    <w:rsid w:val="340756D7"/>
    <w:rsid w:val="343044D1"/>
    <w:rsid w:val="356E32EB"/>
    <w:rsid w:val="35A16FAA"/>
    <w:rsid w:val="35BE17E0"/>
    <w:rsid w:val="36663735"/>
    <w:rsid w:val="366C01E6"/>
    <w:rsid w:val="38003B6F"/>
    <w:rsid w:val="38023B81"/>
    <w:rsid w:val="38151AAC"/>
    <w:rsid w:val="3897574B"/>
    <w:rsid w:val="38C65867"/>
    <w:rsid w:val="38F01CF9"/>
    <w:rsid w:val="393A2779"/>
    <w:rsid w:val="39EF6979"/>
    <w:rsid w:val="3A1862BB"/>
    <w:rsid w:val="3A341ACD"/>
    <w:rsid w:val="3A532AA4"/>
    <w:rsid w:val="3AFF7929"/>
    <w:rsid w:val="3C100419"/>
    <w:rsid w:val="3C651AB5"/>
    <w:rsid w:val="3CA91EED"/>
    <w:rsid w:val="3D043A80"/>
    <w:rsid w:val="3DB10E5A"/>
    <w:rsid w:val="3DD10A73"/>
    <w:rsid w:val="3E1C2251"/>
    <w:rsid w:val="3E5A1553"/>
    <w:rsid w:val="3E5F0DA3"/>
    <w:rsid w:val="3EB30540"/>
    <w:rsid w:val="3FB36901"/>
    <w:rsid w:val="401D428C"/>
    <w:rsid w:val="407737DE"/>
    <w:rsid w:val="40EC1A1F"/>
    <w:rsid w:val="412E24D8"/>
    <w:rsid w:val="415F3DF4"/>
    <w:rsid w:val="41B62EF1"/>
    <w:rsid w:val="423C2C6D"/>
    <w:rsid w:val="42640EDA"/>
    <w:rsid w:val="43422F8C"/>
    <w:rsid w:val="43AE52B1"/>
    <w:rsid w:val="44671021"/>
    <w:rsid w:val="446E5B1A"/>
    <w:rsid w:val="449C380E"/>
    <w:rsid w:val="451E3E9B"/>
    <w:rsid w:val="458120E2"/>
    <w:rsid w:val="45902115"/>
    <w:rsid w:val="45D84C70"/>
    <w:rsid w:val="463810CB"/>
    <w:rsid w:val="465971C9"/>
    <w:rsid w:val="469535E5"/>
    <w:rsid w:val="46FC0AA6"/>
    <w:rsid w:val="470855B8"/>
    <w:rsid w:val="474254FF"/>
    <w:rsid w:val="479C11AF"/>
    <w:rsid w:val="47B74BE0"/>
    <w:rsid w:val="48794FF1"/>
    <w:rsid w:val="488C0349"/>
    <w:rsid w:val="48C40393"/>
    <w:rsid w:val="497F7EAF"/>
    <w:rsid w:val="4A084559"/>
    <w:rsid w:val="4A3239B5"/>
    <w:rsid w:val="4A9661E3"/>
    <w:rsid w:val="4AA32A24"/>
    <w:rsid w:val="4AF91647"/>
    <w:rsid w:val="4B0851B2"/>
    <w:rsid w:val="4B0C12C2"/>
    <w:rsid w:val="4B522A61"/>
    <w:rsid w:val="4B836478"/>
    <w:rsid w:val="4BA40DAF"/>
    <w:rsid w:val="4BBE406A"/>
    <w:rsid w:val="4BEA1D7F"/>
    <w:rsid w:val="4C5D04B7"/>
    <w:rsid w:val="4C772788"/>
    <w:rsid w:val="4CC2010B"/>
    <w:rsid w:val="4CD45ADF"/>
    <w:rsid w:val="4CFC36D9"/>
    <w:rsid w:val="4D292FEC"/>
    <w:rsid w:val="4DBE4A02"/>
    <w:rsid w:val="4DCE1143"/>
    <w:rsid w:val="4DDB5109"/>
    <w:rsid w:val="4E7061B2"/>
    <w:rsid w:val="4E833636"/>
    <w:rsid w:val="4E88262C"/>
    <w:rsid w:val="4EB96218"/>
    <w:rsid w:val="4EC35779"/>
    <w:rsid w:val="4ECE7DAD"/>
    <w:rsid w:val="4ED13C5E"/>
    <w:rsid w:val="4EDD6DC2"/>
    <w:rsid w:val="4EE439F1"/>
    <w:rsid w:val="4F121337"/>
    <w:rsid w:val="4F33555D"/>
    <w:rsid w:val="4F782F85"/>
    <w:rsid w:val="500046FE"/>
    <w:rsid w:val="51BF3B98"/>
    <w:rsid w:val="52004A9D"/>
    <w:rsid w:val="526B1C05"/>
    <w:rsid w:val="53A063F4"/>
    <w:rsid w:val="53C707D2"/>
    <w:rsid w:val="541C12BF"/>
    <w:rsid w:val="54B55E3E"/>
    <w:rsid w:val="55127C43"/>
    <w:rsid w:val="55151C53"/>
    <w:rsid w:val="55382397"/>
    <w:rsid w:val="557B5983"/>
    <w:rsid w:val="55E1417E"/>
    <w:rsid w:val="5618097E"/>
    <w:rsid w:val="56344B9B"/>
    <w:rsid w:val="563A7D56"/>
    <w:rsid w:val="56EB5820"/>
    <w:rsid w:val="57B14AB1"/>
    <w:rsid w:val="57BD05B1"/>
    <w:rsid w:val="58231718"/>
    <w:rsid w:val="58336BF4"/>
    <w:rsid w:val="58435E93"/>
    <w:rsid w:val="58516DDF"/>
    <w:rsid w:val="58907ED8"/>
    <w:rsid w:val="58AB7525"/>
    <w:rsid w:val="58C61100"/>
    <w:rsid w:val="5AF64D62"/>
    <w:rsid w:val="5B017247"/>
    <w:rsid w:val="5B585285"/>
    <w:rsid w:val="5B66652E"/>
    <w:rsid w:val="5B75517A"/>
    <w:rsid w:val="5B8D16F2"/>
    <w:rsid w:val="5BB628CB"/>
    <w:rsid w:val="5D4F1324"/>
    <w:rsid w:val="5D9868F9"/>
    <w:rsid w:val="5E1A51B3"/>
    <w:rsid w:val="5E92370D"/>
    <w:rsid w:val="5EEB5984"/>
    <w:rsid w:val="5EFA0C2F"/>
    <w:rsid w:val="5F1E3231"/>
    <w:rsid w:val="5F3269E8"/>
    <w:rsid w:val="5F36210A"/>
    <w:rsid w:val="5F725E4C"/>
    <w:rsid w:val="5FD26675"/>
    <w:rsid w:val="6028541F"/>
    <w:rsid w:val="605912BD"/>
    <w:rsid w:val="606C5D27"/>
    <w:rsid w:val="60E07B90"/>
    <w:rsid w:val="610E7E78"/>
    <w:rsid w:val="622A0984"/>
    <w:rsid w:val="62AD53E3"/>
    <w:rsid w:val="62FE645E"/>
    <w:rsid w:val="63C86330"/>
    <w:rsid w:val="64663A4D"/>
    <w:rsid w:val="64F34A99"/>
    <w:rsid w:val="650A39C8"/>
    <w:rsid w:val="650C5878"/>
    <w:rsid w:val="656C6A72"/>
    <w:rsid w:val="661B39BA"/>
    <w:rsid w:val="66307A2A"/>
    <w:rsid w:val="664C7607"/>
    <w:rsid w:val="6699432B"/>
    <w:rsid w:val="66D245DF"/>
    <w:rsid w:val="67140B44"/>
    <w:rsid w:val="672D189C"/>
    <w:rsid w:val="67A51714"/>
    <w:rsid w:val="67C155F3"/>
    <w:rsid w:val="68524A61"/>
    <w:rsid w:val="68747231"/>
    <w:rsid w:val="688468F5"/>
    <w:rsid w:val="689F3C2F"/>
    <w:rsid w:val="68FD7EFD"/>
    <w:rsid w:val="69492E5D"/>
    <w:rsid w:val="69AB006E"/>
    <w:rsid w:val="69EF44D5"/>
    <w:rsid w:val="6A6807ED"/>
    <w:rsid w:val="6B1C09F3"/>
    <w:rsid w:val="6BA93912"/>
    <w:rsid w:val="6BDF7108"/>
    <w:rsid w:val="6BFA7AAB"/>
    <w:rsid w:val="6C115B8E"/>
    <w:rsid w:val="6C245735"/>
    <w:rsid w:val="6CA4565C"/>
    <w:rsid w:val="6CD05926"/>
    <w:rsid w:val="6CFC7CF3"/>
    <w:rsid w:val="6D270B93"/>
    <w:rsid w:val="6D42261C"/>
    <w:rsid w:val="6DD45875"/>
    <w:rsid w:val="6DFC4526"/>
    <w:rsid w:val="6E5170FF"/>
    <w:rsid w:val="6E6D4B6B"/>
    <w:rsid w:val="6FB80CF9"/>
    <w:rsid w:val="6FE54A08"/>
    <w:rsid w:val="706759B3"/>
    <w:rsid w:val="70BF4A80"/>
    <w:rsid w:val="7166517F"/>
    <w:rsid w:val="72161B1F"/>
    <w:rsid w:val="73271011"/>
    <w:rsid w:val="735E2D4E"/>
    <w:rsid w:val="73950A08"/>
    <w:rsid w:val="73F62A12"/>
    <w:rsid w:val="74401074"/>
    <w:rsid w:val="749C6D1C"/>
    <w:rsid w:val="759D4E01"/>
    <w:rsid w:val="76544F49"/>
    <w:rsid w:val="7677208E"/>
    <w:rsid w:val="76832A10"/>
    <w:rsid w:val="76C0676A"/>
    <w:rsid w:val="76C72239"/>
    <w:rsid w:val="778100EB"/>
    <w:rsid w:val="77CE52DB"/>
    <w:rsid w:val="77D76B4A"/>
    <w:rsid w:val="784A7709"/>
    <w:rsid w:val="78EB1062"/>
    <w:rsid w:val="795F5354"/>
    <w:rsid w:val="7A331558"/>
    <w:rsid w:val="7A564111"/>
    <w:rsid w:val="7A5C164D"/>
    <w:rsid w:val="7A73444A"/>
    <w:rsid w:val="7A9650E9"/>
    <w:rsid w:val="7AAE40C3"/>
    <w:rsid w:val="7AB269B3"/>
    <w:rsid w:val="7AC2273D"/>
    <w:rsid w:val="7AC4378E"/>
    <w:rsid w:val="7AD36012"/>
    <w:rsid w:val="7B0F4223"/>
    <w:rsid w:val="7B254F7B"/>
    <w:rsid w:val="7B4711AF"/>
    <w:rsid w:val="7B8C6DB5"/>
    <w:rsid w:val="7BD01205"/>
    <w:rsid w:val="7C55320F"/>
    <w:rsid w:val="7C752D6E"/>
    <w:rsid w:val="7D105ABA"/>
    <w:rsid w:val="7D1878D9"/>
    <w:rsid w:val="7E0842C0"/>
    <w:rsid w:val="7E231D01"/>
    <w:rsid w:val="7E2C012F"/>
    <w:rsid w:val="7EFC3487"/>
    <w:rsid w:val="7EFE3833"/>
    <w:rsid w:val="7F162488"/>
    <w:rsid w:val="7F197A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7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6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qFormat/>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annotation text"/>
    <w:basedOn w:val="1"/>
    <w:link w:val="75"/>
    <w:qFormat/>
    <w:uiPriority w:val="0"/>
  </w:style>
  <w:style w:type="paragraph" w:styleId="20">
    <w:name w:val="toc 8"/>
    <w:basedOn w:val="18"/>
    <w:next w:val="1"/>
    <w:qFormat/>
    <w:uiPriority w:val="39"/>
    <w:pPr>
      <w:spacing w:before="180"/>
      <w:ind w:left="2693" w:hanging="2693"/>
    </w:pPr>
    <w:rPr>
      <w:b/>
    </w:rPr>
  </w:style>
  <w:style w:type="paragraph" w:styleId="21">
    <w:name w:val="Balloon Text"/>
    <w:basedOn w:val="1"/>
    <w:link w:val="67"/>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toc 9"/>
    <w:basedOn w:val="20"/>
    <w:next w:val="1"/>
    <w:qFormat/>
    <w:uiPriority w:val="39"/>
    <w:pPr>
      <w:ind w:left="1418" w:hanging="1418"/>
    </w:pPr>
  </w:style>
  <w:style w:type="paragraph" w:styleId="25">
    <w:name w:val="annotation subject"/>
    <w:basedOn w:val="19"/>
    <w:next w:val="19"/>
    <w:link w:val="76"/>
    <w:semiHidden/>
    <w:unhideWhenUsed/>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Hyperlink"/>
    <w:basedOn w:val="28"/>
    <w:qFormat/>
    <w:uiPriority w:val="0"/>
    <w:rPr>
      <w:color w:val="0563C1" w:themeColor="hyperlink"/>
      <w:u w:val="single"/>
      <w14:textFill>
        <w14:solidFill>
          <w14:schemeClr w14:val="hlink"/>
        </w14:solidFill>
      </w14:textFill>
    </w:rPr>
  </w:style>
  <w:style w:type="character" w:styleId="31">
    <w:name w:val="annotation reference"/>
    <w:basedOn w:val="28"/>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72"/>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4">
    <w:name w:val="EX"/>
    <w:basedOn w:val="1"/>
    <w:link w:val="73"/>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Balloon Text Char"/>
    <w:link w:val="21"/>
    <w:qFormat/>
    <w:uiPriority w:val="0"/>
    <w:rPr>
      <w:rFonts w:ascii="Segoe UI" w:hAnsi="Segoe UI" w:cs="Segoe UI"/>
      <w:sz w:val="18"/>
      <w:szCs w:val="18"/>
      <w:lang w:eastAsia="en-US"/>
    </w:rPr>
  </w:style>
  <w:style w:type="character" w:customStyle="1" w:styleId="68">
    <w:name w:val="Unresolved Mention1"/>
    <w:basedOn w:val="28"/>
    <w:semiHidden/>
    <w:unhideWhenUsed/>
    <w:qFormat/>
    <w:uiPriority w:val="99"/>
    <w:rPr>
      <w:color w:val="605E5C"/>
      <w:shd w:val="clear" w:color="auto" w:fill="E1DFDD"/>
    </w:rPr>
  </w:style>
  <w:style w:type="character" w:customStyle="1" w:styleId="69">
    <w:name w:val="Heading 2 Char"/>
    <w:basedOn w:val="28"/>
    <w:link w:val="3"/>
    <w:qFormat/>
    <w:uiPriority w:val="0"/>
    <w:rPr>
      <w:rFonts w:ascii="Arial" w:hAnsi="Arial"/>
      <w:sz w:val="32"/>
      <w:lang w:eastAsia="en-US"/>
    </w:rPr>
  </w:style>
  <w:style w:type="paragraph" w:styleId="70">
    <w:name w:val="List Paragraph"/>
    <w:basedOn w:val="1"/>
    <w:qFormat/>
    <w:uiPriority w:val="34"/>
    <w:pPr>
      <w:ind w:left="720"/>
      <w:contextualSpacing/>
    </w:pPr>
  </w:style>
  <w:style w:type="character" w:customStyle="1" w:styleId="71">
    <w:name w:val="Heading 1 Char"/>
    <w:basedOn w:val="28"/>
    <w:link w:val="2"/>
    <w:qFormat/>
    <w:uiPriority w:val="0"/>
    <w:rPr>
      <w:rFonts w:ascii="Arial" w:hAnsi="Arial"/>
      <w:sz w:val="36"/>
      <w:lang w:eastAsia="en-US"/>
    </w:rPr>
  </w:style>
  <w:style w:type="character" w:customStyle="1" w:styleId="72">
    <w:name w:val="TAL (文字)"/>
    <w:link w:val="40"/>
    <w:qFormat/>
    <w:uiPriority w:val="0"/>
    <w:rPr>
      <w:rFonts w:ascii="Arial" w:hAnsi="Arial"/>
      <w:sz w:val="18"/>
      <w:lang w:eastAsia="en-US"/>
    </w:rPr>
  </w:style>
  <w:style w:type="character" w:customStyle="1" w:styleId="73">
    <w:name w:val="EX Char"/>
    <w:link w:val="44"/>
    <w:qFormat/>
    <w:uiPriority w:val="0"/>
    <w:rPr>
      <w:lang w:eastAsia="en-US"/>
    </w:rPr>
  </w:style>
  <w:style w:type="character" w:customStyle="1" w:styleId="74">
    <w:name w:val="PL Char"/>
    <w:link w:val="38"/>
    <w:qFormat/>
    <w:uiPriority w:val="0"/>
    <w:rPr>
      <w:rFonts w:ascii="Courier New" w:hAnsi="Courier New"/>
      <w:sz w:val="16"/>
      <w:lang w:eastAsia="en-US"/>
    </w:rPr>
  </w:style>
  <w:style w:type="character" w:customStyle="1" w:styleId="75">
    <w:name w:val="Comment Text Char"/>
    <w:basedOn w:val="28"/>
    <w:link w:val="19"/>
    <w:qFormat/>
    <w:uiPriority w:val="0"/>
    <w:rPr>
      <w:lang w:eastAsia="en-US"/>
    </w:rPr>
  </w:style>
  <w:style w:type="character" w:customStyle="1" w:styleId="76">
    <w:name w:val="Comment Subject Char"/>
    <w:basedOn w:val="75"/>
    <w:link w:val="25"/>
    <w:semiHidden/>
    <w:qFormat/>
    <w:uiPriority w:val="0"/>
    <w:rPr>
      <w:b/>
      <w:bCs/>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3" Type="http://schemas.openxmlformats.org/officeDocument/2006/relationships/fontTable" Target="fontTable.xml"/><Relationship Id="rId52" Type="http://schemas.microsoft.com/office/2006/relationships/keyMapCustomizations" Target="customizations.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header" Target="header2.xml"/><Relationship Id="rId49" Type="http://schemas.openxmlformats.org/officeDocument/2006/relationships/customXml" Target="../customXml/item1.xml"/><Relationship Id="rId48" Type="http://schemas.openxmlformats.org/officeDocument/2006/relationships/image" Target="media/image32.png"/><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header" Target="header1.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95173-EC51-40E4-B558-CB8200343DC0}">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35</Pages>
  <Words>9444</Words>
  <Characters>53303</Characters>
  <Lines>444</Lines>
  <Paragraphs>125</Paragraphs>
  <TotalTime>7</TotalTime>
  <ScaleCrop>false</ScaleCrop>
  <LinksUpToDate>false</LinksUpToDate>
  <CharactersWithSpaces>62622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2022-02-25T15:02:00Z</dcterms:created>
  <dc:creator>MCC Support</dc:creator>
  <cp:keywords>&lt;keyword[, keyword, ]&gt;</cp:keywords>
  <cp:lastModifiedBy>Danni SONG(CMCC)</cp:lastModifiedBy>
  <cp:lastPrinted>2019-02-25T14:05:00Z</cp:lastPrinted>
  <dcterms:modified xsi:type="dcterms:W3CDTF">2022-02-26T03:26:23Z</dcterms:modified>
  <dc:subject>&lt;Title 1; Title 2&gt; (Release 14 | 13 |12)</dc:subject>
  <dc:title>3GPP TS ab.cde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D832C61CED594C158AA055087B206ED3</vt:lpwstr>
  </property>
  <property fmtid="{D5CDD505-2E9C-101B-9397-08002B2CF9AE}" pid="4" name="_2015_ms_pID_725343">
    <vt:lpwstr>(2)yFcZUHfHqAD4Cfz3bVyflix/gEFG/vEmJ/l0tmaXMKppldNuS0Ewmk/ot2XqjzMZxRpPF6jY
dcJqCoHma70yO5ojZdlQiUXMzMf4qYQN9dYE3PQWsYDIyi/wqFC6Ehc3AIU1JRoEkNYCNVyO
OaLOx96Fze8nlqnbFcWIDKN9LmCzu6j4Ipm1YjuaiXYMjyq7XxmL+3uCCeW7qv/gelB4X5ve
lMDy2CiDpFVtNgloqM</vt:lpwstr>
  </property>
  <property fmtid="{D5CDD505-2E9C-101B-9397-08002B2CF9AE}" pid="5" name="_2015_ms_pID_7253431">
    <vt:lpwstr>2dU5pMDi5HrqtkfnGWiN9K6BDDCTgLO7dMBKpfRoAGbAVLYIMb7/jk
vzhsuZQ2FjTGixOo4I/ZDj/n8kb25oP4t2H3/1M3EKdgYmTpnAi1EmtTQdbnwKFQzJL+7QLf
q1CkmXGIPj7pKmIOK4svHKDG138SQba61CSSrESk4XLAPJVsLe57JuPUegY2IZPjuwxt+V0f
F0G+QhgLpAI4AzwD</vt:lpwstr>
  </property>
</Properties>
</file>