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16DFA27"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822E27">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CA2FCD">
        <w:t>5632</w:t>
      </w:r>
    </w:p>
    <w:p w14:paraId="1C54FDC5" w14:textId="4763D2A2" w:rsidR="00D309CC" w:rsidRPr="00FD166F" w:rsidRDefault="00DB2F35" w:rsidP="00D46431">
      <w:pPr>
        <w:pStyle w:val="CH"/>
        <w:tabs>
          <w:tab w:val="clear" w:pos="7920"/>
        </w:tabs>
        <w:rPr>
          <w:b w:val="0"/>
        </w:rPr>
      </w:pPr>
      <w:r>
        <w:t>Electronic Meeting</w:t>
      </w:r>
      <w:r w:rsidR="004266F6" w:rsidRPr="004266F6">
        <w:t xml:space="preserve">, </w:t>
      </w:r>
      <w:r w:rsidR="002A0AFF">
        <w:t>1</w:t>
      </w:r>
      <w:r w:rsidR="00822E27">
        <w:t>6</w:t>
      </w:r>
      <w:r w:rsidR="002A0AFF" w:rsidRPr="002A0AFF">
        <w:rPr>
          <w:vertAlign w:val="superscript"/>
        </w:rPr>
        <w:t>th</w:t>
      </w:r>
      <w:r w:rsidR="002A0AFF">
        <w:t xml:space="preserve"> </w:t>
      </w:r>
      <w:r w:rsidR="00822E27">
        <w:t>August</w:t>
      </w:r>
      <w:r>
        <w:t xml:space="preserve"> – </w:t>
      </w:r>
      <w:r w:rsidR="002A0AFF">
        <w:t>27</w:t>
      </w:r>
      <w:r w:rsidR="005202C2" w:rsidRPr="005202C2">
        <w:rPr>
          <w:vertAlign w:val="superscript"/>
        </w:rPr>
        <w:t>th</w:t>
      </w:r>
      <w:r w:rsidR="005202C2">
        <w:t xml:space="preserve"> </w:t>
      </w:r>
      <w:r w:rsidR="00822E27">
        <w:t>Aug</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798100F3" w:rsidR="007B5C8F" w:rsidRPr="007B5C8F" w:rsidRDefault="00D309CC" w:rsidP="007B5C8F">
      <w:pPr>
        <w:pStyle w:val="CH"/>
        <w:spacing w:after="180"/>
      </w:pPr>
      <w:r w:rsidRPr="004266F6">
        <w:t>Title:</w:t>
      </w:r>
      <w:r w:rsidR="007B5C8F">
        <w:t xml:space="preserve">       </w:t>
      </w:r>
      <w:r w:rsidR="00CA2FCD">
        <w:t xml:space="preserve">Views on handling </w:t>
      </w:r>
      <w:proofErr w:type="spellStart"/>
      <w:r w:rsidR="00CA2FCD">
        <w:t>SCell</w:t>
      </w:r>
      <w:proofErr w:type="spellEnd"/>
      <w:r w:rsidR="00CA2FCD">
        <w:t xml:space="preserve"> Drop in FR2 RF 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EFACBA4"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CA2FCD">
        <w:rPr>
          <w:rFonts w:eastAsia="MS Mincho"/>
        </w:rPr>
        <w:t xml:space="preserve">summarize some current views on the </w:t>
      </w:r>
      <w:r>
        <w:rPr>
          <w:rFonts w:eastAsia="MS Mincho"/>
        </w:rPr>
        <w:t xml:space="preserve">potential 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7B2019">
        <w:rPr>
          <w:rFonts w:eastAsia="MS Mincho"/>
        </w:rPr>
        <w:t>.</w:t>
      </w:r>
    </w:p>
    <w:p w14:paraId="05C12B6F" w14:textId="74553500" w:rsidR="00D00D4A" w:rsidRPr="00DB2F35" w:rsidRDefault="00D00D4A" w:rsidP="002A0AFF">
      <w:pPr>
        <w:spacing w:before="120" w:after="120"/>
        <w:rPr>
          <w:rFonts w:ascii="Arial" w:hAnsi="Arial" w:cs="Arial"/>
        </w:rPr>
      </w:pPr>
      <w:r w:rsidRPr="00CA2FCD">
        <w:rPr>
          <w:rFonts w:eastAsia="MS Mincho"/>
        </w:rPr>
        <w:t>It should also be noted that there is an ongoing discussion in RAN4 (Way Forward R4-2107762) that is discussing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ways to prepare RAN5 spec for adopting </w:t>
      </w:r>
      <w:r w:rsidR="00ED0C20">
        <w:rPr>
          <w:rFonts w:eastAsia="MS Mincho"/>
        </w:rPr>
        <w:t>a feasible solution</w:t>
      </w:r>
      <w:r w:rsidRPr="00CA2FCD">
        <w:rPr>
          <w:rFonts w:eastAsia="MS Mincho"/>
        </w:rPr>
        <w:t>, is discussed in this paper.</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77777777" w:rsidR="002A0AFF" w:rsidRPr="00442FDC" w:rsidRDefault="002A0AFF" w:rsidP="002A0AFF">
      <w:pPr>
        <w:pStyle w:val="Heading2"/>
        <w:rPr>
          <w:rFonts w:eastAsia="MS Mincho"/>
        </w:rPr>
      </w:pPr>
      <w:r w:rsidRPr="00442FDC">
        <w:rPr>
          <w:rFonts w:eastAsia="MS Mincho" w:hint="eastAsia"/>
        </w:rPr>
        <w:t xml:space="preserve">2.1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761361" w:rsidRDefault="00761361" w:rsidP="00761361">
      <w:pPr>
        <w:spacing w:after="120"/>
        <w:rPr>
          <w:rFonts w:ascii="Arial" w:hAnsi="Arial" w:cs="Arial"/>
          <w:bCs/>
          <w:highlight w:val="lightGray"/>
        </w:rPr>
      </w:pPr>
      <w:r w:rsidRPr="00761361">
        <w:rPr>
          <w:rFonts w:ascii="Arial" w:hAnsi="Arial" w:cs="Arial"/>
          <w:bCs/>
          <w:highlight w:val="lightGray"/>
        </w:rPr>
        <w:t>To this end, RAN4 has discussed the following two options for verification of the CA test cases:</w:t>
      </w:r>
    </w:p>
    <w:p w14:paraId="641983F6"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Option 1: Equal PSD between CCs.</w:t>
      </w:r>
    </w:p>
    <w:p w14:paraId="41E85AA5" w14:textId="77777777" w:rsidR="00761361" w:rsidRPr="00761361" w:rsidRDefault="00761361" w:rsidP="00761361">
      <w:pPr>
        <w:numPr>
          <w:ilvl w:val="0"/>
          <w:numId w:val="15"/>
        </w:numPr>
        <w:spacing w:after="120"/>
        <w:rPr>
          <w:rFonts w:ascii="Arial" w:hAnsi="Arial" w:cs="Arial"/>
          <w:bCs/>
          <w:highlight w:val="lightGray"/>
        </w:rPr>
      </w:pPr>
      <w:r w:rsidRPr="00761361">
        <w:rPr>
          <w:rFonts w:ascii="Arial" w:hAnsi="Arial" w:cs="Arial"/>
          <w:bCs/>
          <w:highlight w:val="lightGray"/>
        </w:rPr>
        <w:t xml:space="preserve">Option 2: Measure the UE as is even SCC output may be scaled down under CA mode. </w:t>
      </w:r>
    </w:p>
    <w:p w14:paraId="7B2ABF55" w14:textId="77777777" w:rsidR="00761361" w:rsidRPr="00761361" w:rsidRDefault="00761361" w:rsidP="00761361">
      <w:pPr>
        <w:tabs>
          <w:tab w:val="center" w:pos="4153"/>
          <w:tab w:val="right" w:pos="8306"/>
        </w:tabs>
        <w:jc w:val="both"/>
        <w:rPr>
          <w:rFonts w:ascii="Arial" w:hAnsi="Arial" w:cs="Arial"/>
          <w:bCs/>
          <w:highlight w:val="lightGray"/>
        </w:rPr>
      </w:pPr>
      <w:r w:rsidRPr="00761361">
        <w:rPr>
          <w:rFonts w:ascii="Arial" w:hAnsi="Arial" w:cs="Arial"/>
          <w:bCs/>
          <w:highlight w:val="lightGray"/>
        </w:rPr>
        <w:t xml:space="preserve">RAN4 considers that equal PSD is a preferred test condition to verify the UL CA requirements. However, considering the actual UE behaviour in the field, which is subject to the prioritization rules in </w:t>
      </w:r>
      <w:proofErr w:type="gramStart"/>
      <w:r w:rsidRPr="00761361">
        <w:rPr>
          <w:rFonts w:ascii="Arial" w:hAnsi="Arial" w:cs="Arial"/>
          <w:bCs/>
          <w:highlight w:val="lightGray"/>
        </w:rPr>
        <w:t>38.213.RAN</w:t>
      </w:r>
      <w:proofErr w:type="gramEnd"/>
      <w:r w:rsidRPr="00761361">
        <w:rPr>
          <w:rFonts w:ascii="Arial" w:hAnsi="Arial" w:cs="Arial"/>
          <w:bCs/>
          <w:highlight w:val="lightGray"/>
        </w:rPr>
        <w:t>4 recognizes that testing details (config</w:t>
      </w:r>
      <w:r w:rsidRPr="00761361">
        <w:rPr>
          <w:rFonts w:ascii="Arial" w:hAnsi="Arial" w:cs="Arial" w:hint="eastAsia"/>
          <w:bCs/>
          <w:highlight w:val="lightGray"/>
        </w:rPr>
        <w:t>ur</w:t>
      </w:r>
      <w:r w:rsidRPr="00761361">
        <w:rPr>
          <w:rFonts w:ascii="Arial" w:hAnsi="Arial" w:cs="Arial"/>
          <w:bCs/>
          <w:highlight w:val="lightGray"/>
        </w:rPr>
        <w:t xml:space="preserve">es/procedures) are ultimately up to RAN5. </w:t>
      </w:r>
    </w:p>
    <w:p w14:paraId="47F4B669" w14:textId="5A1984E1"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p>
    <w:p w14:paraId="6F2DD813" w14:textId="462E7FF6"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755B650D" w14:textId="044D87AD" w:rsidR="00E01FBD" w:rsidRDefault="00E01FBD" w:rsidP="00ED0C20">
      <w:pPr>
        <w:pStyle w:val="Heading2"/>
        <w:numPr>
          <w:ilvl w:val="1"/>
          <w:numId w:val="15"/>
        </w:numPr>
        <w:rPr>
          <w:rFonts w:eastAsia="MS Mincho"/>
        </w:rPr>
      </w:pPr>
      <w:r>
        <w:rPr>
          <w:rFonts w:eastAsia="MS Mincho"/>
        </w:rPr>
        <w:t>Discussion on possible test scenarios</w:t>
      </w:r>
    </w:p>
    <w:p w14:paraId="71E4FC8A" w14:textId="6AA54AAE" w:rsidR="00ED0C20" w:rsidRDefault="00ED0C20" w:rsidP="00ED0C20">
      <w:pPr>
        <w:pStyle w:val="Heading3"/>
        <w:rPr>
          <w:rFonts w:eastAsia="MS Mincho"/>
        </w:rPr>
      </w:pPr>
      <w:r>
        <w:rPr>
          <w:rFonts w:eastAsia="MS Mincho"/>
        </w:rPr>
        <w:t>2.3.1</w:t>
      </w:r>
      <w:r>
        <w:rPr>
          <w:rFonts w:eastAsia="MS Mincho"/>
        </w:rPr>
        <w:tab/>
        <w:t>Summary of RAN5 and RAN4 discussions on this topic</w:t>
      </w:r>
    </w:p>
    <w:p w14:paraId="34F03577" w14:textId="4BEB1C23" w:rsidR="00E01FBD" w:rsidRDefault="00ED0C20" w:rsidP="00E01FBD">
      <w:pPr>
        <w:spacing w:before="120" w:after="120"/>
        <w:rPr>
          <w:rFonts w:eastAsia="MS Mincho"/>
        </w:rPr>
      </w:pPr>
      <w:proofErr w:type="spellStart"/>
      <w:r>
        <w:rPr>
          <w:rFonts w:eastAsia="MS Mincho"/>
        </w:rPr>
        <w:t>Most</w:t>
      </w:r>
      <w:proofErr w:type="spellEnd"/>
      <w:r>
        <w:rPr>
          <w:rFonts w:eastAsia="MS Mincho"/>
        </w:rPr>
        <w:t xml:space="preserve"> of the focus of RAN5 has been to explore test mode versus non test mode options to accomplish the desired objective of the FR2 RF CA test scenarios. There has been no agreement to adopt one or the other and in lieu of the ongoing RAN4 discussion.</w:t>
      </w:r>
    </w:p>
    <w:p w14:paraId="54D1FCA7" w14:textId="79024198" w:rsidR="007267D3" w:rsidRPr="00BB1AE9" w:rsidRDefault="00DC450C" w:rsidP="007267D3">
      <w:pPr>
        <w:pStyle w:val="BodyText"/>
        <w:rPr>
          <w:lang w:val="en-US"/>
        </w:rPr>
      </w:pPr>
      <w:r>
        <w:rPr>
          <w:lang w:val="en-US"/>
        </w:rPr>
        <w:t>As stated in [4]</w:t>
      </w:r>
      <w:r w:rsidR="00ED0C20">
        <w:rPr>
          <w:lang w:val="en-US"/>
        </w:rPr>
        <w:t xml:space="preserve"> and [7]</w:t>
      </w:r>
      <w:r>
        <w:rPr>
          <w:lang w:val="en-US"/>
        </w:rPr>
        <w:t xml:space="preserve">, </w:t>
      </w:r>
      <w:r w:rsidR="00ED0C20">
        <w:rPr>
          <w:lang w:val="en-US"/>
        </w:rPr>
        <w:t>o</w:t>
      </w:r>
      <w:r w:rsidR="007267D3" w:rsidRPr="00BB1AE9">
        <w:rPr>
          <w:lang w:val="en-US"/>
        </w:rPr>
        <w:t xml:space="preserve">ne way of preventing </w:t>
      </w:r>
      <w:proofErr w:type="spellStart"/>
      <w:r w:rsidR="007267D3" w:rsidRPr="00BB1AE9">
        <w:rPr>
          <w:lang w:val="en-US"/>
        </w:rPr>
        <w:t>SCell</w:t>
      </w:r>
      <w:proofErr w:type="spellEnd"/>
      <w:r w:rsidR="007267D3" w:rsidRPr="00BB1AE9">
        <w:rPr>
          <w:lang w:val="en-US"/>
        </w:rPr>
        <w:t xml:space="preserve"> dropping would be to limit the maximum power for the </w:t>
      </w:r>
      <w:proofErr w:type="spellStart"/>
      <w:r w:rsidR="007267D3" w:rsidRPr="00BB1AE9">
        <w:rPr>
          <w:lang w:val="en-US"/>
        </w:rPr>
        <w:t>PCell</w:t>
      </w:r>
      <w:proofErr w:type="spellEnd"/>
      <w:r w:rsidR="007267D3" w:rsidRPr="00BB1AE9">
        <w:rPr>
          <w:lang w:val="en-US"/>
        </w:rPr>
        <w:t xml:space="preserve"> to reserve power for </w:t>
      </w:r>
      <w:proofErr w:type="spellStart"/>
      <w:r w:rsidR="007267D3" w:rsidRPr="00BB1AE9">
        <w:rPr>
          <w:lang w:val="en-US"/>
        </w:rPr>
        <w:t>SCell</w:t>
      </w:r>
      <w:proofErr w:type="spellEnd"/>
      <w:r w:rsidR="007267D3" w:rsidRPr="00BB1AE9">
        <w:rPr>
          <w:lang w:val="en-US"/>
        </w:rPr>
        <w:t xml:space="preserve"> transmissions</w:t>
      </w:r>
      <w:r w:rsidR="007267D3">
        <w:rPr>
          <w:lang w:val="en-US"/>
        </w:rPr>
        <w:t xml:space="preserve">, at least for particular transmissions </w:t>
      </w:r>
      <w:proofErr w:type="gramStart"/>
      <w:r w:rsidR="007267D3">
        <w:rPr>
          <w:lang w:val="en-US"/>
        </w:rPr>
        <w:t>e.g.</w:t>
      </w:r>
      <w:proofErr w:type="gramEnd"/>
      <w:r w:rsidR="007267D3">
        <w:rPr>
          <w:lang w:val="en-US"/>
        </w:rPr>
        <w:t xml:space="preserve"> for PUSCH without UCI.</w:t>
      </w:r>
      <w:r w:rsidR="007267D3" w:rsidRPr="00BB1AE9">
        <w:rPr>
          <w:lang w:val="en-US"/>
        </w:rPr>
        <w:t xml:space="preserve"> Moreover, by limiting the </w:t>
      </w:r>
      <w:proofErr w:type="spellStart"/>
      <w:r w:rsidR="007267D3" w:rsidRPr="00BB1AE9">
        <w:rPr>
          <w:lang w:val="en-US"/>
        </w:rPr>
        <w:t>SCell</w:t>
      </w:r>
      <w:proofErr w:type="spellEnd"/>
      <w:r w:rsidR="007267D3" w:rsidRPr="00BB1AE9">
        <w:rPr>
          <w:lang w:val="en-US"/>
        </w:rPr>
        <w:t xml:space="preserve"> maximum power in addition, a behavior similar to that for LTE in which scaling applies uniformly for each serving cell as noted previously, from 36.213, </w:t>
      </w:r>
    </w:p>
    <w:p w14:paraId="16D684F0" w14:textId="77777777" w:rsidR="007267D3" w:rsidRPr="00BB1AE9" w:rsidRDefault="00AF628D" w:rsidP="007267D3">
      <w:pPr>
        <w:pStyle w:val="BodyText"/>
        <w:jc w:val="center"/>
        <w:rPr>
          <w:lang w:val="en-US"/>
        </w:rPr>
      </w:pPr>
      <w:r>
        <w:rPr>
          <w:noProof/>
        </w:rPr>
        <w:pict w14:anchorId="7EF49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89.8pt;height:26.2pt;mso-width-percent:0;mso-height-percent:0;mso-width-percent:0;mso-height-percent:0">
            <v:imagedata r:id="rId9" o:title=""/>
          </v:shape>
        </w:pict>
      </w:r>
    </w:p>
    <w:p w14:paraId="41CC4724" w14:textId="702433C9" w:rsidR="007267D3" w:rsidRDefault="007267D3" w:rsidP="007267D3">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r w:rsidR="00DC450C">
        <w:rPr>
          <w:lang w:val="en-US"/>
        </w:rPr>
        <w:t>.</w:t>
      </w:r>
    </w:p>
    <w:p w14:paraId="04715202" w14:textId="3A48A8EA" w:rsidR="007267D3" w:rsidRDefault="00DC450C" w:rsidP="007267D3">
      <w:pPr>
        <w:pStyle w:val="BodyText"/>
        <w:rPr>
          <w:lang w:val="en-US"/>
        </w:rPr>
      </w:pPr>
      <w:r>
        <w:rPr>
          <w:lang w:val="en-US"/>
        </w:rPr>
        <w:t>F</w:t>
      </w:r>
      <w:r w:rsidR="00B054BA">
        <w:rPr>
          <w:lang w:val="en-US"/>
        </w:rPr>
        <w:t>or FR1</w:t>
      </w:r>
      <w:r>
        <w:rPr>
          <w:lang w:val="en-US"/>
        </w:rPr>
        <w:t>,</w:t>
      </w:r>
      <w:r w:rsidR="00B054BA">
        <w:rPr>
          <w:lang w:val="en-US"/>
        </w:rPr>
        <w:t xml:space="preserve"> the</w:t>
      </w:r>
      <w:r w:rsidR="007267D3" w:rsidRPr="00BB1AE9">
        <w:rPr>
          <w:lang w:val="en-US"/>
        </w:rPr>
        <w:t xml:space="preserve"> configured maximum output power is specified at the antenna connector</w:t>
      </w:r>
      <w:r w:rsidR="00B054BA">
        <w:rPr>
          <w:lang w:val="en-US"/>
        </w:rPr>
        <w:t xml:space="preserve"> and can be determined by </w:t>
      </w:r>
      <w:r w:rsidR="00AF628D">
        <w:rPr>
          <w:noProof/>
          <w:position w:val="-5"/>
        </w:rPr>
        <w:pict w14:anchorId="2D4D48BF">
          <v:shape id="_x0000_i1040"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For FR2, on the other hand, both the configured power per cell </w:t>
      </w:r>
      <w:r w:rsidR="00AF628D">
        <w:rPr>
          <w:noProof/>
          <w:position w:val="-8"/>
        </w:rPr>
        <w:pict w14:anchorId="0A63C842">
          <v:shape id="_x0000_i1039" type="#_x0000_t75" alt="" style="width:45.8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7267D3" w:rsidRPr="00BB1AE9">
        <w:rPr>
          <w:lang w:val="en-US"/>
        </w:rPr>
        <w:t xml:space="preserve"> and the total configured power  </w:t>
      </w:r>
      <w:r w:rsidR="00AF628D">
        <w:rPr>
          <w:noProof/>
          <w:position w:val="-5"/>
        </w:rPr>
        <w:pict w14:anchorId="581BF28B">
          <v:shape id="_x0000_i1038"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7267D3"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sidR="007267D3">
        <w:rPr>
          <w:lang w:val="en-US"/>
        </w:rPr>
        <w:t>impossible</w:t>
      </w:r>
      <w:r w:rsidR="007267D3" w:rsidRPr="00BB1AE9">
        <w:rPr>
          <w:lang w:val="en-US"/>
        </w:rPr>
        <w:t xml:space="preserve"> to control for UE operations in the field.</w:t>
      </w:r>
    </w:p>
    <w:p w14:paraId="67B25047" w14:textId="6C882CB1" w:rsidR="007267D3" w:rsidRDefault="00DC450C" w:rsidP="007267D3">
      <w:pPr>
        <w:pStyle w:val="BodyText"/>
        <w:rPr>
          <w:lang w:val="en-US"/>
        </w:rPr>
      </w:pPr>
      <w:r>
        <w:rPr>
          <w:lang w:val="en-US"/>
        </w:rPr>
        <w:lastRenderedPageBreak/>
        <w:t>Again from [4], it can be gathered that a limit relative to the configured power can be specified to work around the</w:t>
      </w:r>
      <w:r w:rsidR="007267D3"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007267D3" w:rsidRPr="006C2754">
        <w:rPr>
          <w:lang w:val="en-US"/>
        </w:rPr>
        <w:t xml:space="preserve">This would also account for the </w:t>
      </w:r>
      <w:r w:rsidR="007267D3" w:rsidRPr="00A44EF0">
        <w:rPr>
          <w:i/>
          <w:iCs/>
          <w:lang w:val="en-US"/>
        </w:rPr>
        <w:t>actual</w:t>
      </w:r>
      <w:r w:rsidR="007267D3" w:rsidRPr="006C2754">
        <w:rPr>
          <w:lang w:val="en-US"/>
        </w:rPr>
        <w:t xml:space="preserve"> power back-off (up to MPR) that is applied by the UE, which is unknown to the network but included in the PHR</w:t>
      </w:r>
      <w:r w:rsidR="007267D3">
        <w:rPr>
          <w:lang w:val="en-US"/>
        </w:rPr>
        <w:t xml:space="preserve"> determination</w:t>
      </w:r>
      <w:r w:rsidR="007267D3" w:rsidRPr="006C2754">
        <w:rPr>
          <w:lang w:val="en-US"/>
        </w:rPr>
        <w:t xml:space="preserve">. The network would then configure the UE with UE-specific relative limits </w:t>
      </w:r>
      <w:proofErr w:type="spellStart"/>
      <w:proofErr w:type="gramStart"/>
      <w:r w:rsidR="007267D3" w:rsidRPr="006C2754">
        <w:rPr>
          <w:i/>
          <w:iCs/>
          <w:lang w:val="en-US"/>
        </w:rPr>
        <w:t>X</w:t>
      </w:r>
      <w:r w:rsidR="007267D3" w:rsidRPr="006C2754">
        <w:rPr>
          <w:vertAlign w:val="subscript"/>
          <w:lang w:val="en-US"/>
        </w:rPr>
        <w:t>max,</w:t>
      </w:r>
      <w:r w:rsidR="007267D3">
        <w:rPr>
          <w:vertAlign w:val="subscript"/>
          <w:lang w:val="en-US"/>
        </w:rPr>
        <w:t>f</w:t>
      </w:r>
      <w:proofErr w:type="gramEnd"/>
      <w:r w:rsidR="007267D3">
        <w:rPr>
          <w:vertAlign w:val="subscript"/>
          <w:lang w:val="en-US"/>
        </w:rPr>
        <w:t>,</w:t>
      </w:r>
      <w:r w:rsidR="007267D3" w:rsidRPr="006C2754">
        <w:rPr>
          <w:vertAlign w:val="subscript"/>
          <w:lang w:val="en-US"/>
        </w:rPr>
        <w:t>c</w:t>
      </w:r>
      <w:proofErr w:type="spellEnd"/>
      <w:r w:rsidR="007267D3" w:rsidRPr="006C2754">
        <w:rPr>
          <w:lang w:val="en-US"/>
        </w:rPr>
        <w:t xml:space="preserve"> on the </w:t>
      </w:r>
      <w:proofErr w:type="spellStart"/>
      <w:r w:rsidR="007267D3" w:rsidRPr="006C2754">
        <w:rPr>
          <w:lang w:val="en-US"/>
        </w:rPr>
        <w:t>PCell</w:t>
      </w:r>
      <w:proofErr w:type="spellEnd"/>
      <w:r w:rsidR="007267D3" w:rsidRPr="006C2754">
        <w:rPr>
          <w:lang w:val="en-US"/>
        </w:rPr>
        <w:t xml:space="preserve"> and possibly also one or more </w:t>
      </w:r>
      <w:proofErr w:type="spellStart"/>
      <w:r w:rsidR="007267D3" w:rsidRPr="006C2754">
        <w:rPr>
          <w:lang w:val="en-US"/>
        </w:rPr>
        <w:t>SCells</w:t>
      </w:r>
      <w:proofErr w:type="spellEnd"/>
    </w:p>
    <w:p w14:paraId="3EBEAE60" w14:textId="77777777" w:rsidR="007267D3" w:rsidRDefault="00AF628D" w:rsidP="007267D3">
      <w:pPr>
        <w:pStyle w:val="BodyText"/>
        <w:jc w:val="center"/>
        <w:rPr>
          <w:lang w:val="en-US"/>
        </w:rPr>
      </w:pPr>
      <w:r>
        <w:rPr>
          <w:noProof/>
        </w:rPr>
        <w:pict w14:anchorId="6457785F">
          <v:shape id="_x0000_i1037" type="#_x0000_t75" alt="" style="width:274.9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34347902" w14:textId="275DFA85" w:rsidR="007267D3" w:rsidRDefault="007267D3" w:rsidP="007267D3">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B6094D6" w14:textId="54258845" w:rsidR="00157E6A" w:rsidRDefault="00157E6A" w:rsidP="007267D3">
      <w:pPr>
        <w:pStyle w:val="BodyText"/>
        <w:rPr>
          <w:lang w:val="en-US"/>
        </w:rPr>
      </w:pPr>
      <w:r>
        <w:rPr>
          <w:lang w:val="en-US"/>
        </w:rPr>
        <w:t>From 38.521-2 clause 6.2.4.3, we know that</w:t>
      </w:r>
    </w:p>
    <w:p w14:paraId="262DE4D4" w14:textId="40F23928" w:rsidR="00157E6A" w:rsidRDefault="00157E6A" w:rsidP="00157E6A">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27878E6C" w14:textId="0C6A88B0" w:rsidR="00157E6A" w:rsidRPr="00157E6A" w:rsidRDefault="00157E6A" w:rsidP="00157E6A">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C131D4A" w14:textId="77777777" w:rsidR="007267D3" w:rsidRDefault="007267D3" w:rsidP="007267D3">
      <w:pPr>
        <w:pStyle w:val="BodyText"/>
      </w:pPr>
      <w:r w:rsidRPr="00225ACD">
        <w:t xml:space="preserve">For intra-band CA, the MPR for each serving cell is the same as that for the total power. Hence the same power back-off is normally assumed for both the </w:t>
      </w:r>
      <w:r w:rsidR="00AF628D">
        <w:rPr>
          <w:noProof/>
          <w:position w:val="-8"/>
        </w:rPr>
        <w:pict w14:anchorId="60744218">
          <v:shape id="_x0000_i1036" type="#_x0000_t75" alt="" style="width:39.25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AF628D">
        <w:rPr>
          <w:noProof/>
          <w:position w:val="-5"/>
        </w:rPr>
        <w:pict w14:anchorId="3208F918">
          <v:shape id="_x0000_i1035"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AF628D">
        <w:rPr>
          <w:noProof/>
          <w:position w:val="-8"/>
        </w:rPr>
        <w:pict w14:anchorId="0CEBB889">
          <v:shape id="_x0000_i1034" type="#_x0000_t75" alt="" style="width:65.45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AF628D">
        <w:rPr>
          <w:noProof/>
          <w:position w:val="-8"/>
        </w:rPr>
        <w:pict w14:anchorId="598B4169">
          <v:shape id="_x0000_i1033" type="#_x0000_t75" alt="" style="width:39.25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AF628D">
        <w:rPr>
          <w:noProof/>
          <w:position w:val="-5"/>
        </w:rPr>
        <w:pict w14:anchorId="504A909B">
          <v:shape id="_x0000_i1032"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54DC1550" w14:textId="58C31A65" w:rsidR="003226C1" w:rsidRDefault="003226C1" w:rsidP="003226C1">
      <w:pPr>
        <w:pStyle w:val="BodyText"/>
        <w:rPr>
          <w:lang w:val="en-US"/>
        </w:rPr>
      </w:pPr>
      <w:r w:rsidRPr="00C26A34">
        <w:rPr>
          <w:lang w:val="en-US"/>
        </w:rPr>
        <w:t xml:space="preserve">An example of intra-band UL CA with allowed MPR for FR2 UE configured with a limit relative to  </w:t>
      </w:r>
      <w:r w:rsidR="00AF628D">
        <w:rPr>
          <w:noProof/>
          <w:position w:val="-8"/>
        </w:rPr>
        <w:pict w14:anchorId="3C85E068">
          <v:shape id="_x0000_i1031" type="#_x0000_t75" alt="" style="width:65.45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AF628D">
        <w:rPr>
          <w:noProof/>
          <w:position w:val="-8"/>
        </w:rPr>
        <w:pict w14:anchorId="2997EB1D">
          <v:shape id="_x0000_i1030" type="#_x0000_t75" alt="" style="width:39.25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AF628D">
        <w:rPr>
          <w:noProof/>
          <w:position w:val="-5"/>
        </w:rPr>
        <w:pict w14:anchorId="231FA677">
          <v:shape id="_x0000_i1029"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AF628D">
        <w:rPr>
          <w:noProof/>
          <w:position w:val="-6"/>
        </w:rPr>
        <w:pict w14:anchorId="493E2AC5">
          <v:shape id="_x0000_i1028" type="#_x0000_t75" alt="" style="width:45.8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AF628D">
        <w:rPr>
          <w:noProof/>
          <w:position w:val="-8"/>
        </w:rPr>
        <w:pict w14:anchorId="4B17A365">
          <v:shape id="_x0000_i1027" type="#_x0000_t75" alt="" style="width:45.8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AF628D">
        <w:rPr>
          <w:noProof/>
          <w:position w:val="-5"/>
        </w:rPr>
        <w:pict w14:anchorId="2309A987">
          <v:shape id="_x0000_i1026" type="#_x0000_t75" alt="" style="width:26.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AF628D">
        <w:rPr>
          <w:noProof/>
          <w:position w:val="-8"/>
        </w:rPr>
        <w:pict w14:anchorId="16249737">
          <v:shape id="_x0000_i1025" type="#_x0000_t75" alt="" style="width:98.2pt;height:13.1pt;mso-width-percent:0;mso-height-percent:0;mso-width-percent:0;mso-height-percent:0" equationxml="&lt;?xml version=&quot;1.0&quot; encoding=&quot;UTF-8&quot; standalone=&quot;yes&quot;?&gt;&#13;&#13;&#13;&#13;&#13;&#13;&#13;&#10;&lt;?mso-application progid=&quot;Word.Document&quot;?&gt;&#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1A2A8431" w14:textId="79B07B7B" w:rsidR="003226C1" w:rsidRPr="00C26A34" w:rsidRDefault="00157E6A" w:rsidP="003226C1">
      <w:pPr>
        <w:pStyle w:val="BodyText"/>
        <w:jc w:val="center"/>
        <w:rPr>
          <w:lang w:val="en-US"/>
        </w:rPr>
      </w:pPr>
      <w:r w:rsidRPr="00157E6A">
        <w:rPr>
          <w:noProof/>
          <w:lang w:val="en-US"/>
        </w:rPr>
        <w:drawing>
          <wp:inline distT="0" distB="0" distL="0" distR="0" wp14:anchorId="027E1BA4" wp14:editId="1D169574">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C1E1561" w14:textId="03F01379" w:rsidR="003226C1" w:rsidRDefault="003226C1" w:rsidP="003226C1">
      <w:pPr>
        <w:pStyle w:val="BodyText"/>
        <w:jc w:val="center"/>
        <w:rPr>
          <w:lang w:val="en-US"/>
        </w:rPr>
      </w:pPr>
      <w:r w:rsidRPr="0014695F">
        <w:rPr>
          <w:lang w:val="en-US"/>
        </w:rPr>
        <w:t xml:space="preserve">Figure 4.1: UL intra-band contiguous CA </w:t>
      </w:r>
      <w:r w:rsidR="00DC450C">
        <w:rPr>
          <w:lang w:val="en-US"/>
        </w:rPr>
        <w:t xml:space="preserve">– avoiding power limitation on </w:t>
      </w:r>
      <w:proofErr w:type="spellStart"/>
      <w:r w:rsidR="00DC450C">
        <w:rPr>
          <w:lang w:val="en-US"/>
        </w:rPr>
        <w:t>SCell</w:t>
      </w:r>
      <w:proofErr w:type="spellEnd"/>
      <w:r w:rsidR="00DC450C">
        <w:rPr>
          <w:lang w:val="en-US"/>
        </w:rPr>
        <w:t xml:space="preserve"> in F</w:t>
      </w:r>
      <w:r w:rsidRPr="0014695F">
        <w:rPr>
          <w:lang w:val="en-US"/>
        </w:rPr>
        <w:t>R2</w:t>
      </w:r>
    </w:p>
    <w:p w14:paraId="2C27C3A1" w14:textId="2F9F5C64" w:rsidR="00157E6A" w:rsidRPr="0014695F" w:rsidRDefault="00157E6A" w:rsidP="003226C1">
      <w:pPr>
        <w:pStyle w:val="BodyText"/>
        <w:jc w:val="center"/>
        <w:rPr>
          <w:lang w:val="en-US"/>
        </w:rPr>
      </w:pPr>
      <w:r>
        <w:rPr>
          <w:lang w:val="en-US"/>
        </w:rPr>
        <w:t>Based on reference diagram in [4] with additional parameters added</w:t>
      </w:r>
    </w:p>
    <w:p w14:paraId="0F98C940" w14:textId="2907E74E" w:rsidR="003226C1" w:rsidRPr="004347B3" w:rsidRDefault="00ED0C20" w:rsidP="003226C1">
      <w:pPr>
        <w:pStyle w:val="BodyText"/>
        <w:rPr>
          <w:b/>
          <w:bCs/>
          <w:lang w:val="en-US"/>
        </w:rPr>
      </w:pPr>
      <w:r>
        <w:rPr>
          <w:b/>
          <w:bCs/>
          <w:lang w:val="en-US"/>
        </w:rPr>
        <w:t>Observation</w:t>
      </w:r>
      <w:r w:rsidR="009E515E">
        <w:rPr>
          <w:b/>
          <w:bCs/>
          <w:lang w:val="en-US"/>
        </w:rPr>
        <w:t xml:space="preserve"> </w:t>
      </w:r>
      <w:r w:rsidR="00B75855">
        <w:rPr>
          <w:b/>
          <w:bCs/>
          <w:lang w:val="en-US"/>
        </w:rPr>
        <w:t>6</w:t>
      </w:r>
      <w:r w:rsidR="009E515E">
        <w:rPr>
          <w:b/>
          <w:bCs/>
          <w:lang w:val="en-US"/>
        </w:rPr>
        <w:t>: T</w:t>
      </w:r>
      <w:r w:rsidR="003226C1" w:rsidRPr="00156704">
        <w:rPr>
          <w:b/>
          <w:bCs/>
          <w:lang w:val="en-US"/>
        </w:rPr>
        <w:t xml:space="preserve">o prevent </w:t>
      </w:r>
      <w:proofErr w:type="spellStart"/>
      <w:r w:rsidR="003226C1" w:rsidRPr="00156704">
        <w:rPr>
          <w:b/>
          <w:bCs/>
          <w:lang w:val="en-US"/>
        </w:rPr>
        <w:t>SCell</w:t>
      </w:r>
      <w:proofErr w:type="spellEnd"/>
      <w:r w:rsidR="003226C1" w:rsidRPr="00156704">
        <w:rPr>
          <w:b/>
          <w:bCs/>
          <w:lang w:val="en-US"/>
        </w:rPr>
        <w:t xml:space="preserve"> dropping </w:t>
      </w:r>
      <w:r w:rsidR="00DC450C">
        <w:rPr>
          <w:b/>
          <w:bCs/>
          <w:lang w:val="en-US"/>
        </w:rPr>
        <w:t xml:space="preserve">due to </w:t>
      </w:r>
      <w:r w:rsidR="003226C1">
        <w:rPr>
          <w:b/>
          <w:bCs/>
          <w:lang w:val="en-US"/>
        </w:rPr>
        <w:t>a large power reduction</w:t>
      </w:r>
      <w:r w:rsidR="003226C1" w:rsidRPr="00156704">
        <w:rPr>
          <w:b/>
          <w:bCs/>
          <w:lang w:val="en-US"/>
        </w:rPr>
        <w:t xml:space="preserve">, </w:t>
      </w:r>
      <w:r>
        <w:rPr>
          <w:b/>
          <w:bCs/>
          <w:lang w:val="en-US"/>
        </w:rPr>
        <w:t xml:space="preserve">the discussed approach in RAN5 aligns with ongoing discussions in RAN4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r w:rsidR="007835BC">
        <w:rPr>
          <w:b/>
          <w:bCs/>
          <w:lang w:val="en-US"/>
        </w:rPr>
        <w:t xml:space="preserve">Setting a threshold for the reduction would ensure transmissions with equal power spectral density on all configured cells if same limit </w:t>
      </w:r>
      <w:r>
        <w:rPr>
          <w:b/>
          <w:bCs/>
          <w:lang w:val="en-US"/>
        </w:rPr>
        <w:t>were</w:t>
      </w:r>
      <w:r w:rsidR="007835BC">
        <w:rPr>
          <w:b/>
          <w:bCs/>
          <w:lang w:val="en-US"/>
        </w:rPr>
        <w:t xml:space="preserve"> configured for the </w:t>
      </w:r>
      <w:proofErr w:type="spellStart"/>
      <w:r w:rsidR="007835BC">
        <w:rPr>
          <w:b/>
          <w:bCs/>
          <w:lang w:val="en-US"/>
        </w:rPr>
        <w:t>SCells</w:t>
      </w:r>
      <w:proofErr w:type="spellEnd"/>
      <w:r w:rsidR="007835BC">
        <w:rPr>
          <w:b/>
          <w:bCs/>
          <w:lang w:val="en-US"/>
        </w:rPr>
        <w:t xml:space="preserve">. </w:t>
      </w:r>
    </w:p>
    <w:p w14:paraId="20183A44" w14:textId="279766DA" w:rsidR="00B32A91" w:rsidRDefault="00B32A91" w:rsidP="007267D3">
      <w:pPr>
        <w:spacing w:before="120" w:after="120"/>
        <w:rPr>
          <w:rFonts w:eastAsia="MS Mincho"/>
          <w:lang w:val="en-US"/>
        </w:rPr>
      </w:pPr>
      <w:r w:rsidRPr="00B32A91">
        <w:rPr>
          <w:rFonts w:eastAsia="MS Mincho"/>
          <w:lang w:val="en-US"/>
        </w:rPr>
        <w:t xml:space="preserve">Based on an analysis of the uplink power expectations in the tests across TS 38.521-2, it can be construed that the tests where UE is expected to operate at maximum transmit power can all utilize </w:t>
      </w:r>
      <w:r w:rsidR="007B2019">
        <w:rPr>
          <w:rFonts w:eastAsia="MS Mincho"/>
          <w:lang w:val="en-US"/>
        </w:rPr>
        <w:t>such a potential solution, if agreed</w:t>
      </w:r>
      <w:r w:rsidRPr="00B32A91">
        <w:rPr>
          <w:rFonts w:eastAsia="MS Mincho"/>
          <w:lang w:val="en-US"/>
        </w:rPr>
        <w:t xml:space="preserve">. </w:t>
      </w:r>
      <w:r w:rsidR="00ED0C20">
        <w:rPr>
          <w:rFonts w:eastAsia="MS Mincho"/>
          <w:lang w:val="en-US"/>
        </w:rPr>
        <w:t>Currently these tests are marked incomplete as agreed at RAN5#91e.</w:t>
      </w:r>
    </w:p>
    <w:p w14:paraId="7CE4EAE0" w14:textId="7EF7DC6F" w:rsidR="00B32A91" w:rsidRDefault="00B32A91" w:rsidP="007267D3">
      <w:pPr>
        <w:spacing w:before="120" w:after="120"/>
        <w:rPr>
          <w:rFonts w:eastAsia="MS Mincho"/>
          <w:b/>
          <w:bCs/>
          <w:lang w:val="en-US"/>
        </w:rPr>
      </w:pPr>
      <w:r>
        <w:rPr>
          <w:rFonts w:eastAsia="MS Mincho"/>
          <w:b/>
          <w:bCs/>
          <w:lang w:val="en-US"/>
        </w:rPr>
        <w:lastRenderedPageBreak/>
        <w:t xml:space="preserve">Observation </w:t>
      </w:r>
      <w:r w:rsidR="00363271">
        <w:rPr>
          <w:rFonts w:eastAsia="MS Mincho"/>
          <w:b/>
          <w:bCs/>
          <w:lang w:val="en-US"/>
        </w:rPr>
        <w:t>7</w:t>
      </w:r>
      <w:r>
        <w:rPr>
          <w:rFonts w:eastAsia="MS Mincho"/>
          <w:b/>
          <w:bCs/>
          <w:lang w:val="en-US"/>
        </w:rPr>
        <w:t>: Additional analysis is needed on the impact of tolerances of configured output power for allowed MPR values</w:t>
      </w:r>
      <w:r w:rsidR="00ED0C20">
        <w:rPr>
          <w:rFonts w:eastAsia="MS Mincho"/>
          <w:b/>
          <w:bCs/>
          <w:lang w:val="en-US"/>
        </w:rPr>
        <w:t xml:space="preserve"> which will be an issue RAN5 will have to address irrespective of the approach chosen</w:t>
      </w:r>
    </w:p>
    <w:p w14:paraId="0EED1BF0" w14:textId="0426A7EC" w:rsidR="00ED0C20" w:rsidRDefault="00ED0C20" w:rsidP="00ED0C20">
      <w:pPr>
        <w:pStyle w:val="Heading3"/>
        <w:rPr>
          <w:rFonts w:eastAsia="MS Mincho"/>
        </w:rPr>
      </w:pPr>
      <w:r>
        <w:rPr>
          <w:rFonts w:eastAsia="MS Mincho"/>
        </w:rPr>
        <w:t>2.3.</w:t>
      </w:r>
      <w:r>
        <w:rPr>
          <w:rFonts w:eastAsia="MS Mincho"/>
        </w:rPr>
        <w:t>2</w:t>
      </w:r>
      <w:r>
        <w:rPr>
          <w:rFonts w:eastAsia="MS Mincho"/>
        </w:rPr>
        <w:tab/>
      </w:r>
      <w:r>
        <w:rPr>
          <w:rFonts w:eastAsia="MS Mincho"/>
        </w:rPr>
        <w:t>The aspect of beam peak search</w:t>
      </w:r>
    </w:p>
    <w:p w14:paraId="7417A47F" w14:textId="6A89761A" w:rsidR="006D070D" w:rsidRDefault="006D070D" w:rsidP="00D00D4A">
      <w:pPr>
        <w:spacing w:before="120" w:after="120"/>
        <w:rPr>
          <w:rFonts w:eastAsia="MS PGothic"/>
        </w:rPr>
      </w:pPr>
      <w:r>
        <w:rPr>
          <w:rFonts w:eastAsia="MS PGothic"/>
        </w:rPr>
        <w:t xml:space="preserve">The peak beam search will have to be performed uniquely for CA tests unless there is a </w:t>
      </w:r>
      <w:r w:rsidR="00D00D4A" w:rsidRPr="00ED0C20">
        <w:rPr>
          <w:rFonts w:eastAsia="MS PGothic"/>
        </w:rPr>
        <w:t>UE vendor declaration of reusing the beam peak result from single carrier</w:t>
      </w:r>
      <w:r>
        <w:rPr>
          <w:rFonts w:eastAsia="MS PGothic"/>
        </w:rPr>
        <w:t xml:space="preserve"> [9]</w:t>
      </w:r>
      <w:r w:rsidR="00D00D4A" w:rsidRPr="00ED0C20">
        <w:rPr>
          <w:rFonts w:eastAsia="MS PGothic"/>
        </w:rPr>
        <w:t xml:space="preserve">. </w:t>
      </w:r>
      <w:r>
        <w:rPr>
          <w:rFonts w:eastAsia="MS PGothic"/>
        </w:rPr>
        <w:t xml:space="preserve">With the approach of limiting power on the </w:t>
      </w:r>
      <w:proofErr w:type="spellStart"/>
      <w:r>
        <w:rPr>
          <w:rFonts w:eastAsia="MS PGothic"/>
        </w:rPr>
        <w:t>PCell</w:t>
      </w:r>
      <w:proofErr w:type="spellEnd"/>
      <w:r>
        <w:rPr>
          <w:rFonts w:eastAsia="MS PGothic"/>
        </w:rPr>
        <w:t xml:space="preserve">, one aspect that needs to be discussed is if this would apply during the peak beam search process as well. If so, then the limiting of </w:t>
      </w:r>
      <w:proofErr w:type="spellStart"/>
      <w:r>
        <w:rPr>
          <w:rFonts w:eastAsia="MS PGothic"/>
        </w:rPr>
        <w:t>PCell</w:t>
      </w:r>
      <w:proofErr w:type="spellEnd"/>
      <w:r>
        <w:rPr>
          <w:rFonts w:eastAsia="MS PGothic"/>
        </w:rPr>
        <w:t xml:space="preserve"> power would potentially prevent the </w:t>
      </w:r>
      <w:proofErr w:type="spellStart"/>
      <w:r>
        <w:rPr>
          <w:rFonts w:eastAsia="MS PGothic"/>
        </w:rPr>
        <w:t>SCell</w:t>
      </w:r>
      <w:proofErr w:type="spellEnd"/>
      <w:r>
        <w:rPr>
          <w:rFonts w:eastAsia="MS PGothic"/>
        </w:rPr>
        <w:t xml:space="preserve"> </w:t>
      </w:r>
      <w:proofErr w:type="gramStart"/>
      <w:r>
        <w:rPr>
          <w:rFonts w:eastAsia="MS PGothic"/>
        </w:rPr>
        <w:t>drop</w:t>
      </w:r>
      <w:proofErr w:type="gramEnd"/>
      <w:r>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at RAN5#92. It can be discussed whether the results from peak beam search can be utilized within CA tests even if equal PSD has not been maintained. For intra-band CA, it can be assumed that the peak beam would not differ significantly across component carriers</w:t>
      </w:r>
    </w:p>
    <w:p w14:paraId="3684BA35" w14:textId="1A5183B2" w:rsidR="007B2019" w:rsidRPr="00ED0C20" w:rsidRDefault="007B2019" w:rsidP="00D00D4A">
      <w:pPr>
        <w:spacing w:before="120" w:after="120"/>
        <w:rPr>
          <w:rFonts w:eastAsia="MS PGothic"/>
        </w:rPr>
      </w:pPr>
      <w:r w:rsidRPr="007B2019">
        <w:rPr>
          <w:rFonts w:eastAsia="MS PGothic"/>
          <w:b/>
          <w:bCs/>
        </w:rPr>
        <w:t>Observation 8: Regarding concerns with test time/complexity</w:t>
      </w:r>
      <w:r w:rsidR="007B2679">
        <w:rPr>
          <w:rFonts w:eastAsia="MS PGothic"/>
          <w:b/>
          <w:bCs/>
        </w:rPr>
        <w:t xml:space="preserve"> of </w:t>
      </w:r>
      <w:r w:rsidRPr="007B2019">
        <w:rPr>
          <w:rFonts w:eastAsia="MS PGothic"/>
          <w:b/>
          <w:bCs/>
        </w:rPr>
        <w:t>beam</w:t>
      </w:r>
      <w:r w:rsidR="007B2679">
        <w:rPr>
          <w:rFonts w:eastAsia="MS PGothic"/>
          <w:b/>
          <w:bCs/>
        </w:rPr>
        <w:t xml:space="preserve"> peak</w:t>
      </w:r>
      <w:r w:rsidRPr="007B2019">
        <w:rPr>
          <w:rFonts w:eastAsia="MS PGothic"/>
          <w:b/>
          <w:bCs/>
        </w:rPr>
        <w:t xml:space="preserve"> search using the power limiting/adjustment approach, i</w:t>
      </w:r>
      <w:r w:rsidRPr="007B2019">
        <w:rPr>
          <w:rFonts w:eastAsia="MS PGothic"/>
          <w:b/>
          <w:bCs/>
        </w:rPr>
        <w:t>t can be discussed whether the results from peak beam search can be utilized within CA tests even if equal PSD has not been maintained</w:t>
      </w:r>
      <w:r w:rsidR="007B2679">
        <w:rPr>
          <w:rFonts w:eastAsia="MS PGothic"/>
          <w:b/>
          <w:bCs/>
        </w:rPr>
        <w:t xml:space="preserve"> during beam peak search procedure</w:t>
      </w:r>
      <w:r w:rsidRPr="007B2019">
        <w:rPr>
          <w:rFonts w:eastAsia="MS PGothic"/>
          <w:b/>
          <w:bCs/>
        </w:rPr>
        <w:t>. For intra-band CA, it can be assumed that the peak beam would not differ significantly across component carriers</w:t>
      </w:r>
      <w:r w:rsidR="007B2679">
        <w:rPr>
          <w:rFonts w:eastAsia="MS PGothic"/>
          <w:b/>
          <w:bCs/>
        </w:rPr>
        <w:t>.</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1FF4A1B4" w14:textId="77777777" w:rsidR="00B75855" w:rsidRPr="009E515E" w:rsidRDefault="00B75855" w:rsidP="00B75855">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3BE5BA81" w14:textId="77777777" w:rsidR="00B75855" w:rsidRPr="00B75855" w:rsidRDefault="00B75855" w:rsidP="00B75855">
      <w:pPr>
        <w:spacing w:before="120" w:after="120"/>
        <w:rPr>
          <w:rFonts w:eastAsia="MS Mincho"/>
          <w:b/>
          <w:iCs/>
        </w:rPr>
      </w:pPr>
      <w:r w:rsidRPr="00B75855">
        <w:rPr>
          <w:rFonts w:eastAsia="MS Mincho" w:hint="eastAsia"/>
          <w:b/>
          <w:iCs/>
        </w:rPr>
        <w:t xml:space="preserve">Observation 2: </w:t>
      </w:r>
      <w:r w:rsidRPr="00B75855">
        <w:rPr>
          <w:rFonts w:eastAsia="MS Mincho"/>
          <w:b/>
          <w:iCs/>
        </w:rPr>
        <w:t>As per</w:t>
      </w:r>
      <w:r w:rsidRPr="00B75855">
        <w:rPr>
          <w:rFonts w:eastAsia="MS Mincho" w:hint="eastAsia"/>
          <w:b/>
          <w:iCs/>
        </w:rPr>
        <w:t xml:space="preserve"> TS 38.213</w:t>
      </w:r>
      <w:r w:rsidRPr="00B75855">
        <w:rPr>
          <w:rFonts w:eastAsia="MS Mincho"/>
          <w:b/>
          <w:iCs/>
        </w:rPr>
        <w:t xml:space="preserve"> prioritization rules</w:t>
      </w:r>
      <w:r w:rsidRPr="00B75855">
        <w:rPr>
          <w:rFonts w:eastAsia="MS Mincho" w:hint="eastAsia"/>
          <w:b/>
          <w:iCs/>
        </w:rPr>
        <w:t xml:space="preserve">, PCC is prioritized </w:t>
      </w:r>
      <w:r w:rsidRPr="00B75855">
        <w:rPr>
          <w:rFonts w:eastAsia="MS Mincho"/>
          <w:b/>
          <w:iCs/>
        </w:rPr>
        <w:t>over SCC. This is also the mode of operation in the field</w:t>
      </w:r>
    </w:p>
    <w:p w14:paraId="7ADFB36C" w14:textId="217DB7A4" w:rsidR="00B75855" w:rsidRPr="009E515E" w:rsidRDefault="00B75855" w:rsidP="00B75855">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[2] to RAN5 that equal PSD is preferred test condition. However, actual UE </w:t>
      </w:r>
      <w:r w:rsidR="007B2019">
        <w:rPr>
          <w:rFonts w:eastAsia="MS Mincho"/>
          <w:b/>
          <w:iCs/>
        </w:rPr>
        <w:t>behaviour</w:t>
      </w:r>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w:t>
      </w:r>
      <w:proofErr w:type="spellStart"/>
      <w:r>
        <w:rPr>
          <w:rFonts w:eastAsia="MS Mincho"/>
          <w:b/>
          <w:iCs/>
        </w:rPr>
        <w:t>iN</w:t>
      </w:r>
      <w:proofErr w:type="spellEnd"/>
      <w:r>
        <w:rPr>
          <w:rFonts w:eastAsia="MS Mincho"/>
          <w:b/>
          <w:iCs/>
        </w:rPr>
        <w:t xml:space="preserve"> TS 38.213 to identify testing details. </w:t>
      </w:r>
    </w:p>
    <w:p w14:paraId="33E98D36" w14:textId="7777777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rPr>
        <w:t>recognizes prioritization rules in TS 38.213</w:t>
      </w:r>
    </w:p>
    <w:p w14:paraId="30138C0E" w14:textId="370FBE23" w:rsidR="007B2019" w:rsidRDefault="007B2019" w:rsidP="007B2019">
      <w:pPr>
        <w:spacing w:before="120" w:after="120"/>
        <w:rPr>
          <w:rFonts w:eastAsia="MS Mincho"/>
          <w:b/>
          <w:iCs/>
        </w:rPr>
      </w:pPr>
      <w:r w:rsidRPr="009E515E">
        <w:rPr>
          <w:rFonts w:eastAsia="MS Mincho"/>
          <w:b/>
          <w:iCs/>
        </w:rPr>
        <w:t xml:space="preserve">Observation </w:t>
      </w:r>
      <w:r>
        <w:rPr>
          <w:rFonts w:eastAsia="MS Mincho"/>
          <w:b/>
          <w:iCs/>
        </w:rPr>
        <w:t>5</w:t>
      </w:r>
      <w:r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analyse and define test procedures which will ensure testability for intra-band UL-CA scenarios</w:t>
      </w:r>
      <w:r w:rsidRPr="009E515E">
        <w:rPr>
          <w:rFonts w:eastAsia="MS Mincho" w:hint="eastAsia"/>
          <w:b/>
          <w:iCs/>
        </w:rPr>
        <w:t>.</w:t>
      </w:r>
      <w:r>
        <w:rPr>
          <w:rFonts w:eastAsia="MS Mincho"/>
          <w:b/>
          <w:iCs/>
        </w:rPr>
        <w:t xml:space="preserve"> Considering the ongoing RAN4 discussion, a potential solution from RAN4 cannot be precluded.</w:t>
      </w:r>
    </w:p>
    <w:p w14:paraId="3CA7C21A" w14:textId="77777777" w:rsidR="007B2019" w:rsidRPr="004347B3" w:rsidRDefault="007B2019" w:rsidP="007B2019">
      <w:pPr>
        <w:pStyle w:val="BodyText"/>
        <w:rPr>
          <w:b/>
          <w:bCs/>
          <w:lang w:val="en-US"/>
        </w:rPr>
      </w:pPr>
      <w:r>
        <w:rPr>
          <w:b/>
          <w:bCs/>
          <w:lang w:val="en-US"/>
        </w:rPr>
        <w:t>Observation 6: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aligns with ongoing discussions in RAN4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Setting a threshold for the reduction would ensure transmissions with equal power spectral density on all configured cells if same limit were configured for the </w:t>
      </w:r>
      <w:proofErr w:type="spellStart"/>
      <w:r>
        <w:rPr>
          <w:b/>
          <w:bCs/>
          <w:lang w:val="en-US"/>
        </w:rPr>
        <w:t>SCells</w:t>
      </w:r>
      <w:proofErr w:type="spellEnd"/>
      <w:r>
        <w:rPr>
          <w:b/>
          <w:bCs/>
          <w:lang w:val="en-US"/>
        </w:rPr>
        <w:t xml:space="preserve">. </w:t>
      </w:r>
    </w:p>
    <w:p w14:paraId="1DC8C687" w14:textId="7A06AA82" w:rsidR="007B2019" w:rsidRDefault="007B2019" w:rsidP="007B2019">
      <w:pPr>
        <w:spacing w:before="120" w:after="120"/>
        <w:rPr>
          <w:rFonts w:eastAsia="MS Mincho"/>
          <w:b/>
          <w:bCs/>
          <w:lang w:val="en-US"/>
        </w:rPr>
      </w:pPr>
      <w:r>
        <w:rPr>
          <w:rFonts w:eastAsia="MS Mincho"/>
          <w:b/>
          <w:bCs/>
          <w:lang w:val="en-US"/>
        </w:rPr>
        <w:t>Observation 7: Additional analysis is needed on the impact of tolerances of configured output power for allowed MPR values which will be an issue RAN5 will have to address irrespective of the approach chosen</w:t>
      </w:r>
    </w:p>
    <w:p w14:paraId="6CC836D5" w14:textId="274777CF" w:rsidR="007B2679" w:rsidRDefault="007B2679" w:rsidP="007B2019">
      <w:pPr>
        <w:spacing w:before="120" w:after="120"/>
        <w:rPr>
          <w:rFonts w:eastAsia="MS Mincho"/>
          <w:b/>
          <w:bCs/>
          <w:lang w:val="en-US"/>
        </w:rPr>
      </w:pPr>
      <w:r w:rsidRPr="007B2019">
        <w:rPr>
          <w:rFonts w:eastAsia="MS PGothic"/>
          <w:b/>
          <w:bCs/>
        </w:rPr>
        <w:t>Observation 8: Regarding concerns with test time/complexity</w:t>
      </w:r>
      <w:r>
        <w:rPr>
          <w:rFonts w:eastAsia="MS PGothic"/>
          <w:b/>
          <w:bCs/>
        </w:rPr>
        <w:t xml:space="preserve"> of </w:t>
      </w:r>
      <w:r w:rsidRPr="007B2019">
        <w:rPr>
          <w:rFonts w:eastAsia="MS PGothic"/>
          <w:b/>
          <w:bCs/>
        </w:rPr>
        <w:t>beam</w:t>
      </w:r>
      <w:r>
        <w:rPr>
          <w:rFonts w:eastAsia="MS PGothic"/>
          <w:b/>
          <w:bCs/>
        </w:rPr>
        <w:t xml:space="preserve"> peak</w:t>
      </w:r>
      <w:r w:rsidRPr="007B2019">
        <w:rPr>
          <w:rFonts w:eastAsia="MS PGothic"/>
          <w:b/>
          <w:bCs/>
        </w:rPr>
        <w:t xml:space="preserve"> search using the power limiting/adjustment approach, it can be discussed whether the results from peak beam search can be utilized within CA tests even if equal PSD has not been maintained</w:t>
      </w:r>
      <w:r>
        <w:rPr>
          <w:rFonts w:eastAsia="MS PGothic"/>
          <w:b/>
          <w:bCs/>
        </w:rPr>
        <w:t xml:space="preserve"> during beam peak search procedure</w:t>
      </w:r>
      <w:r w:rsidRPr="007B2019">
        <w:rPr>
          <w:rFonts w:eastAsia="MS PGothic"/>
          <w:b/>
          <w:bCs/>
        </w:rPr>
        <w:t>. For intra-band CA, it can be assumed that the peak beam would not differ significantly across component carriers</w:t>
      </w:r>
      <w:r>
        <w:rPr>
          <w:rFonts w:eastAsia="MS PGothic"/>
          <w:b/>
          <w:bCs/>
        </w:rPr>
        <w:t>.</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lastRenderedPageBreak/>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3CAF4C9F" w:rsidR="006D070D" w:rsidRPr="004B277B"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224FD057" w14:textId="1833AE9A" w:rsidR="00080512" w:rsidRPr="00DB2F35" w:rsidRDefault="00080512">
      <w:pPr>
        <w:rPr>
          <w:rFonts w:ascii="Arial" w:hAnsi="Arial" w:cs="Arial"/>
        </w:rPr>
      </w:pPr>
    </w:p>
    <w:sectPr w:rsidR="00080512" w:rsidRPr="00DB2F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B79C" w14:textId="77777777" w:rsidR="00AF628D" w:rsidRDefault="00AF628D">
      <w:r>
        <w:separator/>
      </w:r>
    </w:p>
  </w:endnote>
  <w:endnote w:type="continuationSeparator" w:id="0">
    <w:p w14:paraId="17E7D3E0" w14:textId="77777777" w:rsidR="00AF628D" w:rsidRDefault="00AF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6C3A3" w14:textId="77777777" w:rsidR="00AF628D" w:rsidRDefault="00AF628D">
      <w:r>
        <w:separator/>
      </w:r>
    </w:p>
  </w:footnote>
  <w:footnote w:type="continuationSeparator" w:id="0">
    <w:p w14:paraId="7599EFF6" w14:textId="77777777" w:rsidR="00AF628D" w:rsidRDefault="00AF6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A3C24"/>
    <w:rsid w:val="003B16F0"/>
    <w:rsid w:val="003C0739"/>
    <w:rsid w:val="003C112B"/>
    <w:rsid w:val="003C3971"/>
    <w:rsid w:val="003E7753"/>
    <w:rsid w:val="00423334"/>
    <w:rsid w:val="004266F6"/>
    <w:rsid w:val="004345EC"/>
    <w:rsid w:val="004826A9"/>
    <w:rsid w:val="00483EAA"/>
    <w:rsid w:val="004B277B"/>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7066D"/>
    <w:rsid w:val="006A323F"/>
    <w:rsid w:val="006A64D8"/>
    <w:rsid w:val="006B30D0"/>
    <w:rsid w:val="006C3D95"/>
    <w:rsid w:val="006D070D"/>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2019"/>
    <w:rsid w:val="007B2679"/>
    <w:rsid w:val="007B5C8F"/>
    <w:rsid w:val="007B600E"/>
    <w:rsid w:val="007C6E5A"/>
    <w:rsid w:val="007E29E4"/>
    <w:rsid w:val="007F0F4A"/>
    <w:rsid w:val="007F3FCD"/>
    <w:rsid w:val="008028A4"/>
    <w:rsid w:val="00820B25"/>
    <w:rsid w:val="0082214F"/>
    <w:rsid w:val="00822E27"/>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F02"/>
    <w:rsid w:val="00A164B4"/>
    <w:rsid w:val="00A26956"/>
    <w:rsid w:val="00A53724"/>
    <w:rsid w:val="00A73129"/>
    <w:rsid w:val="00A82346"/>
    <w:rsid w:val="00A92BA1"/>
    <w:rsid w:val="00AC6BC6"/>
    <w:rsid w:val="00AE3797"/>
    <w:rsid w:val="00AF628D"/>
    <w:rsid w:val="00B00E0F"/>
    <w:rsid w:val="00B054BA"/>
    <w:rsid w:val="00B15449"/>
    <w:rsid w:val="00B32A91"/>
    <w:rsid w:val="00B75855"/>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2FCD"/>
    <w:rsid w:val="00CA3D0C"/>
    <w:rsid w:val="00CA7DCF"/>
    <w:rsid w:val="00CD053D"/>
    <w:rsid w:val="00CE1675"/>
    <w:rsid w:val="00CF20E3"/>
    <w:rsid w:val="00CF7EA0"/>
    <w:rsid w:val="00D00D4A"/>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0C20"/>
    <w:rsid w:val="00ED3EEC"/>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185</TotalTime>
  <Pages>5</Pages>
  <Words>2047</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12</cp:revision>
  <cp:lastPrinted>2019-02-25T23:05:00Z</cp:lastPrinted>
  <dcterms:created xsi:type="dcterms:W3CDTF">2021-02-19T01:18:00Z</dcterms:created>
  <dcterms:modified xsi:type="dcterms:W3CDTF">2021-08-07T07:02:00Z</dcterms:modified>
  <cp:category/>
</cp:coreProperties>
</file>