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2F9" w:rsidRPr="00E446E8" w:rsidRDefault="002912F9" w:rsidP="002912F9">
      <w:pPr>
        <w:ind w:left="2160" w:hanging="2160"/>
        <w:rPr>
          <w:b/>
        </w:rPr>
      </w:pPr>
      <w:bookmarkStart w:id="0" w:name="_GoBack"/>
      <w:bookmarkEnd w:id="0"/>
      <w:r w:rsidRPr="00E446E8">
        <w:rPr>
          <w:b/>
        </w:rPr>
        <w:t>Title:</w:t>
      </w:r>
      <w:r w:rsidRPr="00E446E8">
        <w:rPr>
          <w:b/>
        </w:rPr>
        <w:tab/>
      </w:r>
      <w:r>
        <w:t>Test</w:t>
      </w:r>
      <w:r w:rsidRPr="00E446E8">
        <w:t xml:space="preserve"> point selection for </w:t>
      </w:r>
      <w:r w:rsidR="005661FF">
        <w:t>Narrow band blocking</w:t>
      </w:r>
      <w:r w:rsidR="00185F6B" w:rsidRPr="001866A5">
        <w:t xml:space="preserve"> for</w:t>
      </w:r>
      <w:r w:rsidR="00B136D3" w:rsidRPr="00842A89">
        <w:t xml:space="preserve"> </w:t>
      </w:r>
      <w:r w:rsidR="001A65AB">
        <w:t>intra-band contiguous EN-DC in FR1</w:t>
      </w:r>
    </w:p>
    <w:p w:rsidR="00A2208A" w:rsidRPr="00E446E8" w:rsidRDefault="00A2208A" w:rsidP="00A2208A">
      <w:pPr>
        <w:rPr>
          <w:bCs/>
        </w:rPr>
      </w:pPr>
      <w:r w:rsidRPr="00E446E8">
        <w:rPr>
          <w:b/>
        </w:rPr>
        <w:t>Source:</w:t>
      </w:r>
      <w:r w:rsidRPr="00E446E8">
        <w:rPr>
          <w:b/>
        </w:rPr>
        <w:tab/>
      </w:r>
      <w:r w:rsidRPr="00E446E8">
        <w:rPr>
          <w:b/>
        </w:rPr>
        <w:tab/>
      </w:r>
      <w:r w:rsidR="00185F6B">
        <w:rPr>
          <w:rFonts w:hint="eastAsia"/>
        </w:rPr>
        <w:t>CAICT</w:t>
      </w:r>
    </w:p>
    <w:p w:rsidR="00B81FC7" w:rsidRPr="00E446E8" w:rsidRDefault="00B81FC7" w:rsidP="00B81FC7">
      <w:pPr>
        <w:pStyle w:val="1"/>
        <w:rPr>
          <w:rFonts w:cs="Arial"/>
          <w:lang w:val="en-US"/>
        </w:rPr>
      </w:pPr>
      <w:r w:rsidRPr="00E446E8">
        <w:rPr>
          <w:rFonts w:cs="Arial"/>
          <w:lang w:val="en-US"/>
        </w:rPr>
        <w:t>Introduction</w:t>
      </w:r>
    </w:p>
    <w:p w:rsidR="00E446E8" w:rsidRPr="00E446E8" w:rsidRDefault="00E446E8" w:rsidP="00E446E8">
      <w:pPr>
        <w:jc w:val="both"/>
      </w:pPr>
      <w:bookmarkStart w:id="1" w:name="OLE_LINK10"/>
      <w:bookmarkStart w:id="2" w:name="OLE_LINK11"/>
      <w:r w:rsidRPr="00E446E8">
        <w:t xml:space="preserve">In this contribution the selection of </w:t>
      </w:r>
      <w:r w:rsidR="004C2DFB">
        <w:rPr>
          <w:rFonts w:hint="eastAsia"/>
        </w:rPr>
        <w:t xml:space="preserve">test </w:t>
      </w:r>
      <w:r w:rsidR="004C2DFB">
        <w:t>environment</w:t>
      </w:r>
      <w:r w:rsidR="004C2DFB">
        <w:rPr>
          <w:rFonts w:hint="eastAsia"/>
        </w:rPr>
        <w:t xml:space="preserve">, </w:t>
      </w:r>
      <w:r w:rsidRPr="00E446E8">
        <w:t xml:space="preserve">frequency, channel BW, SCS, RB allocation and </w:t>
      </w:r>
      <w:r w:rsidR="004C2DFB">
        <w:rPr>
          <w:rFonts w:hint="eastAsia"/>
        </w:rPr>
        <w:t>modulation</w:t>
      </w:r>
      <w:r w:rsidRPr="00E446E8">
        <w:t xml:space="preserve"> for</w:t>
      </w:r>
      <w:r w:rsidR="00881CF7">
        <w:rPr>
          <w:rFonts w:hint="eastAsia"/>
        </w:rPr>
        <w:t xml:space="preserve"> </w:t>
      </w:r>
      <w:r w:rsidR="005661FF">
        <w:t>Narrow band blocking</w:t>
      </w:r>
      <w:r w:rsidR="00881CF7" w:rsidRPr="001866A5">
        <w:t xml:space="preserve"> </w:t>
      </w:r>
      <w:r w:rsidR="002F788D" w:rsidRPr="001866A5">
        <w:t>for</w:t>
      </w:r>
      <w:r w:rsidR="002F788D" w:rsidRPr="00842A89">
        <w:t xml:space="preserve"> </w:t>
      </w:r>
      <w:r w:rsidR="001A65AB">
        <w:t>intra-band contiguous EN-DC in FR1</w:t>
      </w:r>
      <w:r w:rsidRPr="00E446E8">
        <w:t xml:space="preserve"> is analyzed.</w:t>
      </w:r>
    </w:p>
    <w:p w:rsidR="00FC45FA" w:rsidRPr="00E446E8" w:rsidRDefault="009B6361" w:rsidP="00FC45FA">
      <w:pPr>
        <w:pStyle w:val="1"/>
        <w:rPr>
          <w:rFonts w:cs="Arial"/>
          <w:lang w:val="en-US"/>
        </w:rPr>
      </w:pPr>
      <w:r>
        <w:rPr>
          <w:lang w:val="en-US"/>
        </w:rPr>
        <w:t>Discussion</w:t>
      </w:r>
      <w:r w:rsidR="00E446E8" w:rsidRPr="00E446E8">
        <w:rPr>
          <w:rFonts w:cs="Arial"/>
          <w:lang w:val="en-US"/>
        </w:rPr>
        <w:t xml:space="preserve"> </w:t>
      </w:r>
    </w:p>
    <w:p w:rsidR="009B6361" w:rsidRDefault="00E446E8" w:rsidP="008829FA">
      <w:r w:rsidRPr="00E446E8">
        <w:rPr>
          <w:lang w:eastAsia="en-US"/>
        </w:rPr>
        <w:t xml:space="preserve">The </w:t>
      </w:r>
      <w:r w:rsidR="005661FF">
        <w:t>Narrow band blocking</w:t>
      </w:r>
      <w:r w:rsidR="00881CF7" w:rsidRPr="001866A5">
        <w:t xml:space="preserve"> </w:t>
      </w:r>
      <w:r w:rsidR="002F788D" w:rsidRPr="001866A5">
        <w:t>for</w:t>
      </w:r>
      <w:r w:rsidR="002F788D" w:rsidRPr="00842A89">
        <w:t xml:space="preserve"> </w:t>
      </w:r>
      <w:r w:rsidR="001A65AB">
        <w:t>intra-band contiguous EN-DC in FR1</w:t>
      </w:r>
      <w:r w:rsidR="009B6361">
        <w:rPr>
          <w:lang w:eastAsia="en-US"/>
        </w:rPr>
        <w:t xml:space="preserve"> is </w:t>
      </w:r>
      <w:r>
        <w:rPr>
          <w:lang w:eastAsia="en-US"/>
        </w:rPr>
        <w:t xml:space="preserve">defined in section </w:t>
      </w:r>
      <w:r w:rsidR="009B6361">
        <w:rPr>
          <w:lang w:eastAsia="en-US"/>
        </w:rPr>
        <w:t>7.</w:t>
      </w:r>
      <w:r w:rsidR="00881CF7">
        <w:rPr>
          <w:rFonts w:hint="eastAsia"/>
        </w:rPr>
        <w:t>6</w:t>
      </w:r>
      <w:r w:rsidR="001B3B74">
        <w:rPr>
          <w:rFonts w:hint="eastAsia"/>
        </w:rPr>
        <w:t>B.</w:t>
      </w:r>
      <w:r w:rsidR="005661FF">
        <w:rPr>
          <w:rFonts w:hint="eastAsia"/>
        </w:rPr>
        <w:t>4</w:t>
      </w:r>
      <w:r w:rsidR="00881CF7">
        <w:rPr>
          <w:rFonts w:hint="eastAsia"/>
        </w:rPr>
        <w:t>.</w:t>
      </w:r>
      <w:r w:rsidR="00776294">
        <w:rPr>
          <w:rFonts w:hint="eastAsia"/>
        </w:rPr>
        <w:t>1</w:t>
      </w:r>
      <w:r>
        <w:rPr>
          <w:lang w:eastAsia="en-US"/>
        </w:rPr>
        <w:t xml:space="preserve"> of TS 38.101-</w:t>
      </w:r>
      <w:r w:rsidR="002F788D">
        <w:rPr>
          <w:rFonts w:hint="eastAsia"/>
        </w:rPr>
        <w:t>3</w:t>
      </w:r>
      <w:r>
        <w:rPr>
          <w:lang w:eastAsia="en-US"/>
        </w:rPr>
        <w:t>.</w:t>
      </w:r>
    </w:p>
    <w:p w:rsidR="0077571B" w:rsidRPr="00DF6DD6" w:rsidRDefault="0077571B" w:rsidP="0077571B">
      <w:pPr>
        <w:pStyle w:val="4"/>
      </w:pPr>
      <w:bookmarkStart w:id="3" w:name="_Toc21345674"/>
      <w:bookmarkStart w:id="4" w:name="_Toc29806523"/>
      <w:bookmarkStart w:id="5" w:name="_Toc37256056"/>
      <w:bookmarkStart w:id="6" w:name="_Toc37256397"/>
      <w:r w:rsidRPr="00DF6DD6">
        <w:t>7.6B.4.1</w:t>
      </w:r>
      <w:r w:rsidRPr="00DF6DD6">
        <w:tab/>
        <w:t>Intra-band contiguous EN-DC in FR1</w:t>
      </w:r>
      <w:bookmarkEnd w:id="3"/>
      <w:bookmarkEnd w:id="4"/>
      <w:bookmarkEnd w:id="5"/>
      <w:bookmarkEnd w:id="6"/>
    </w:p>
    <w:p w:rsidR="0077571B" w:rsidRPr="00DF6DD6" w:rsidRDefault="0077571B" w:rsidP="0077571B">
      <w:pPr>
        <w:rPr>
          <w:rFonts w:eastAsia="Times New Roman"/>
        </w:rPr>
      </w:pPr>
      <w:r w:rsidRPr="00DF6DD6">
        <w:rPr>
          <w:rFonts w:eastAsia="Times New Roman"/>
        </w:rPr>
        <w:t>Intra-band contiguous EN-DC narrow band blocking requirement and parameters are defined in Table 7.6B.4.1-1.</w:t>
      </w:r>
    </w:p>
    <w:p w:rsidR="0077571B" w:rsidRPr="0077571B" w:rsidRDefault="0077571B" w:rsidP="0077571B">
      <w:pPr>
        <w:pStyle w:val="TH"/>
        <w:rPr>
          <w:highlight w:val="lightGray"/>
        </w:rPr>
      </w:pPr>
      <w:r w:rsidRPr="0077571B">
        <w:rPr>
          <w:highlight w:val="lightGray"/>
        </w:rPr>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392"/>
        <w:gridCol w:w="1466"/>
        <w:gridCol w:w="1466"/>
        <w:gridCol w:w="1431"/>
      </w:tblGrid>
      <w:tr w:rsidR="0077571B" w:rsidRPr="0077571B" w:rsidTr="004B0FD5">
        <w:trPr>
          <w:trHeight w:val="19"/>
          <w:jc w:val="center"/>
        </w:trPr>
        <w:tc>
          <w:tcPr>
            <w:tcW w:w="3306" w:type="dxa"/>
            <w:shd w:val="clear" w:color="auto" w:fill="auto"/>
            <w:vAlign w:val="center"/>
          </w:tcPr>
          <w:p w:rsidR="0077571B" w:rsidRPr="0077571B" w:rsidRDefault="0077571B" w:rsidP="004B0FD5">
            <w:pPr>
              <w:pStyle w:val="TAC"/>
              <w:rPr>
                <w:b/>
                <w:highlight w:val="lightGray"/>
              </w:rPr>
            </w:pPr>
            <w:r w:rsidRPr="0077571B">
              <w:rPr>
                <w:b/>
                <w:highlight w:val="lightGray"/>
              </w:rPr>
              <w:t>EN-DC Aggregated Bandwidth, MHz</w:t>
            </w:r>
          </w:p>
        </w:tc>
        <w:tc>
          <w:tcPr>
            <w:tcW w:w="1392" w:type="dxa"/>
            <w:shd w:val="clear" w:color="auto" w:fill="auto"/>
            <w:vAlign w:val="center"/>
          </w:tcPr>
          <w:p w:rsidR="0077571B" w:rsidRPr="0077571B" w:rsidRDefault="0077571B" w:rsidP="004B0FD5">
            <w:pPr>
              <w:pStyle w:val="TAC"/>
              <w:rPr>
                <w:highlight w:val="lightGray"/>
              </w:rPr>
            </w:pPr>
            <w:r w:rsidRPr="0077571B">
              <w:rPr>
                <w:rFonts w:cs="Arial"/>
                <w:highlight w:val="lightGray"/>
              </w:rPr>
              <w:t>≤</w:t>
            </w:r>
            <w:r w:rsidRPr="0077571B">
              <w:rPr>
                <w:highlight w:val="lightGray"/>
              </w:rPr>
              <w:t>100</w:t>
            </w:r>
          </w:p>
        </w:tc>
        <w:tc>
          <w:tcPr>
            <w:tcW w:w="1466" w:type="dxa"/>
            <w:vAlign w:val="center"/>
          </w:tcPr>
          <w:p w:rsidR="0077571B" w:rsidRPr="0077571B" w:rsidRDefault="0077571B" w:rsidP="004B0FD5">
            <w:pPr>
              <w:pStyle w:val="TAC"/>
              <w:rPr>
                <w:highlight w:val="lightGray"/>
              </w:rPr>
            </w:pPr>
            <w:r w:rsidRPr="0077571B">
              <w:rPr>
                <w:highlight w:val="lightGray"/>
              </w:rPr>
              <w:t xml:space="preserve">&gt;100, </w:t>
            </w:r>
            <w:r w:rsidRPr="0077571B">
              <w:rPr>
                <w:rFonts w:cs="Arial"/>
                <w:highlight w:val="lightGray"/>
              </w:rPr>
              <w:t>≤</w:t>
            </w:r>
            <w:r w:rsidRPr="0077571B">
              <w:rPr>
                <w:highlight w:val="lightGray"/>
              </w:rPr>
              <w:t>120</w:t>
            </w:r>
          </w:p>
        </w:tc>
        <w:tc>
          <w:tcPr>
            <w:tcW w:w="1466" w:type="dxa"/>
            <w:vAlign w:val="center"/>
          </w:tcPr>
          <w:p w:rsidR="0077571B" w:rsidRPr="0077571B" w:rsidRDefault="0077571B" w:rsidP="004B0FD5">
            <w:pPr>
              <w:pStyle w:val="TAC"/>
              <w:rPr>
                <w:highlight w:val="lightGray"/>
              </w:rPr>
            </w:pPr>
            <w:r w:rsidRPr="0077571B">
              <w:rPr>
                <w:highlight w:val="lightGray"/>
              </w:rPr>
              <w:t xml:space="preserve">&gt;120, </w:t>
            </w:r>
            <w:r w:rsidRPr="0077571B">
              <w:rPr>
                <w:rFonts w:cs="Arial"/>
                <w:highlight w:val="lightGray"/>
              </w:rPr>
              <w:t>≤</w:t>
            </w:r>
            <w:r w:rsidRPr="0077571B">
              <w:rPr>
                <w:highlight w:val="lightGray"/>
              </w:rPr>
              <w:t>140</w:t>
            </w:r>
          </w:p>
        </w:tc>
        <w:tc>
          <w:tcPr>
            <w:tcW w:w="1428" w:type="dxa"/>
            <w:vAlign w:val="center"/>
          </w:tcPr>
          <w:p w:rsidR="0077571B" w:rsidRPr="0077571B" w:rsidRDefault="0077571B" w:rsidP="004B0FD5">
            <w:pPr>
              <w:pStyle w:val="TAC"/>
              <w:rPr>
                <w:highlight w:val="lightGray"/>
              </w:rPr>
            </w:pPr>
            <w:r w:rsidRPr="0077571B">
              <w:rPr>
                <w:highlight w:val="lightGray"/>
              </w:rPr>
              <w:t xml:space="preserve">&gt;140, </w:t>
            </w:r>
            <w:r w:rsidRPr="0077571B">
              <w:rPr>
                <w:rFonts w:cs="Arial"/>
                <w:highlight w:val="lightGray"/>
              </w:rPr>
              <w:t>≤</w:t>
            </w:r>
            <w:r w:rsidRPr="0077571B">
              <w:rPr>
                <w:highlight w:val="lightGray"/>
              </w:rPr>
              <w:t>160</w:t>
            </w:r>
          </w:p>
        </w:tc>
      </w:tr>
      <w:tr w:rsidR="0077571B" w:rsidRPr="0077571B" w:rsidTr="004B0FD5">
        <w:trPr>
          <w:trHeight w:val="19"/>
          <w:jc w:val="center"/>
        </w:trPr>
        <w:tc>
          <w:tcPr>
            <w:tcW w:w="3306" w:type="dxa"/>
            <w:vMerge w:val="restart"/>
            <w:shd w:val="clear" w:color="auto" w:fill="auto"/>
            <w:vAlign w:val="center"/>
          </w:tcPr>
          <w:p w:rsidR="0077571B" w:rsidRPr="0077571B" w:rsidRDefault="0077571B" w:rsidP="004B0FD5">
            <w:pPr>
              <w:pStyle w:val="TAC"/>
              <w:rPr>
                <w:b/>
                <w:highlight w:val="lightGray"/>
              </w:rPr>
            </w:pPr>
            <w:r w:rsidRPr="0077571B">
              <w:rPr>
                <w:b/>
                <w:highlight w:val="lightGray"/>
              </w:rPr>
              <w:t xml:space="preserve">Pw in Transmission Bandwidth Configuration, </w:t>
            </w:r>
            <w:proofErr w:type="spellStart"/>
            <w:r w:rsidRPr="0077571B">
              <w:rPr>
                <w:b/>
                <w:highlight w:val="lightGray"/>
              </w:rPr>
              <w:t>perCC</w:t>
            </w:r>
            <w:proofErr w:type="spellEnd"/>
            <w:r w:rsidRPr="0077571B">
              <w:rPr>
                <w:b/>
                <w:highlight w:val="lightGray"/>
              </w:rPr>
              <w:t xml:space="preserve">, </w:t>
            </w:r>
            <w:proofErr w:type="spellStart"/>
            <w:r w:rsidRPr="0077571B">
              <w:rPr>
                <w:b/>
                <w:highlight w:val="lightGray"/>
              </w:rPr>
              <w:t>dBm</w:t>
            </w:r>
            <w:proofErr w:type="spellEnd"/>
          </w:p>
        </w:tc>
        <w:tc>
          <w:tcPr>
            <w:tcW w:w="5754" w:type="dxa"/>
            <w:gridSpan w:val="4"/>
            <w:shd w:val="clear" w:color="auto" w:fill="auto"/>
            <w:vAlign w:val="center"/>
          </w:tcPr>
          <w:p w:rsidR="0077571B" w:rsidRPr="0077571B" w:rsidRDefault="0077571B" w:rsidP="004B0FD5">
            <w:pPr>
              <w:pStyle w:val="TAC"/>
              <w:rPr>
                <w:highlight w:val="lightGray"/>
              </w:rPr>
            </w:pPr>
            <w:r w:rsidRPr="0077571B">
              <w:rPr>
                <w:highlight w:val="lightGray"/>
              </w:rPr>
              <w:t>REFSENS + Aggregated BW specific value below</w:t>
            </w:r>
          </w:p>
        </w:tc>
      </w:tr>
      <w:tr w:rsidR="0077571B" w:rsidRPr="0077571B" w:rsidTr="004B0FD5">
        <w:trPr>
          <w:trHeight w:val="19"/>
          <w:jc w:val="center"/>
        </w:trPr>
        <w:tc>
          <w:tcPr>
            <w:tcW w:w="3306" w:type="dxa"/>
            <w:vMerge/>
            <w:shd w:val="clear" w:color="auto" w:fill="auto"/>
            <w:vAlign w:val="center"/>
          </w:tcPr>
          <w:p w:rsidR="0077571B" w:rsidRPr="0077571B" w:rsidRDefault="0077571B" w:rsidP="004B0FD5">
            <w:pPr>
              <w:pStyle w:val="TAC"/>
              <w:rPr>
                <w:b/>
                <w:highlight w:val="lightGray"/>
              </w:rPr>
            </w:pPr>
          </w:p>
        </w:tc>
        <w:tc>
          <w:tcPr>
            <w:tcW w:w="5754" w:type="dxa"/>
            <w:gridSpan w:val="4"/>
            <w:shd w:val="clear" w:color="auto" w:fill="auto"/>
            <w:vAlign w:val="center"/>
          </w:tcPr>
          <w:p w:rsidR="0077571B" w:rsidRPr="0077571B" w:rsidRDefault="0077571B" w:rsidP="004B0FD5">
            <w:pPr>
              <w:pStyle w:val="TAC"/>
              <w:rPr>
                <w:rFonts w:cs="Arial"/>
                <w:kern w:val="2"/>
                <w:highlight w:val="lightGray"/>
              </w:rPr>
            </w:pPr>
            <w:r w:rsidRPr="0077571B">
              <w:rPr>
                <w:rFonts w:cs="Arial"/>
                <w:kern w:val="2"/>
                <w:highlight w:val="lightGray"/>
              </w:rPr>
              <w:t>16</w:t>
            </w:r>
          </w:p>
        </w:tc>
      </w:tr>
      <w:tr w:rsidR="0077571B" w:rsidRPr="0077571B" w:rsidTr="004B0FD5">
        <w:trPr>
          <w:trHeight w:val="19"/>
          <w:jc w:val="center"/>
        </w:trPr>
        <w:tc>
          <w:tcPr>
            <w:tcW w:w="3306" w:type="dxa"/>
            <w:shd w:val="clear" w:color="auto" w:fill="auto"/>
            <w:vAlign w:val="center"/>
          </w:tcPr>
          <w:p w:rsidR="0077571B" w:rsidRPr="0077571B" w:rsidRDefault="0077571B" w:rsidP="004B0FD5">
            <w:pPr>
              <w:pStyle w:val="TAC"/>
              <w:rPr>
                <w:b/>
                <w:highlight w:val="lightGray"/>
              </w:rPr>
            </w:pPr>
            <w:r w:rsidRPr="0077571B">
              <w:rPr>
                <w:rFonts w:cs="Arial"/>
                <w:b/>
                <w:szCs w:val="18"/>
                <w:highlight w:val="lightGray"/>
              </w:rPr>
              <w:t>P</w:t>
            </w:r>
            <w:r w:rsidRPr="0077571B">
              <w:rPr>
                <w:rFonts w:cs="Arial"/>
                <w:b/>
                <w:szCs w:val="18"/>
                <w:highlight w:val="lightGray"/>
                <w:vertAlign w:val="subscript"/>
              </w:rPr>
              <w:t xml:space="preserve">UW, </w:t>
            </w:r>
            <w:proofErr w:type="spellStart"/>
            <w:r w:rsidRPr="0077571B">
              <w:rPr>
                <w:rFonts w:cs="Arial"/>
                <w:b/>
                <w:szCs w:val="18"/>
                <w:highlight w:val="lightGray"/>
              </w:rPr>
              <w:t>dBm</w:t>
            </w:r>
            <w:proofErr w:type="spellEnd"/>
            <w:r w:rsidRPr="0077571B">
              <w:rPr>
                <w:rFonts w:cs="Arial"/>
                <w:b/>
                <w:szCs w:val="18"/>
                <w:highlight w:val="lightGray"/>
              </w:rPr>
              <w:t xml:space="preserve"> (CW)</w:t>
            </w:r>
          </w:p>
        </w:tc>
        <w:tc>
          <w:tcPr>
            <w:tcW w:w="5754" w:type="dxa"/>
            <w:gridSpan w:val="4"/>
            <w:shd w:val="clear" w:color="auto" w:fill="auto"/>
            <w:vAlign w:val="center"/>
          </w:tcPr>
          <w:p w:rsidR="0077571B" w:rsidRPr="0077571B" w:rsidRDefault="0077571B" w:rsidP="004B0FD5">
            <w:pPr>
              <w:pStyle w:val="TAC"/>
              <w:rPr>
                <w:rFonts w:cs="Arial"/>
                <w:kern w:val="2"/>
                <w:highlight w:val="lightGray"/>
              </w:rPr>
            </w:pPr>
            <w:r w:rsidRPr="0077571B">
              <w:rPr>
                <w:rFonts w:cs="Arial"/>
                <w:kern w:val="2"/>
                <w:highlight w:val="lightGray"/>
              </w:rPr>
              <w:t>-55</w:t>
            </w:r>
          </w:p>
        </w:tc>
      </w:tr>
      <w:tr w:rsidR="0077571B" w:rsidRPr="00DF6DD6" w:rsidTr="004B0FD5">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77571B" w:rsidRPr="0077571B" w:rsidRDefault="0077571B" w:rsidP="004B0FD5">
            <w:pPr>
              <w:pStyle w:val="TAN"/>
              <w:rPr>
                <w:highlight w:val="lightGray"/>
                <w:lang w:eastAsia="ja-JP"/>
              </w:rPr>
            </w:pPr>
            <w:r w:rsidRPr="0077571B">
              <w:rPr>
                <w:highlight w:val="lightGray"/>
              </w:rPr>
              <w:t>NOTE 1:</w:t>
            </w:r>
            <w:r w:rsidRPr="0077571B">
              <w:rPr>
                <w:highlight w:val="lightGray"/>
              </w:rPr>
              <w:tab/>
            </w:r>
            <w:r w:rsidRPr="0077571B">
              <w:rPr>
                <w:highlight w:val="lightGray"/>
                <w:lang w:eastAsia="ja-JP"/>
              </w:rPr>
              <w:t xml:space="preserve">Jammer offset is from </w:t>
            </w:r>
            <w:r w:rsidRPr="0077571B">
              <w:rPr>
                <w:highlight w:val="lightGray"/>
              </w:rPr>
              <w:t xml:space="preserve">Table 7.6.3.1A-1 [4] </w:t>
            </w:r>
            <w:r w:rsidRPr="0077571B">
              <w:rPr>
                <w:highlight w:val="lightGray"/>
                <w:lang w:eastAsia="ja-JP"/>
              </w:rPr>
              <w:t>and is applied from the lowest edge of the lowest carrier and the highest edge of the highest carrier</w:t>
            </w:r>
          </w:p>
          <w:p w:rsidR="0077571B" w:rsidRPr="0077571B" w:rsidRDefault="0077571B" w:rsidP="004B0FD5">
            <w:pPr>
              <w:pStyle w:val="TAN"/>
              <w:rPr>
                <w:rFonts w:eastAsia="MS Mincho"/>
                <w:highlight w:val="lightGray"/>
              </w:rPr>
            </w:pPr>
            <w:r w:rsidRPr="0077571B">
              <w:rPr>
                <w:rFonts w:eastAsia="MS Mincho"/>
                <w:highlight w:val="lightGray"/>
              </w:rPr>
              <w:t>NOTE 2:</w:t>
            </w:r>
            <w:r w:rsidRPr="0077571B">
              <w:rPr>
                <w:rFonts w:eastAsia="MS Mincho"/>
                <w:highlight w:val="lightGray"/>
              </w:rPr>
              <w:tab/>
              <w:t xml:space="preserve">For NR carrier, the transmitter shall be set to 4dB below </w:t>
            </w:r>
            <w:proofErr w:type="spellStart"/>
            <w:r w:rsidRPr="0077571B">
              <w:rPr>
                <w:highlight w:val="lightGray"/>
              </w:rPr>
              <w:t>P</w:t>
            </w:r>
            <w:r w:rsidRPr="0077571B">
              <w:rPr>
                <w:highlight w:val="lightGray"/>
                <w:vertAlign w:val="subscript"/>
              </w:rPr>
              <w:t>CMAX_L,f,c,NR</w:t>
            </w:r>
            <w:proofErr w:type="spellEnd"/>
            <w:r w:rsidRPr="0077571B">
              <w:rPr>
                <w:rFonts w:eastAsia="MS Mincho"/>
                <w:highlight w:val="lightGray"/>
              </w:rPr>
              <w:t xml:space="preserve"> at the minimum uplink configuration specified in Table 7.3.2-3 [2] with </w:t>
            </w:r>
            <w:proofErr w:type="spellStart"/>
            <w:r w:rsidRPr="0077571B">
              <w:rPr>
                <w:highlight w:val="lightGray"/>
              </w:rPr>
              <w:t>P</w:t>
            </w:r>
            <w:r w:rsidRPr="0077571B">
              <w:rPr>
                <w:highlight w:val="lightGray"/>
                <w:vertAlign w:val="subscript"/>
              </w:rPr>
              <w:t>CMAX_L,f,c,NR</w:t>
            </w:r>
            <w:proofErr w:type="spellEnd"/>
            <w:r w:rsidRPr="0077571B">
              <w:rPr>
                <w:rFonts w:eastAsia="MS Mincho"/>
                <w:highlight w:val="lightGray"/>
              </w:rPr>
              <w:t xml:space="preserve"> as defined in clause 6.2B.4.</w:t>
            </w:r>
          </w:p>
          <w:p w:rsidR="0077571B" w:rsidRPr="0077571B" w:rsidRDefault="0077571B" w:rsidP="004B0FD5">
            <w:pPr>
              <w:pStyle w:val="TAN"/>
              <w:rPr>
                <w:rFonts w:eastAsia="MS Mincho"/>
                <w:highlight w:val="lightGray"/>
              </w:rPr>
            </w:pPr>
            <w:r w:rsidRPr="0077571B">
              <w:rPr>
                <w:rFonts w:eastAsia="MS Mincho"/>
                <w:highlight w:val="lightGray"/>
              </w:rPr>
              <w:t>NOTE 3:</w:t>
            </w:r>
            <w:r w:rsidRPr="0077571B">
              <w:rPr>
                <w:rFonts w:eastAsia="MS Mincho"/>
                <w:highlight w:val="lightGray"/>
              </w:rPr>
              <w:tab/>
              <w:t xml:space="preserve">For E-UTRA carrier, the transmitter shall be set to 4dB below </w:t>
            </w:r>
            <w:r w:rsidRPr="0077571B">
              <w:rPr>
                <w:highlight w:val="lightGray"/>
              </w:rPr>
              <w:t>P</w:t>
            </w:r>
            <w:r w:rsidRPr="0077571B">
              <w:rPr>
                <w:highlight w:val="lightGray"/>
                <w:vertAlign w:val="subscript"/>
              </w:rPr>
              <w:t>CMAX_L_E-</w:t>
            </w:r>
            <w:proofErr w:type="spellStart"/>
            <w:r w:rsidRPr="0077571B">
              <w:rPr>
                <w:highlight w:val="lightGray"/>
                <w:vertAlign w:val="subscript"/>
              </w:rPr>
              <w:t>UTRA</w:t>
            </w:r>
            <w:proofErr w:type="gramStart"/>
            <w:r w:rsidRPr="0077571B">
              <w:rPr>
                <w:highlight w:val="lightGray"/>
                <w:vertAlign w:val="subscript"/>
              </w:rPr>
              <w:t>,c</w:t>
            </w:r>
            <w:proofErr w:type="spellEnd"/>
            <w:proofErr w:type="gramEnd"/>
            <w:r w:rsidRPr="0077571B">
              <w:rPr>
                <w:rFonts w:eastAsia="MS Mincho"/>
                <w:highlight w:val="lightGray"/>
              </w:rPr>
              <w:t xml:space="preserve"> at the minimum uplink configuration specified in Table 7.3.1-2 [4] with </w:t>
            </w:r>
            <w:r w:rsidRPr="0077571B">
              <w:rPr>
                <w:highlight w:val="lightGray"/>
              </w:rPr>
              <w:t>P</w:t>
            </w:r>
            <w:r w:rsidRPr="0077571B">
              <w:rPr>
                <w:highlight w:val="lightGray"/>
                <w:vertAlign w:val="subscript"/>
              </w:rPr>
              <w:t>CMAX_L_E-</w:t>
            </w:r>
            <w:proofErr w:type="spellStart"/>
            <w:r w:rsidRPr="0077571B">
              <w:rPr>
                <w:highlight w:val="lightGray"/>
                <w:vertAlign w:val="subscript"/>
              </w:rPr>
              <w:t>UTRA,c</w:t>
            </w:r>
            <w:proofErr w:type="spellEnd"/>
            <w:r w:rsidRPr="0077571B">
              <w:rPr>
                <w:rFonts w:eastAsia="MS Mincho"/>
                <w:highlight w:val="lightGray"/>
              </w:rPr>
              <w:t xml:space="preserve"> as defined in clause 6.2B.4 for single carrier.</w:t>
            </w:r>
          </w:p>
          <w:p w:rsidR="0077571B" w:rsidRPr="00DF6DD6" w:rsidRDefault="0077571B" w:rsidP="004B0FD5">
            <w:pPr>
              <w:pStyle w:val="TAN"/>
              <w:rPr>
                <w:rFonts w:eastAsia="MS Mincho"/>
              </w:rPr>
            </w:pPr>
            <w:r w:rsidRPr="0077571B">
              <w:rPr>
                <w:rFonts w:eastAsia="MS Mincho"/>
                <w:highlight w:val="lightGray"/>
              </w:rPr>
              <w:t>NOTE 4:</w:t>
            </w:r>
            <w:r w:rsidRPr="0077571B">
              <w:rPr>
                <w:rFonts w:eastAsia="MS Mincho"/>
                <w:highlight w:val="lightGray"/>
              </w:rPr>
              <w:tab/>
              <w:t>If NR carrier BW &gt; 40 MHz, no narrow band blocking requirements apply when blocker is applied at the edge of the NR carrier.</w:t>
            </w:r>
          </w:p>
        </w:tc>
      </w:tr>
    </w:tbl>
    <w:p w:rsidR="0077571B" w:rsidRPr="00DF6DD6" w:rsidRDefault="0077571B" w:rsidP="0077571B"/>
    <w:p w:rsidR="00E446E8" w:rsidRPr="0051743C" w:rsidRDefault="0051743C" w:rsidP="0051743C">
      <w:pPr>
        <w:rPr>
          <w:rFonts w:eastAsia="Times New Roman"/>
          <w:sz w:val="20"/>
          <w:szCs w:val="20"/>
        </w:rPr>
      </w:pPr>
      <w:r>
        <w:t xml:space="preserve">Following </w:t>
      </w:r>
      <w:proofErr w:type="spellStart"/>
      <w:r>
        <w:t>subclauses</w:t>
      </w:r>
      <w:proofErr w:type="spellEnd"/>
      <w:r>
        <w:t xml:space="preserve"> introduce study for test environment, test frequencies, test bandwidth, test subcarrier spacing</w:t>
      </w:r>
      <w:r>
        <w:rPr>
          <w:rFonts w:hint="eastAsia"/>
        </w:rPr>
        <w:t xml:space="preserve"> and </w:t>
      </w:r>
      <w:r>
        <w:t xml:space="preserve">uplink and downlink </w:t>
      </w:r>
      <w:r>
        <w:rPr>
          <w:rFonts w:hint="eastAsia"/>
        </w:rPr>
        <w:t xml:space="preserve">modulations and RB </w:t>
      </w:r>
      <w:r>
        <w:t>configurations.</w:t>
      </w:r>
    </w:p>
    <w:p w:rsidR="00E446E8" w:rsidRPr="007832DF" w:rsidRDefault="005A09F0" w:rsidP="003C551E">
      <w:pPr>
        <w:pStyle w:val="2"/>
        <w:numPr>
          <w:ilvl w:val="1"/>
          <w:numId w:val="5"/>
        </w:numPr>
        <w:rPr>
          <w:rFonts w:cs="Arial"/>
          <w:lang w:val="en-US"/>
        </w:rPr>
      </w:pPr>
      <w:r w:rsidRPr="007832DF">
        <w:rPr>
          <w:rFonts w:cs="Arial"/>
          <w:lang w:val="en-US"/>
        </w:rPr>
        <w:t>Test Environment</w:t>
      </w:r>
    </w:p>
    <w:p w:rsidR="005A09F0" w:rsidRPr="005A09F0" w:rsidRDefault="005A09F0" w:rsidP="005A09F0">
      <w:pPr>
        <w:rPr>
          <w:lang w:eastAsia="en-US"/>
        </w:rPr>
      </w:pPr>
      <w:r>
        <w:rPr>
          <w:lang w:eastAsia="en-US"/>
        </w:rPr>
        <w:t xml:space="preserve">In </w:t>
      </w:r>
      <w:r w:rsidR="00A42F57">
        <w:rPr>
          <w:rFonts w:hint="eastAsia"/>
        </w:rPr>
        <w:t xml:space="preserve">LTE and </w:t>
      </w:r>
      <w:r w:rsidR="0051743C">
        <w:rPr>
          <w:lang w:eastAsia="en-US"/>
        </w:rPr>
        <w:t>NR single carrier</w:t>
      </w:r>
      <w:r w:rsidR="00B7514D">
        <w:rPr>
          <w:rFonts w:hint="eastAsia"/>
        </w:rPr>
        <w:t xml:space="preserve"> </w:t>
      </w:r>
      <w:r w:rsidR="0051743C">
        <w:rPr>
          <w:lang w:eastAsia="en-US"/>
        </w:rPr>
        <w:t xml:space="preserve">testing, the </w:t>
      </w:r>
      <w:r w:rsidR="005661FF">
        <w:rPr>
          <w:lang w:eastAsia="en-US"/>
        </w:rPr>
        <w:t>Narrow band blocking</w:t>
      </w:r>
      <w:r w:rsidR="0051743C">
        <w:rPr>
          <w:lang w:eastAsia="en-US"/>
        </w:rPr>
        <w:t xml:space="preserve"> is tested under Normal condition. The same condition can be selected for </w:t>
      </w:r>
      <w:r w:rsidR="001A65AB">
        <w:t>intra-band contiguous EN-DC in FR1</w:t>
      </w:r>
      <w:r w:rsidR="0051743C">
        <w:rPr>
          <w:lang w:eastAsia="en-US"/>
        </w:rPr>
        <w:t xml:space="preserve"> testing.</w:t>
      </w:r>
    </w:p>
    <w:bookmarkEnd w:id="1"/>
    <w:bookmarkEnd w:id="2"/>
    <w:p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1743C">
        <w:rPr>
          <w:lang w:eastAsia="en-US"/>
        </w:rPr>
        <w:t xml:space="preserve">ormal for </w:t>
      </w:r>
      <w:r w:rsidR="005661FF">
        <w:rPr>
          <w:lang w:eastAsia="en-US"/>
        </w:rPr>
        <w:t>Narrow band blocking</w:t>
      </w:r>
      <w:r w:rsidR="0051743C">
        <w:rPr>
          <w:lang w:eastAsia="en-US"/>
        </w:rPr>
        <w:t xml:space="preserve"> for </w:t>
      </w:r>
      <w:r w:rsidR="001A65AB">
        <w:t>intra-band contiguous EN-DC in FR1</w:t>
      </w:r>
      <w:r w:rsidR="005A09F0">
        <w:rPr>
          <w:lang w:eastAsia="en-US"/>
        </w:rPr>
        <w:t>.</w:t>
      </w:r>
    </w:p>
    <w:p w:rsidR="005A09F0" w:rsidRDefault="005A09F0" w:rsidP="005A09F0">
      <w:pPr>
        <w:pStyle w:val="2"/>
        <w:rPr>
          <w:rFonts w:cs="Arial"/>
          <w:lang w:val="en-US"/>
        </w:rPr>
      </w:pPr>
      <w:r w:rsidRPr="005A09F0">
        <w:rPr>
          <w:rFonts w:cs="Arial"/>
          <w:lang w:val="en-US"/>
        </w:rPr>
        <w:lastRenderedPageBreak/>
        <w:t xml:space="preserve">Test </w:t>
      </w:r>
      <w:r>
        <w:rPr>
          <w:rFonts w:cs="Arial"/>
          <w:lang w:val="en-US"/>
        </w:rPr>
        <w:t>Subcarrier Spacing</w:t>
      </w:r>
    </w:p>
    <w:p w:rsidR="00D674E1" w:rsidRPr="005A09F0" w:rsidRDefault="00D674E1" w:rsidP="00D674E1">
      <w:pPr>
        <w:rPr>
          <w:lang w:eastAsia="en-US"/>
        </w:rPr>
      </w:pPr>
      <w:r>
        <w:rPr>
          <w:lang w:eastAsia="en-US"/>
        </w:rPr>
        <w:t xml:space="preserve">In NR single carrier testing, the </w:t>
      </w:r>
      <w:r w:rsidR="005661FF">
        <w:rPr>
          <w:lang w:eastAsia="en-US"/>
        </w:rPr>
        <w:t>Narrow band blocking</w:t>
      </w:r>
      <w:r>
        <w:rPr>
          <w:lang w:eastAsia="en-US"/>
        </w:rPr>
        <w:t xml:space="preserve"> is tested using lowest subcarrier spacing. This can be followed in </w:t>
      </w:r>
      <w:r w:rsidR="001A65AB">
        <w:t>intra-band contiguous EN-DC in FR1</w:t>
      </w:r>
      <w:r>
        <w:rPr>
          <w:lang w:eastAsia="en-US"/>
        </w:rPr>
        <w:t xml:space="preserve"> testing.</w:t>
      </w:r>
    </w:p>
    <w:p w:rsidR="00EA76CE" w:rsidRDefault="00D674E1" w:rsidP="00EA76CE">
      <w:pPr>
        <w:jc w:val="both"/>
        <w:rPr>
          <w:lang w:eastAsia="en-US"/>
        </w:rPr>
      </w:pPr>
      <w:r w:rsidRPr="00E446E8">
        <w:rPr>
          <w:b/>
          <w:lang w:eastAsia="en-US"/>
        </w:rPr>
        <w:t>Proposal</w:t>
      </w:r>
      <w:r>
        <w:rPr>
          <w:b/>
          <w:lang w:eastAsia="en-US"/>
        </w:rPr>
        <w:t xml:space="preserve"> </w:t>
      </w:r>
      <w:r w:rsidR="00AE4415">
        <w:rPr>
          <w:b/>
          <w:lang w:eastAsia="en-US"/>
        </w:rPr>
        <w:t>2</w:t>
      </w:r>
      <w:r w:rsidRPr="00E446E8">
        <w:rPr>
          <w:b/>
          <w:lang w:eastAsia="en-US"/>
        </w:rPr>
        <w:t>:</w:t>
      </w:r>
      <w:r w:rsidRPr="00E446E8">
        <w:rPr>
          <w:lang w:eastAsia="en-US"/>
        </w:rPr>
        <w:t xml:space="preserve"> </w:t>
      </w:r>
      <w:r w:rsidR="00AE4415">
        <w:rPr>
          <w:lang w:eastAsia="en-US"/>
        </w:rPr>
        <w:t xml:space="preserve">For </w:t>
      </w:r>
      <w:r w:rsidR="005661FF">
        <w:rPr>
          <w:lang w:eastAsia="en-US"/>
        </w:rPr>
        <w:t>Narrow band blocking</w:t>
      </w:r>
      <w:r w:rsidR="00AE4415">
        <w:rPr>
          <w:lang w:eastAsia="en-US"/>
        </w:rPr>
        <w:t xml:space="preserve"> for </w:t>
      </w:r>
      <w:r w:rsidR="001A65AB">
        <w:t>intra-band contiguous EN-DC in FR1</w:t>
      </w:r>
      <w:r w:rsidR="00AE4415">
        <w:rPr>
          <w:lang w:eastAsia="en-US"/>
        </w:rPr>
        <w:t xml:space="preserve">, test </w:t>
      </w:r>
      <w:proofErr w:type="gramStart"/>
      <w:r w:rsidR="00AE4415">
        <w:rPr>
          <w:lang w:eastAsia="en-US"/>
        </w:rPr>
        <w:t>Lowest</w:t>
      </w:r>
      <w:proofErr w:type="gramEnd"/>
      <w:r w:rsidR="00AE4415">
        <w:rPr>
          <w:lang w:eastAsia="en-US"/>
        </w:rPr>
        <w:t xml:space="preserve"> subcarrier spacing.</w:t>
      </w:r>
    </w:p>
    <w:p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rsidR="00EA76CE" w:rsidRDefault="00597751" w:rsidP="00EA76CE">
      <w:pPr>
        <w:jc w:val="both"/>
        <w:rPr>
          <w:lang w:eastAsia="en-US"/>
        </w:rPr>
      </w:pPr>
      <w:r w:rsidRPr="00F75E9F">
        <w:rPr>
          <w:lang w:eastAsia="ja-JP"/>
        </w:rPr>
        <w:t>In LTE</w:t>
      </w:r>
      <w:r>
        <w:rPr>
          <w:lang w:eastAsia="ja-JP"/>
        </w:rPr>
        <w:t xml:space="preserve"> CA</w:t>
      </w:r>
      <w:r>
        <w:rPr>
          <w:rFonts w:hint="eastAsia"/>
        </w:rPr>
        <w:t xml:space="preserve">, </w:t>
      </w:r>
      <w:r w:rsidR="0086234C">
        <w:rPr>
          <w:rFonts w:hint="eastAsia"/>
        </w:rPr>
        <w:t>the</w:t>
      </w:r>
      <w:r w:rsidR="0086234C">
        <w:rPr>
          <w:lang w:eastAsia="en-US"/>
        </w:rPr>
        <w:t xml:space="preserve"> </w:t>
      </w:r>
      <w:r w:rsidR="0086234C" w:rsidRPr="003D1E7C">
        <w:rPr>
          <w:lang w:eastAsia="en-US"/>
        </w:rPr>
        <w:t>Test Frequenc</w:t>
      </w:r>
      <w:r w:rsidR="0086234C">
        <w:rPr>
          <w:rFonts w:hint="eastAsia"/>
        </w:rPr>
        <w:t xml:space="preserve">y of </w:t>
      </w:r>
      <w:r w:rsidR="005661FF">
        <w:rPr>
          <w:lang w:eastAsia="en-US"/>
        </w:rPr>
        <w:t>Narrow band blocking</w:t>
      </w:r>
      <w:r w:rsidR="0086234C">
        <w:rPr>
          <w:rFonts w:hint="eastAsia"/>
        </w:rPr>
        <w:t xml:space="preserve"> </w:t>
      </w:r>
      <w:r w:rsidR="0086234C">
        <w:rPr>
          <w:lang w:eastAsia="en-US"/>
        </w:rPr>
        <w:t>for intra-band contiguous</w:t>
      </w:r>
      <w:r w:rsidR="0086234C">
        <w:rPr>
          <w:rFonts w:hint="eastAsia"/>
        </w:rPr>
        <w:t xml:space="preserve"> CA is </w:t>
      </w:r>
      <w:proofErr w:type="gramStart"/>
      <w:r w:rsidR="0086234C">
        <w:rPr>
          <w:rFonts w:hint="eastAsia"/>
        </w:rPr>
        <w:t>Mid</w:t>
      </w:r>
      <w:proofErr w:type="gramEnd"/>
      <w:r w:rsidR="0086234C" w:rsidRPr="005847D7">
        <w:t xml:space="preserve"> range</w:t>
      </w:r>
      <w:r w:rsidR="00B943CC">
        <w:rPr>
          <w:rFonts w:hint="eastAsia"/>
        </w:rPr>
        <w:t>.</w:t>
      </w:r>
      <w:r w:rsidR="007F26AC">
        <w:rPr>
          <w:rFonts w:hint="eastAsia"/>
        </w:rPr>
        <w:t xml:space="preserve"> </w:t>
      </w:r>
      <w:r w:rsidR="003D1E7C">
        <w:rPr>
          <w:lang w:eastAsia="ja-JP"/>
        </w:rPr>
        <w:t xml:space="preserve">The same approach can be followed in </w:t>
      </w:r>
      <w:r w:rsidR="001A65AB">
        <w:t>intra-band contiguous EN-DC in FR1</w:t>
      </w:r>
      <w:r w:rsidR="003D1E7C">
        <w:rPr>
          <w:lang w:eastAsia="ja-JP"/>
        </w:rPr>
        <w:t xml:space="preserve"> testing.</w:t>
      </w:r>
    </w:p>
    <w:p w:rsidR="00EA76CE" w:rsidRDefault="00EA76CE" w:rsidP="00EA76CE">
      <w:pPr>
        <w:jc w:val="both"/>
      </w:pPr>
      <w:r w:rsidRPr="00E446E8">
        <w:rPr>
          <w:b/>
          <w:lang w:eastAsia="en-US"/>
        </w:rPr>
        <w:t>Proposal</w:t>
      </w:r>
      <w:r w:rsidR="00AA56D9">
        <w:rPr>
          <w:b/>
          <w:lang w:eastAsia="en-US"/>
        </w:rPr>
        <w:t xml:space="preserve"> </w:t>
      </w:r>
      <w:r>
        <w:rPr>
          <w:b/>
          <w:lang w:eastAsia="en-US"/>
        </w:rPr>
        <w:t>3</w:t>
      </w:r>
      <w:r w:rsidRPr="00E446E8">
        <w:rPr>
          <w:b/>
          <w:lang w:eastAsia="en-US"/>
        </w:rPr>
        <w:t>:</w:t>
      </w:r>
      <w:r w:rsidR="00047AF1">
        <w:rPr>
          <w:rFonts w:hint="eastAsia"/>
          <w:b/>
        </w:rPr>
        <w:t xml:space="preserve"> </w:t>
      </w:r>
      <w:r w:rsidR="006D1012">
        <w:rPr>
          <w:lang w:eastAsia="en-US"/>
        </w:rPr>
        <w:t xml:space="preserve">For </w:t>
      </w:r>
      <w:r w:rsidR="005661FF">
        <w:rPr>
          <w:lang w:eastAsia="en-US"/>
        </w:rPr>
        <w:t>Narrow band blocking</w:t>
      </w:r>
      <w:r w:rsidR="006D1012">
        <w:rPr>
          <w:lang w:eastAsia="en-US"/>
        </w:rPr>
        <w:t xml:space="preserve"> for </w:t>
      </w:r>
      <w:r w:rsidR="0086234C">
        <w:t>intra-band contiguous EN-DC in FR1</w:t>
      </w:r>
      <w:r w:rsidR="006D1012">
        <w:rPr>
          <w:lang w:eastAsia="en-US"/>
        </w:rPr>
        <w:t xml:space="preserve">, </w:t>
      </w:r>
      <w:r w:rsidR="0086234C">
        <w:rPr>
          <w:rFonts w:hint="eastAsia"/>
        </w:rPr>
        <w:t xml:space="preserve">the </w:t>
      </w:r>
      <w:proofErr w:type="gramStart"/>
      <w:r w:rsidR="00B943CC" w:rsidRPr="00B943CC">
        <w:rPr>
          <w:lang w:eastAsia="en-US"/>
        </w:rPr>
        <w:t>Mid</w:t>
      </w:r>
      <w:proofErr w:type="gramEnd"/>
      <w:r w:rsidR="00B943CC" w:rsidRPr="00B943CC">
        <w:rPr>
          <w:lang w:eastAsia="en-US"/>
        </w:rPr>
        <w:t xml:space="preserve"> range </w:t>
      </w:r>
      <w:r w:rsidR="00753B4F">
        <w:rPr>
          <w:lang w:eastAsia="en-US"/>
        </w:rPr>
        <w:t>is tested</w:t>
      </w:r>
      <w:r w:rsidR="00753B4F">
        <w:rPr>
          <w:rFonts w:hint="eastAsia"/>
        </w:rPr>
        <w:t>.</w:t>
      </w:r>
    </w:p>
    <w:p w:rsidR="00F65C90" w:rsidRDefault="00EA76CE" w:rsidP="00EA76CE">
      <w:pPr>
        <w:pStyle w:val="2"/>
        <w:rPr>
          <w:rFonts w:cs="Arial"/>
          <w:lang w:val="en-US" w:eastAsia="zh-CN"/>
        </w:rPr>
      </w:pPr>
      <w:r w:rsidRPr="005A09F0">
        <w:rPr>
          <w:rFonts w:cs="Arial"/>
          <w:lang w:val="en-US"/>
        </w:rPr>
        <w:t xml:space="preserve">Test </w:t>
      </w:r>
      <w:r>
        <w:rPr>
          <w:rFonts w:cs="Arial"/>
          <w:lang w:val="en-US"/>
        </w:rPr>
        <w:t>Channel Bandwidth</w:t>
      </w:r>
    </w:p>
    <w:p w:rsidR="00F65C90" w:rsidRDefault="00F65C90" w:rsidP="00F65C90">
      <w:r w:rsidRPr="00F75E9F">
        <w:rPr>
          <w:lang w:eastAsia="ja-JP"/>
        </w:rPr>
        <w:t>In LTE</w:t>
      </w:r>
      <w:r>
        <w:rPr>
          <w:lang w:eastAsia="ja-JP"/>
        </w:rPr>
        <w:t xml:space="preserve"> CA</w:t>
      </w:r>
      <w:r w:rsidRPr="00F75E9F">
        <w:rPr>
          <w:lang w:eastAsia="ja-JP"/>
        </w:rPr>
        <w:t xml:space="preserve">, </w:t>
      </w:r>
      <w:r>
        <w:rPr>
          <w:lang w:eastAsia="ja-JP"/>
        </w:rPr>
        <w:t>the test channel bandwidth</w:t>
      </w:r>
      <w:r w:rsidRPr="00F65C90">
        <w:rPr>
          <w:rFonts w:hint="eastAsia"/>
        </w:rPr>
        <w:t xml:space="preserve"> </w:t>
      </w:r>
      <w:r>
        <w:rPr>
          <w:rFonts w:hint="eastAsia"/>
        </w:rPr>
        <w:t xml:space="preserve">of </w:t>
      </w:r>
      <w:r w:rsidR="005661FF">
        <w:rPr>
          <w:lang w:eastAsia="en-US"/>
        </w:rPr>
        <w:t>Narrow band blocking</w:t>
      </w:r>
      <w:r>
        <w:rPr>
          <w:rFonts w:hint="eastAsia"/>
        </w:rPr>
        <w:t xml:space="preserve"> is </w:t>
      </w:r>
      <w:r w:rsidR="007D3443" w:rsidRPr="007051A2">
        <w:rPr>
          <w:lang w:eastAsia="en-US"/>
        </w:rPr>
        <w:t xml:space="preserve">Lowest </w:t>
      </w:r>
      <w:proofErr w:type="spellStart"/>
      <w:r w:rsidR="007D3443" w:rsidRPr="007051A2">
        <w:rPr>
          <w:lang w:eastAsia="en-US"/>
        </w:rPr>
        <w:t>N</w:t>
      </w:r>
      <w:r w:rsidR="007D3443" w:rsidRPr="007051A2">
        <w:rPr>
          <w:vertAlign w:val="subscript"/>
          <w:lang w:eastAsia="en-US"/>
        </w:rPr>
        <w:t>RB_agg</w:t>
      </w:r>
      <w:proofErr w:type="spellEnd"/>
      <w:r w:rsidR="007D3443">
        <w:rPr>
          <w:lang w:eastAsia="en-US"/>
        </w:rPr>
        <w:t xml:space="preserve"> </w:t>
      </w:r>
      <w:r w:rsidR="007D3443">
        <w:rPr>
          <w:rFonts w:hint="eastAsia"/>
        </w:rPr>
        <w:t xml:space="preserve">and </w:t>
      </w:r>
      <w:r>
        <w:rPr>
          <w:lang w:eastAsia="en-US"/>
        </w:rPr>
        <w:t xml:space="preserve">Highest </w:t>
      </w:r>
      <w:proofErr w:type="spellStart"/>
      <w:r>
        <w:rPr>
          <w:lang w:eastAsia="en-US"/>
        </w:rPr>
        <w:t>N</w:t>
      </w:r>
      <w:r>
        <w:rPr>
          <w:vertAlign w:val="subscript"/>
          <w:lang w:eastAsia="en-US"/>
        </w:rPr>
        <w:t>RB_agg</w:t>
      </w:r>
      <w:proofErr w:type="spellEnd"/>
      <w:r>
        <w:rPr>
          <w:lang w:eastAsia="ja-JP"/>
        </w:rPr>
        <w:t>.</w:t>
      </w:r>
      <w:r>
        <w:rPr>
          <w:lang w:eastAsia="en-US"/>
        </w:rPr>
        <w:t xml:space="preserve"> </w:t>
      </w:r>
      <w:r>
        <w:rPr>
          <w:lang w:eastAsia="ja-JP"/>
        </w:rPr>
        <w:t xml:space="preserve">The same approach can be followed </w:t>
      </w:r>
      <w:r w:rsidR="009B549E">
        <w:rPr>
          <w:lang w:eastAsia="ja-JP"/>
        </w:rPr>
        <w:t xml:space="preserve">in </w:t>
      </w:r>
      <w:r w:rsidR="001A65AB">
        <w:t>intra-band contiguous EN-DC in FR1</w:t>
      </w:r>
      <w:r>
        <w:rPr>
          <w:lang w:eastAsia="ja-JP"/>
        </w:rPr>
        <w:t xml:space="preserve"> testing.</w:t>
      </w:r>
    </w:p>
    <w:p w:rsidR="00F65C90" w:rsidRPr="00F65C90" w:rsidRDefault="00F65C90" w:rsidP="00F65C90">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Pr>
          <w:lang w:eastAsia="en-US"/>
        </w:rPr>
        <w:t xml:space="preserve">For </w:t>
      </w:r>
      <w:r w:rsidR="005661FF">
        <w:rPr>
          <w:lang w:eastAsia="en-US"/>
        </w:rPr>
        <w:t>Narrow band blocking</w:t>
      </w:r>
      <w:r>
        <w:rPr>
          <w:lang w:eastAsia="en-US"/>
        </w:rPr>
        <w:t xml:space="preserve"> for </w:t>
      </w:r>
      <w:r w:rsidR="001A65AB">
        <w:t>intra-band contiguous EN-DC in FR1</w:t>
      </w:r>
      <w:r>
        <w:rPr>
          <w:lang w:eastAsia="en-US"/>
        </w:rPr>
        <w:t xml:space="preserve">, the </w:t>
      </w:r>
      <w:r w:rsidR="007D3443" w:rsidRPr="007051A2">
        <w:rPr>
          <w:lang w:eastAsia="en-US"/>
        </w:rPr>
        <w:t xml:space="preserve">Lowest </w:t>
      </w:r>
      <w:proofErr w:type="spellStart"/>
      <w:r w:rsidR="007D3443" w:rsidRPr="007051A2">
        <w:rPr>
          <w:lang w:eastAsia="en-US"/>
        </w:rPr>
        <w:t>N</w:t>
      </w:r>
      <w:r w:rsidR="007D3443" w:rsidRPr="007051A2">
        <w:rPr>
          <w:vertAlign w:val="subscript"/>
          <w:lang w:eastAsia="en-US"/>
        </w:rPr>
        <w:t>RB_agg</w:t>
      </w:r>
      <w:proofErr w:type="spellEnd"/>
      <w:r w:rsidR="007D3443">
        <w:rPr>
          <w:lang w:eastAsia="en-US"/>
        </w:rPr>
        <w:t xml:space="preserve"> </w:t>
      </w:r>
      <w:r w:rsidR="007D3443">
        <w:rPr>
          <w:rFonts w:hint="eastAsia"/>
        </w:rPr>
        <w:t>and</w:t>
      </w:r>
      <w:r w:rsidR="007D3443">
        <w:rPr>
          <w:lang w:eastAsia="en-US"/>
        </w:rPr>
        <w:t xml:space="preserve"> </w:t>
      </w:r>
      <w:r w:rsidR="00121F37">
        <w:rPr>
          <w:lang w:eastAsia="en-US"/>
        </w:rPr>
        <w:t xml:space="preserve">Highest </w:t>
      </w:r>
      <w:proofErr w:type="spellStart"/>
      <w:r w:rsidR="00121F37">
        <w:rPr>
          <w:lang w:eastAsia="en-US"/>
        </w:rPr>
        <w:t>N</w:t>
      </w:r>
      <w:r w:rsidR="00121F37">
        <w:rPr>
          <w:vertAlign w:val="subscript"/>
          <w:lang w:eastAsia="en-US"/>
        </w:rPr>
        <w:t>RB_agg</w:t>
      </w:r>
      <w:proofErr w:type="spellEnd"/>
      <w:r>
        <w:rPr>
          <w:lang w:eastAsia="en-US"/>
        </w:rPr>
        <w:t xml:space="preserve"> </w:t>
      </w:r>
      <w:r w:rsidR="007D3443">
        <w:rPr>
          <w:rFonts w:hint="eastAsia"/>
        </w:rPr>
        <w:t>are</w:t>
      </w:r>
      <w:r>
        <w:rPr>
          <w:lang w:eastAsia="en-US"/>
        </w:rPr>
        <w:t xml:space="preserve"> tested.</w:t>
      </w:r>
    </w:p>
    <w:p w:rsidR="00946E5C" w:rsidRDefault="009E01C1" w:rsidP="00EA76CE">
      <w:pPr>
        <w:pStyle w:val="2"/>
        <w:rPr>
          <w:rFonts w:cs="Arial"/>
          <w:lang w:val="en-US" w:eastAsia="zh-CN"/>
        </w:rPr>
      </w:pPr>
      <w:r>
        <w:rPr>
          <w:rFonts w:cs="Arial" w:hint="eastAsia"/>
          <w:lang w:val="en-US" w:eastAsia="zh-CN"/>
        </w:rPr>
        <w:t>M</w:t>
      </w:r>
      <w:r w:rsidR="00D1671B">
        <w:rPr>
          <w:rFonts w:cs="Arial"/>
          <w:lang w:val="en-US"/>
        </w:rPr>
        <w:t>odulation</w:t>
      </w:r>
    </w:p>
    <w:p w:rsidR="001869F8" w:rsidRDefault="001869F8" w:rsidP="00D34215">
      <w:r>
        <w:rPr>
          <w:lang w:eastAsia="en-US"/>
        </w:rPr>
        <w:t xml:space="preserve">In </w:t>
      </w:r>
      <w:r>
        <w:rPr>
          <w:rFonts w:hint="eastAsia"/>
        </w:rPr>
        <w:t>LTE</w:t>
      </w:r>
      <w:r>
        <w:rPr>
          <w:lang w:eastAsia="en-US"/>
        </w:rPr>
        <w:t xml:space="preserve"> single carrier testing, the </w:t>
      </w:r>
      <w:r w:rsidR="005661FF">
        <w:rPr>
          <w:lang w:eastAsia="en-US"/>
        </w:rPr>
        <w:t>Narrow band blocking</w:t>
      </w:r>
      <w:r>
        <w:rPr>
          <w:lang w:eastAsia="en-US"/>
        </w:rPr>
        <w:t xml:space="preserve"> is tested using </w:t>
      </w:r>
      <w:r w:rsidRPr="00312999">
        <w:rPr>
          <w:rFonts w:hint="eastAsia"/>
        </w:rPr>
        <w:t>QPSK</w:t>
      </w:r>
      <w:r>
        <w:rPr>
          <w:rFonts w:hint="eastAsia"/>
        </w:rPr>
        <w:t xml:space="preserve"> for downlink and uplink</w:t>
      </w:r>
      <w:r w:rsidRPr="00312999">
        <w:rPr>
          <w:rFonts w:hint="eastAsia"/>
        </w:rPr>
        <w:t>.</w:t>
      </w:r>
      <w:r>
        <w:rPr>
          <w:lang w:eastAsia="en-US"/>
        </w:rPr>
        <w:t xml:space="preserve"> This can be followed in </w:t>
      </w:r>
      <w:r w:rsidR="001A65AB">
        <w:t>intra-band contiguous EN-DC in FR1</w:t>
      </w:r>
      <w:r>
        <w:rPr>
          <w:lang w:eastAsia="en-US"/>
        </w:rPr>
        <w:t xml:space="preserve"> testing</w:t>
      </w:r>
      <w:r>
        <w:rPr>
          <w:rFonts w:hint="eastAsia"/>
        </w:rPr>
        <w:t xml:space="preserve"> for </w:t>
      </w:r>
      <w:r w:rsidRPr="00B943CC">
        <w:rPr>
          <w:lang w:eastAsia="en-US"/>
        </w:rPr>
        <w:t>E-UTRA</w:t>
      </w:r>
      <w:r>
        <w:rPr>
          <w:rFonts w:hint="eastAsia"/>
        </w:rPr>
        <w:t xml:space="preserve"> CC</w:t>
      </w:r>
      <w:r>
        <w:rPr>
          <w:lang w:eastAsia="en-US"/>
        </w:rPr>
        <w:t>.</w:t>
      </w:r>
    </w:p>
    <w:p w:rsidR="00D34215" w:rsidRPr="005A09F0" w:rsidRDefault="00D34215" w:rsidP="00D34215">
      <w:pPr>
        <w:rPr>
          <w:lang w:eastAsia="en-US"/>
        </w:rPr>
      </w:pPr>
      <w:r>
        <w:rPr>
          <w:lang w:eastAsia="en-US"/>
        </w:rPr>
        <w:t xml:space="preserve">In NR single carrier testing, the </w:t>
      </w:r>
      <w:r w:rsidR="005661FF">
        <w:rPr>
          <w:lang w:eastAsia="en-US"/>
        </w:rPr>
        <w:t>Narrow band blocking</w:t>
      </w:r>
      <w:r>
        <w:rPr>
          <w:lang w:eastAsia="en-US"/>
        </w:rPr>
        <w:t xml:space="preserve"> is tested using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Pr="00312999">
        <w:rPr>
          <w:rFonts w:hint="eastAsia"/>
        </w:rPr>
        <w:t>.</w:t>
      </w:r>
      <w:r>
        <w:rPr>
          <w:lang w:eastAsia="en-US"/>
        </w:rPr>
        <w:t xml:space="preserve"> This can be followed in </w:t>
      </w:r>
      <w:r w:rsidR="001A65AB">
        <w:t>intra-band contiguous EN-DC in FR1</w:t>
      </w:r>
      <w:r w:rsidR="001869F8">
        <w:rPr>
          <w:lang w:eastAsia="en-US"/>
        </w:rPr>
        <w:t xml:space="preserve"> testing</w:t>
      </w:r>
      <w:r w:rsidR="001869F8">
        <w:rPr>
          <w:rFonts w:hint="eastAsia"/>
        </w:rPr>
        <w:t xml:space="preserve"> for NR CC</w:t>
      </w:r>
      <w:r>
        <w:rPr>
          <w:lang w:eastAsia="en-US"/>
        </w:rPr>
        <w:t>.</w:t>
      </w:r>
    </w:p>
    <w:p w:rsidR="00D34215" w:rsidRDefault="00D34215" w:rsidP="00D34215">
      <w:pPr>
        <w:jc w:val="both"/>
        <w:rPr>
          <w:lang w:eastAsia="en-US"/>
        </w:rPr>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Pr>
          <w:lang w:eastAsia="en-US"/>
        </w:rPr>
        <w:t xml:space="preserve">For </w:t>
      </w:r>
      <w:r w:rsidR="005661FF">
        <w:rPr>
          <w:lang w:eastAsia="en-US"/>
        </w:rPr>
        <w:t>Narrow band blocking</w:t>
      </w:r>
      <w:r>
        <w:rPr>
          <w:lang w:eastAsia="en-US"/>
        </w:rPr>
        <w:t xml:space="preserve"> for </w:t>
      </w:r>
      <w:r w:rsidR="001A65AB">
        <w:t>intra-band contiguous EN-DC in FR1</w:t>
      </w:r>
      <w:r>
        <w:rPr>
          <w:lang w:eastAsia="en-US"/>
        </w:rPr>
        <w:t>,</w:t>
      </w:r>
      <w:r w:rsidR="00527FAE">
        <w:rPr>
          <w:rFonts w:hint="eastAsia"/>
        </w:rPr>
        <w:t xml:space="preserve"> test</w:t>
      </w:r>
      <w:r>
        <w:rPr>
          <w:lang w:eastAsia="en-US"/>
        </w:rPr>
        <w:t xml:space="preserve"> </w:t>
      </w:r>
      <w:r w:rsidR="00527FAE" w:rsidRPr="00312999">
        <w:rPr>
          <w:rFonts w:hint="eastAsia"/>
        </w:rPr>
        <w:t>QPSK</w:t>
      </w:r>
      <w:r w:rsidR="00527FAE">
        <w:rPr>
          <w:rFonts w:hint="eastAsia"/>
        </w:rPr>
        <w:t xml:space="preserve"> for downlink and uplink</w:t>
      </w:r>
      <w:r w:rsidR="00527FAE" w:rsidRPr="00527FAE">
        <w:rPr>
          <w:rFonts w:hint="eastAsia"/>
        </w:rPr>
        <w:t xml:space="preserve"> </w:t>
      </w:r>
      <w:r w:rsidR="00527FAE">
        <w:rPr>
          <w:rFonts w:hint="eastAsia"/>
        </w:rPr>
        <w:t xml:space="preserve">for </w:t>
      </w:r>
      <w:r w:rsidR="00527FAE" w:rsidRPr="00B943CC">
        <w:rPr>
          <w:lang w:eastAsia="en-US"/>
        </w:rPr>
        <w:t>E-UTRA</w:t>
      </w:r>
      <w:r w:rsidR="00527FAE">
        <w:rPr>
          <w:rFonts w:hint="eastAsia"/>
        </w:rPr>
        <w:t xml:space="preserve"> </w:t>
      </w:r>
      <w:proofErr w:type="gramStart"/>
      <w:r w:rsidR="00527FAE">
        <w:rPr>
          <w:rFonts w:hint="eastAsia"/>
        </w:rPr>
        <w:t>CC,</w:t>
      </w:r>
      <w:proofErr w:type="gramEnd"/>
      <w:r w:rsidR="00527FAE">
        <w:rPr>
          <w:lang w:eastAsia="en-US"/>
        </w:rPr>
        <w:t xml:space="preserve"> </w:t>
      </w:r>
      <w:r>
        <w:rPr>
          <w:lang w:eastAsia="en-US"/>
        </w:rPr>
        <w:t xml:space="preserve">test </w:t>
      </w:r>
      <w:r w:rsidRPr="00312999">
        <w:rPr>
          <w:rFonts w:hint="eastAsia"/>
        </w:rPr>
        <w:t>CP-OFDM QPSK</w:t>
      </w:r>
      <w:r>
        <w:rPr>
          <w:rFonts w:hint="eastAsia"/>
        </w:rPr>
        <w:t xml:space="preserve"> for downlink and </w:t>
      </w:r>
      <w:r>
        <w:rPr>
          <w:lang w:eastAsia="ja-JP"/>
        </w:rPr>
        <w:t>DFT-s-OFDM QPSK</w:t>
      </w:r>
      <w:r>
        <w:rPr>
          <w:rFonts w:hint="eastAsia"/>
        </w:rPr>
        <w:t xml:space="preserve"> for uplink</w:t>
      </w:r>
      <w:r w:rsidR="001869F8">
        <w:rPr>
          <w:rFonts w:hint="eastAsia"/>
        </w:rPr>
        <w:t xml:space="preserve"> for NR CC</w:t>
      </w:r>
      <w:r>
        <w:rPr>
          <w:lang w:eastAsia="en-US"/>
        </w:rPr>
        <w:t>.</w:t>
      </w:r>
    </w:p>
    <w:p w:rsidR="00EA76CE" w:rsidRDefault="00D1671B" w:rsidP="00EA76CE">
      <w:pPr>
        <w:pStyle w:val="2"/>
        <w:rPr>
          <w:rFonts w:cs="Arial"/>
          <w:lang w:val="en-US"/>
        </w:rPr>
      </w:pPr>
      <w:r>
        <w:rPr>
          <w:rFonts w:cs="Arial"/>
          <w:lang w:val="en-US"/>
        </w:rPr>
        <w:t>RB allocation</w:t>
      </w:r>
    </w:p>
    <w:p w:rsidR="00751B91" w:rsidRPr="005A09F0" w:rsidRDefault="00751B91" w:rsidP="00751B91">
      <w:bookmarkStart w:id="7" w:name="_Hlk506571898"/>
      <w:r>
        <w:rPr>
          <w:lang w:eastAsia="en-US"/>
        </w:rPr>
        <w:t xml:space="preserve">In </w:t>
      </w:r>
      <w:r>
        <w:rPr>
          <w:rFonts w:hint="eastAsia"/>
        </w:rPr>
        <w:t xml:space="preserve">LTE and </w:t>
      </w:r>
      <w:r>
        <w:rPr>
          <w:lang w:eastAsia="en-US"/>
        </w:rPr>
        <w:t xml:space="preserve">NR single carrier testing, the </w:t>
      </w:r>
      <w:r w:rsidR="005661FF">
        <w:rPr>
          <w:lang w:eastAsia="en-US"/>
        </w:rPr>
        <w:t>Narrow band blocking</w:t>
      </w:r>
      <w:r>
        <w:rPr>
          <w:lang w:eastAsia="en-US"/>
        </w:rPr>
        <w:t xml:space="preserve"> is tested using </w:t>
      </w:r>
      <w:r>
        <w:t>the</w:t>
      </w:r>
      <w:r>
        <w:rPr>
          <w:rFonts w:hint="eastAsia"/>
        </w:rPr>
        <w:t xml:space="preserve"> same downlink and uplink</w:t>
      </w:r>
      <w:r w:rsidRPr="005847D7">
        <w:t xml:space="preserve"> RB</w:t>
      </w:r>
      <w:r>
        <w:t xml:space="preserve"> allocations</w:t>
      </w:r>
      <w:r>
        <w:rPr>
          <w:rFonts w:hint="eastAsia"/>
        </w:rPr>
        <w:t xml:space="preserve"> as </w:t>
      </w:r>
      <w:r>
        <w:t>Reference sensitivity level</w:t>
      </w:r>
      <w:r w:rsidRPr="00312999">
        <w:rPr>
          <w:rFonts w:hint="eastAsia"/>
        </w:rPr>
        <w:t>.</w:t>
      </w:r>
      <w:r>
        <w:rPr>
          <w:lang w:eastAsia="en-US"/>
        </w:rPr>
        <w:t xml:space="preserve"> This can be followed in </w:t>
      </w:r>
      <w:r>
        <w:t>intra-band contiguous EN-DC in FR1</w:t>
      </w:r>
      <w:r>
        <w:rPr>
          <w:lang w:eastAsia="en-US"/>
        </w:rPr>
        <w:t xml:space="preserve"> testing.</w:t>
      </w:r>
    </w:p>
    <w:p w:rsidR="00D34215" w:rsidRDefault="00751B91" w:rsidP="00751B91">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Pr>
          <w:lang w:eastAsia="en-US"/>
        </w:rPr>
        <w:t xml:space="preserve">For </w:t>
      </w:r>
      <w:r w:rsidR="005661FF">
        <w:rPr>
          <w:lang w:eastAsia="en-US"/>
        </w:rPr>
        <w:t>Narrow band blocking</w:t>
      </w:r>
      <w:r>
        <w:rPr>
          <w:lang w:eastAsia="en-US"/>
        </w:rPr>
        <w:t xml:space="preserve"> for </w:t>
      </w:r>
      <w:r>
        <w:t>intra-band contiguous EN-DC in FR1</w:t>
      </w:r>
      <w:r>
        <w:rPr>
          <w:lang w:eastAsia="en-US"/>
        </w:rPr>
        <w:t xml:space="preserve">, test </w:t>
      </w:r>
      <w:r>
        <w:t>the</w:t>
      </w:r>
      <w:r>
        <w:rPr>
          <w:rFonts w:hint="eastAsia"/>
        </w:rPr>
        <w:t xml:space="preserve"> same downlink and uplink</w:t>
      </w:r>
      <w:r w:rsidRPr="005847D7">
        <w:t xml:space="preserve"> RB</w:t>
      </w:r>
      <w:r>
        <w:t xml:space="preserve"> allocations</w:t>
      </w:r>
      <w:r>
        <w:rPr>
          <w:rFonts w:hint="eastAsia"/>
        </w:rPr>
        <w:t xml:space="preserve"> as the </w:t>
      </w:r>
      <w:r w:rsidR="001720F2">
        <w:rPr>
          <w:rFonts w:hint="eastAsia"/>
        </w:rPr>
        <w:t xml:space="preserve">LTE and </w:t>
      </w:r>
      <w:r w:rsidR="001720F2">
        <w:rPr>
          <w:lang w:eastAsia="en-US"/>
        </w:rPr>
        <w:t>NR single carrier</w:t>
      </w:r>
      <w:r w:rsidR="001720F2">
        <w:t xml:space="preserve"> </w:t>
      </w:r>
      <w:r>
        <w:t>Reference sensitivity level</w:t>
      </w:r>
      <w:r>
        <w:rPr>
          <w:rFonts w:hint="eastAsia"/>
        </w:rPr>
        <w:t xml:space="preserve"> TC for each </w:t>
      </w:r>
      <w:r w:rsidRPr="00B943CC">
        <w:rPr>
          <w:lang w:eastAsia="en-US"/>
        </w:rPr>
        <w:t>E-UTRA</w:t>
      </w:r>
      <w:r>
        <w:rPr>
          <w:rFonts w:hint="eastAsia"/>
        </w:rPr>
        <w:t xml:space="preserve"> CC and NR CC</w:t>
      </w:r>
      <w:r>
        <w:rPr>
          <w:lang w:eastAsia="en-US"/>
        </w:rPr>
        <w:t>.</w:t>
      </w:r>
    </w:p>
    <w:bookmarkEnd w:id="7"/>
    <w:p w:rsidR="00AA56D9" w:rsidRPr="003B026C" w:rsidRDefault="00AA56D9" w:rsidP="00AA56D9">
      <w:pPr>
        <w:pStyle w:val="1"/>
        <w:rPr>
          <w:lang w:val="en-US"/>
        </w:rPr>
      </w:pPr>
      <w:r w:rsidRPr="003B026C">
        <w:rPr>
          <w:lang w:val="en-US"/>
        </w:rPr>
        <w:tab/>
        <w:t>Conclusion</w:t>
      </w:r>
    </w:p>
    <w:p w:rsidR="00AA56D9" w:rsidRPr="003B026C" w:rsidRDefault="00AA56D9" w:rsidP="00AA56D9">
      <w:pPr>
        <w:rPr>
          <w:lang w:eastAsia="en-US"/>
        </w:rPr>
      </w:pPr>
      <w:r w:rsidRPr="003B026C">
        <w:rPr>
          <w:lang w:eastAsia="en-US"/>
        </w:rPr>
        <w:t>To sum up, the following selection of test points is proposed for</w:t>
      </w:r>
      <w:r w:rsidR="004F3026" w:rsidRPr="004F3026">
        <w:rPr>
          <w:lang w:eastAsia="en-US"/>
        </w:rPr>
        <w:t xml:space="preserve"> </w:t>
      </w:r>
      <w:r w:rsidR="005661FF">
        <w:rPr>
          <w:lang w:eastAsia="en-US"/>
        </w:rPr>
        <w:t>Narrow band blocking</w:t>
      </w:r>
      <w:r w:rsidR="005317E6">
        <w:rPr>
          <w:lang w:eastAsia="en-US"/>
        </w:rPr>
        <w:t xml:space="preserve"> </w:t>
      </w:r>
      <w:r w:rsidR="004F3026">
        <w:rPr>
          <w:lang w:eastAsia="en-US"/>
        </w:rPr>
        <w:t xml:space="preserve">for </w:t>
      </w:r>
      <w:r w:rsidR="001720F2">
        <w:t>intra-band contiguous EN-DC in FR1</w:t>
      </w:r>
      <w:r w:rsidRPr="003B026C">
        <w:rPr>
          <w:lang w:eastAsia="en-US"/>
        </w:rPr>
        <w:t>:</w:t>
      </w:r>
    </w:p>
    <w:p w:rsidR="005317E6" w:rsidRDefault="004F3026" w:rsidP="005317E6">
      <w:pPr>
        <w:jc w:val="both"/>
        <w:rPr>
          <w:lang w:eastAsia="en-US"/>
        </w:rPr>
      </w:pPr>
      <w:r w:rsidRPr="00E446E8">
        <w:rPr>
          <w:b/>
          <w:lang w:eastAsia="en-US"/>
        </w:rPr>
        <w:lastRenderedPageBreak/>
        <w:t>Proposal</w:t>
      </w:r>
      <w:r>
        <w:rPr>
          <w:b/>
          <w:lang w:eastAsia="en-US"/>
        </w:rPr>
        <w:t xml:space="preserve"> 1</w:t>
      </w:r>
      <w:r w:rsidRPr="00E446E8">
        <w:rPr>
          <w:b/>
          <w:lang w:eastAsia="en-US"/>
        </w:rPr>
        <w:t>:</w:t>
      </w:r>
      <w:r w:rsidRPr="00E446E8">
        <w:rPr>
          <w:lang w:eastAsia="en-US"/>
        </w:rPr>
        <w:t xml:space="preserve"> </w:t>
      </w:r>
      <w:r w:rsidR="00047AF1">
        <w:rPr>
          <w:lang w:eastAsia="en-US"/>
        </w:rPr>
        <w:t xml:space="preserve">Define test environment as Normal for </w:t>
      </w:r>
      <w:r w:rsidR="005661FF">
        <w:rPr>
          <w:lang w:eastAsia="en-US"/>
        </w:rPr>
        <w:t>Narrow band blocking</w:t>
      </w:r>
      <w:r w:rsidR="00047AF1">
        <w:rPr>
          <w:lang w:eastAsia="en-US"/>
        </w:rPr>
        <w:t xml:space="preserve"> for </w:t>
      </w:r>
      <w:r w:rsidR="00047AF1">
        <w:t>intra-band contiguous EN-DC in FR1</w:t>
      </w:r>
      <w:r w:rsidR="00047AF1">
        <w:rPr>
          <w:lang w:eastAsia="en-US"/>
        </w:rPr>
        <w:t>.</w:t>
      </w:r>
    </w:p>
    <w:p w:rsidR="005317E6" w:rsidRDefault="00753B4F" w:rsidP="005317E6">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sidR="00047AF1">
        <w:rPr>
          <w:lang w:eastAsia="en-US"/>
        </w:rPr>
        <w:t xml:space="preserve">For </w:t>
      </w:r>
      <w:r w:rsidR="005661FF">
        <w:rPr>
          <w:lang w:eastAsia="en-US"/>
        </w:rPr>
        <w:t>Narrow band blocking</w:t>
      </w:r>
      <w:r w:rsidR="00047AF1">
        <w:rPr>
          <w:lang w:eastAsia="en-US"/>
        </w:rPr>
        <w:t xml:space="preserve"> for </w:t>
      </w:r>
      <w:r w:rsidR="00047AF1">
        <w:t>intra-band contiguous EN-DC in FR1</w:t>
      </w:r>
      <w:r w:rsidR="00047AF1">
        <w:rPr>
          <w:lang w:eastAsia="en-US"/>
        </w:rPr>
        <w:t xml:space="preserve">, test </w:t>
      </w:r>
      <w:proofErr w:type="gramStart"/>
      <w:r w:rsidR="00047AF1">
        <w:rPr>
          <w:lang w:eastAsia="en-US"/>
        </w:rPr>
        <w:t>Lowest</w:t>
      </w:r>
      <w:proofErr w:type="gramEnd"/>
      <w:r w:rsidR="00047AF1">
        <w:rPr>
          <w:lang w:eastAsia="en-US"/>
        </w:rPr>
        <w:t xml:space="preserve"> subcarrier spacing.</w:t>
      </w:r>
    </w:p>
    <w:p w:rsidR="005317E6" w:rsidRDefault="00753B4F" w:rsidP="005317E6">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047AF1">
        <w:rPr>
          <w:lang w:eastAsia="en-US"/>
        </w:rPr>
        <w:t xml:space="preserve">For </w:t>
      </w:r>
      <w:r w:rsidR="005661FF">
        <w:rPr>
          <w:lang w:eastAsia="en-US"/>
        </w:rPr>
        <w:t>Narrow band blocking</w:t>
      </w:r>
      <w:r w:rsidR="00047AF1">
        <w:rPr>
          <w:lang w:eastAsia="en-US"/>
        </w:rPr>
        <w:t xml:space="preserve"> for </w:t>
      </w:r>
      <w:r w:rsidR="00047AF1">
        <w:t>intra-band contiguous EN-DC in FR1</w:t>
      </w:r>
      <w:r w:rsidR="00047AF1">
        <w:rPr>
          <w:lang w:eastAsia="en-US"/>
        </w:rPr>
        <w:t xml:space="preserve">, </w:t>
      </w:r>
      <w:r w:rsidR="00047AF1">
        <w:rPr>
          <w:rFonts w:hint="eastAsia"/>
        </w:rPr>
        <w:t xml:space="preserve">the </w:t>
      </w:r>
      <w:proofErr w:type="gramStart"/>
      <w:r w:rsidR="00047AF1" w:rsidRPr="00B943CC">
        <w:rPr>
          <w:lang w:eastAsia="en-US"/>
        </w:rPr>
        <w:t>Mid</w:t>
      </w:r>
      <w:proofErr w:type="gramEnd"/>
      <w:r w:rsidR="00047AF1" w:rsidRPr="00B943CC">
        <w:rPr>
          <w:lang w:eastAsia="en-US"/>
        </w:rPr>
        <w:t xml:space="preserve"> range </w:t>
      </w:r>
      <w:r w:rsidR="00047AF1">
        <w:rPr>
          <w:lang w:eastAsia="en-US"/>
        </w:rPr>
        <w:t>is tested</w:t>
      </w:r>
      <w:r w:rsidR="00047AF1">
        <w:rPr>
          <w:rFonts w:hint="eastAsia"/>
        </w:rPr>
        <w:t>.</w:t>
      </w:r>
    </w:p>
    <w:p w:rsidR="005317E6" w:rsidRDefault="00753B4F" w:rsidP="005317E6">
      <w:pPr>
        <w:jc w:val="both"/>
      </w:pPr>
      <w:r w:rsidRPr="00E446E8">
        <w:rPr>
          <w:b/>
          <w:lang w:eastAsia="en-US"/>
        </w:rPr>
        <w:t>Proposal</w:t>
      </w:r>
      <w:r>
        <w:rPr>
          <w:b/>
          <w:lang w:eastAsia="en-US"/>
        </w:rPr>
        <w:t xml:space="preserve"> </w:t>
      </w:r>
      <w:r>
        <w:rPr>
          <w:rFonts w:hint="eastAsia"/>
          <w:b/>
        </w:rPr>
        <w:t>4</w:t>
      </w:r>
      <w:r w:rsidRPr="00E446E8">
        <w:rPr>
          <w:b/>
          <w:lang w:eastAsia="en-US"/>
        </w:rPr>
        <w:t>:</w:t>
      </w:r>
      <w:r w:rsidRPr="00E446E8">
        <w:rPr>
          <w:lang w:eastAsia="en-US"/>
        </w:rPr>
        <w:t xml:space="preserve"> </w:t>
      </w:r>
      <w:r w:rsidR="007D3443">
        <w:rPr>
          <w:lang w:eastAsia="en-US"/>
        </w:rPr>
        <w:t xml:space="preserve">For </w:t>
      </w:r>
      <w:r w:rsidR="005661FF">
        <w:rPr>
          <w:lang w:eastAsia="en-US"/>
        </w:rPr>
        <w:t>Narrow band blocking</w:t>
      </w:r>
      <w:r w:rsidR="007D3443">
        <w:rPr>
          <w:lang w:eastAsia="en-US"/>
        </w:rPr>
        <w:t xml:space="preserve"> for </w:t>
      </w:r>
      <w:r w:rsidR="007D3443">
        <w:t>intra-band contiguous EN-DC in FR1</w:t>
      </w:r>
      <w:r w:rsidR="007D3443">
        <w:rPr>
          <w:lang w:eastAsia="en-US"/>
        </w:rPr>
        <w:t xml:space="preserve">, the </w:t>
      </w:r>
      <w:r w:rsidR="007D3443" w:rsidRPr="007051A2">
        <w:rPr>
          <w:lang w:eastAsia="en-US"/>
        </w:rPr>
        <w:t xml:space="preserve">Lowest </w:t>
      </w:r>
      <w:proofErr w:type="spellStart"/>
      <w:r w:rsidR="007D3443" w:rsidRPr="007051A2">
        <w:rPr>
          <w:lang w:eastAsia="en-US"/>
        </w:rPr>
        <w:t>N</w:t>
      </w:r>
      <w:r w:rsidR="007D3443" w:rsidRPr="007051A2">
        <w:rPr>
          <w:vertAlign w:val="subscript"/>
          <w:lang w:eastAsia="en-US"/>
        </w:rPr>
        <w:t>RB_agg</w:t>
      </w:r>
      <w:proofErr w:type="spellEnd"/>
      <w:r w:rsidR="007D3443">
        <w:rPr>
          <w:lang w:eastAsia="en-US"/>
        </w:rPr>
        <w:t xml:space="preserve"> </w:t>
      </w:r>
      <w:r w:rsidR="007D3443">
        <w:rPr>
          <w:rFonts w:hint="eastAsia"/>
        </w:rPr>
        <w:t>and</w:t>
      </w:r>
      <w:r w:rsidR="007D3443">
        <w:rPr>
          <w:lang w:eastAsia="en-US"/>
        </w:rPr>
        <w:t xml:space="preserve"> Highest </w:t>
      </w:r>
      <w:proofErr w:type="spellStart"/>
      <w:r w:rsidR="007D3443">
        <w:rPr>
          <w:lang w:eastAsia="en-US"/>
        </w:rPr>
        <w:t>N</w:t>
      </w:r>
      <w:r w:rsidR="007D3443">
        <w:rPr>
          <w:vertAlign w:val="subscript"/>
          <w:lang w:eastAsia="en-US"/>
        </w:rPr>
        <w:t>RB_agg</w:t>
      </w:r>
      <w:proofErr w:type="spellEnd"/>
      <w:r w:rsidR="007D3443">
        <w:rPr>
          <w:lang w:eastAsia="en-US"/>
        </w:rPr>
        <w:t xml:space="preserve"> </w:t>
      </w:r>
      <w:r w:rsidR="007D3443">
        <w:rPr>
          <w:rFonts w:hint="eastAsia"/>
        </w:rPr>
        <w:t>are</w:t>
      </w:r>
      <w:r w:rsidR="007D3443">
        <w:rPr>
          <w:lang w:eastAsia="en-US"/>
        </w:rPr>
        <w:t xml:space="preserve"> tested.</w:t>
      </w:r>
    </w:p>
    <w:p w:rsidR="00753B4F" w:rsidRDefault="00753B4F" w:rsidP="005317E6">
      <w:pPr>
        <w:jc w:val="both"/>
      </w:pPr>
      <w:r w:rsidRPr="00E446E8">
        <w:rPr>
          <w:b/>
          <w:lang w:eastAsia="en-US"/>
        </w:rPr>
        <w:t>Proposal</w:t>
      </w:r>
      <w:r>
        <w:rPr>
          <w:b/>
          <w:lang w:eastAsia="en-US"/>
        </w:rPr>
        <w:t xml:space="preserve"> </w:t>
      </w:r>
      <w:r>
        <w:rPr>
          <w:rFonts w:hint="eastAsia"/>
          <w:b/>
        </w:rPr>
        <w:t>5</w:t>
      </w:r>
      <w:r w:rsidRPr="00E446E8">
        <w:rPr>
          <w:b/>
          <w:lang w:eastAsia="en-US"/>
        </w:rPr>
        <w:t>:</w:t>
      </w:r>
      <w:r w:rsidRPr="00E446E8">
        <w:rPr>
          <w:lang w:eastAsia="en-US"/>
        </w:rPr>
        <w:t xml:space="preserve"> </w:t>
      </w:r>
      <w:r w:rsidR="00047AF1">
        <w:rPr>
          <w:lang w:eastAsia="en-US"/>
        </w:rPr>
        <w:t xml:space="preserve">For </w:t>
      </w:r>
      <w:r w:rsidR="005661FF">
        <w:rPr>
          <w:lang w:eastAsia="en-US"/>
        </w:rPr>
        <w:t>Narrow band blocking</w:t>
      </w:r>
      <w:r w:rsidR="00047AF1">
        <w:rPr>
          <w:lang w:eastAsia="en-US"/>
        </w:rPr>
        <w:t xml:space="preserve"> for </w:t>
      </w:r>
      <w:r w:rsidR="00047AF1">
        <w:t>intra-band contiguous EN-DC in FR1</w:t>
      </w:r>
      <w:r w:rsidR="00047AF1">
        <w:rPr>
          <w:lang w:eastAsia="en-US"/>
        </w:rPr>
        <w:t>,</w:t>
      </w:r>
      <w:r w:rsidR="00047AF1">
        <w:rPr>
          <w:rFonts w:hint="eastAsia"/>
        </w:rPr>
        <w:t xml:space="preserve"> test</w:t>
      </w:r>
      <w:r w:rsidR="00047AF1">
        <w:rPr>
          <w:lang w:eastAsia="en-US"/>
        </w:rPr>
        <w:t xml:space="preserve"> </w:t>
      </w:r>
      <w:r w:rsidR="00047AF1" w:rsidRPr="00312999">
        <w:rPr>
          <w:rFonts w:hint="eastAsia"/>
        </w:rPr>
        <w:t>QPSK</w:t>
      </w:r>
      <w:r w:rsidR="00047AF1">
        <w:rPr>
          <w:rFonts w:hint="eastAsia"/>
        </w:rPr>
        <w:t xml:space="preserve"> for downlink and uplink</w:t>
      </w:r>
      <w:r w:rsidR="00047AF1" w:rsidRPr="00527FAE">
        <w:rPr>
          <w:rFonts w:hint="eastAsia"/>
        </w:rPr>
        <w:t xml:space="preserve"> </w:t>
      </w:r>
      <w:r w:rsidR="00047AF1">
        <w:rPr>
          <w:rFonts w:hint="eastAsia"/>
        </w:rPr>
        <w:t xml:space="preserve">for </w:t>
      </w:r>
      <w:r w:rsidR="00047AF1" w:rsidRPr="00B943CC">
        <w:rPr>
          <w:lang w:eastAsia="en-US"/>
        </w:rPr>
        <w:t>E-UTRA</w:t>
      </w:r>
      <w:r w:rsidR="00047AF1">
        <w:rPr>
          <w:rFonts w:hint="eastAsia"/>
        </w:rPr>
        <w:t xml:space="preserve"> </w:t>
      </w:r>
      <w:proofErr w:type="gramStart"/>
      <w:r w:rsidR="00047AF1">
        <w:rPr>
          <w:rFonts w:hint="eastAsia"/>
        </w:rPr>
        <w:t>CC,</w:t>
      </w:r>
      <w:proofErr w:type="gramEnd"/>
      <w:r w:rsidR="00047AF1">
        <w:rPr>
          <w:lang w:eastAsia="en-US"/>
        </w:rPr>
        <w:t xml:space="preserve"> test </w:t>
      </w:r>
      <w:r w:rsidR="00047AF1" w:rsidRPr="00312999">
        <w:rPr>
          <w:rFonts w:hint="eastAsia"/>
        </w:rPr>
        <w:t>CP-OFDM QPSK</w:t>
      </w:r>
      <w:r w:rsidR="00047AF1">
        <w:rPr>
          <w:rFonts w:hint="eastAsia"/>
        </w:rPr>
        <w:t xml:space="preserve"> for downlink and </w:t>
      </w:r>
      <w:r w:rsidR="00047AF1">
        <w:rPr>
          <w:lang w:eastAsia="ja-JP"/>
        </w:rPr>
        <w:t>DFT-s-OFDM QPSK</w:t>
      </w:r>
      <w:r w:rsidR="00047AF1">
        <w:rPr>
          <w:rFonts w:hint="eastAsia"/>
        </w:rPr>
        <w:t xml:space="preserve"> for uplink for NR CC</w:t>
      </w:r>
      <w:r w:rsidR="00047AF1">
        <w:rPr>
          <w:lang w:eastAsia="en-US"/>
        </w:rPr>
        <w:t>.</w:t>
      </w:r>
    </w:p>
    <w:p w:rsidR="00787768" w:rsidRDefault="00787768" w:rsidP="00787768">
      <w:pPr>
        <w:jc w:val="both"/>
        <w:rPr>
          <w:lang w:eastAsia="en-US"/>
        </w:rPr>
      </w:pPr>
      <w:r w:rsidRPr="00E446E8">
        <w:rPr>
          <w:b/>
          <w:lang w:eastAsia="en-US"/>
        </w:rPr>
        <w:t>Proposal</w:t>
      </w:r>
      <w:r>
        <w:rPr>
          <w:b/>
          <w:lang w:eastAsia="en-US"/>
        </w:rPr>
        <w:t xml:space="preserve"> </w:t>
      </w:r>
      <w:r>
        <w:rPr>
          <w:rFonts w:hint="eastAsia"/>
          <w:b/>
        </w:rPr>
        <w:t>6</w:t>
      </w:r>
      <w:r w:rsidRPr="00E446E8">
        <w:rPr>
          <w:b/>
          <w:lang w:eastAsia="en-US"/>
        </w:rPr>
        <w:t>:</w:t>
      </w:r>
      <w:r w:rsidRPr="00E446E8">
        <w:rPr>
          <w:lang w:eastAsia="en-US"/>
        </w:rPr>
        <w:t xml:space="preserve"> </w:t>
      </w:r>
      <w:r w:rsidR="00047AF1">
        <w:rPr>
          <w:lang w:eastAsia="en-US"/>
        </w:rPr>
        <w:t xml:space="preserve">For </w:t>
      </w:r>
      <w:r w:rsidR="005661FF">
        <w:rPr>
          <w:lang w:eastAsia="en-US"/>
        </w:rPr>
        <w:t>Narrow band blocking</w:t>
      </w:r>
      <w:r w:rsidR="00047AF1">
        <w:rPr>
          <w:lang w:eastAsia="en-US"/>
        </w:rPr>
        <w:t xml:space="preserve"> for </w:t>
      </w:r>
      <w:r w:rsidR="00047AF1">
        <w:t>intra-band contiguous EN-DC in FR1</w:t>
      </w:r>
      <w:r w:rsidR="00047AF1">
        <w:rPr>
          <w:lang w:eastAsia="en-US"/>
        </w:rPr>
        <w:t xml:space="preserve">, test </w:t>
      </w:r>
      <w:r w:rsidR="00047AF1">
        <w:t>the</w:t>
      </w:r>
      <w:r w:rsidR="00047AF1">
        <w:rPr>
          <w:rFonts w:hint="eastAsia"/>
        </w:rPr>
        <w:t xml:space="preserve"> same downlink and uplink</w:t>
      </w:r>
      <w:r w:rsidR="00047AF1" w:rsidRPr="005847D7">
        <w:t xml:space="preserve"> RB</w:t>
      </w:r>
      <w:r w:rsidR="00047AF1">
        <w:t xml:space="preserve"> allocations</w:t>
      </w:r>
      <w:r w:rsidR="00047AF1">
        <w:rPr>
          <w:rFonts w:hint="eastAsia"/>
        </w:rPr>
        <w:t xml:space="preserve"> as the LTE and </w:t>
      </w:r>
      <w:r w:rsidR="00047AF1">
        <w:rPr>
          <w:lang w:eastAsia="en-US"/>
        </w:rPr>
        <w:t>NR single carrier</w:t>
      </w:r>
      <w:r w:rsidR="00047AF1">
        <w:t xml:space="preserve"> Reference sensitivity level</w:t>
      </w:r>
      <w:r w:rsidR="00047AF1">
        <w:rPr>
          <w:rFonts w:hint="eastAsia"/>
        </w:rPr>
        <w:t xml:space="preserve"> TC for each </w:t>
      </w:r>
      <w:r w:rsidR="00047AF1" w:rsidRPr="00B943CC">
        <w:rPr>
          <w:lang w:eastAsia="en-US"/>
        </w:rPr>
        <w:t>E-UTRA</w:t>
      </w:r>
      <w:r w:rsidR="00047AF1">
        <w:rPr>
          <w:rFonts w:hint="eastAsia"/>
        </w:rPr>
        <w:t xml:space="preserve"> CC and NR CC</w:t>
      </w:r>
      <w:r w:rsidR="00047AF1">
        <w:rPr>
          <w:lang w:eastAsia="en-US"/>
        </w:rPr>
        <w:t>.</w:t>
      </w:r>
    </w:p>
    <w:p w:rsidR="00AA56D9" w:rsidRPr="003B026C" w:rsidRDefault="00AA56D9" w:rsidP="00AA56D9">
      <w:pPr>
        <w:pStyle w:val="1"/>
        <w:rPr>
          <w:lang w:val="en-US"/>
        </w:rPr>
      </w:pPr>
      <w:r w:rsidRPr="003B026C">
        <w:rPr>
          <w:lang w:val="en-US"/>
        </w:rPr>
        <w:tab/>
        <w:t>Number of test points</w:t>
      </w:r>
    </w:p>
    <w:p w:rsidR="00AA56D9" w:rsidRPr="003B026C" w:rsidRDefault="009112D9" w:rsidP="00AA56D9">
      <w:r w:rsidRPr="009112D9">
        <w:rPr>
          <w:lang w:val="en-GB"/>
        </w:rPr>
        <w:t xml:space="preserve">In this document several proposals have been stated for the configuration parameters. In all of cases the analysis has been focused on reducing testing time without losing coverage in UE testing for </w:t>
      </w:r>
      <w:r w:rsidR="00D4183A">
        <w:t>intra-band contiguous EN-DC in FR1</w:t>
      </w:r>
      <w:r w:rsidRPr="009112D9">
        <w:rPr>
          <w:lang w:val="en-GB"/>
        </w:rPr>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8"/>
        <w:gridCol w:w="1309"/>
        <w:gridCol w:w="1126"/>
        <w:gridCol w:w="1130"/>
        <w:gridCol w:w="968"/>
        <w:gridCol w:w="1068"/>
      </w:tblGrid>
      <w:tr w:rsidR="00AA56D9" w:rsidRPr="003B026C" w:rsidTr="00D21339">
        <w:trPr>
          <w:trHeight w:val="714"/>
          <w:jc w:val="center"/>
        </w:trPr>
        <w:tc>
          <w:tcPr>
            <w:tcW w:w="1060"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2" w:type="pct"/>
          </w:tcPr>
          <w:p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2B6F34" w:rsidRPr="003B026C" w:rsidTr="00D21339">
        <w:trPr>
          <w:jc w:val="center"/>
        </w:trPr>
        <w:tc>
          <w:tcPr>
            <w:tcW w:w="1060"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1" w:type="pct"/>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1</w:t>
            </w:r>
          </w:p>
        </w:tc>
        <w:tc>
          <w:tcPr>
            <w:tcW w:w="792" w:type="pct"/>
          </w:tcPr>
          <w:p w:rsidR="002B6F34" w:rsidRPr="00CF2996" w:rsidRDefault="00FD5A1F"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2</w:t>
            </w:r>
          </w:p>
        </w:tc>
        <w:tc>
          <w:tcPr>
            <w:tcW w:w="795" w:type="pct"/>
          </w:tcPr>
          <w:p w:rsidR="002B6F34" w:rsidRPr="003B026C" w:rsidRDefault="002B6F34"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rsidR="002B6F34" w:rsidRPr="003B026C" w:rsidRDefault="002B6F34"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2" w:type="pct"/>
          </w:tcPr>
          <w:p w:rsidR="002B6F34" w:rsidRPr="00CF2996" w:rsidRDefault="00FD5A1F" w:rsidP="00AA56D9">
            <w:pPr>
              <w:keepNext/>
              <w:keepLines/>
              <w:spacing w:after="0" w:line="240" w:lineRule="auto"/>
              <w:jc w:val="center"/>
              <w:rPr>
                <w:rFonts w:eastAsiaTheme="minorEastAsia" w:cs="Times New Roman"/>
                <w:sz w:val="18"/>
                <w:szCs w:val="20"/>
                <w:lang w:val="en-GB"/>
              </w:rPr>
            </w:pPr>
            <w:r>
              <w:rPr>
                <w:rFonts w:eastAsiaTheme="minorEastAsia" w:cs="Times New Roman" w:hint="eastAsia"/>
                <w:sz w:val="18"/>
                <w:szCs w:val="20"/>
                <w:lang w:val="en-GB"/>
              </w:rPr>
              <w:t>2</w:t>
            </w:r>
          </w:p>
        </w:tc>
      </w:tr>
    </w:tbl>
    <w:p w:rsidR="00D21339" w:rsidRPr="00C935F9" w:rsidRDefault="00D21339" w:rsidP="00D21339"/>
    <w:sectPr w:rsidR="00D21339" w:rsidRPr="00C935F9"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9B9" w:rsidRDefault="001E79B9" w:rsidP="00371D7D">
      <w:r>
        <w:separator/>
      </w:r>
    </w:p>
  </w:endnote>
  <w:endnote w:type="continuationSeparator" w:id="0">
    <w:p w:rsidR="001E79B9" w:rsidRDefault="001E79B9" w:rsidP="00371D7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756" w:rsidRPr="000E7B1E" w:rsidRDefault="00C22756" w:rsidP="00D81F96">
    <w:pPr>
      <w:pStyle w:val="aa"/>
    </w:pPr>
    <w:r>
      <w:rPr>
        <w:noProof w:val="0"/>
      </w:rPr>
      <w:t xml:space="preserve">Page </w:t>
    </w:r>
    <w:r w:rsidR="0017653A">
      <w:rPr>
        <w:noProof w:val="0"/>
      </w:rPr>
      <w:fldChar w:fldCharType="begin"/>
    </w:r>
    <w:r>
      <w:instrText xml:space="preserve"> PAGE   \* MERGEFORMAT </w:instrText>
    </w:r>
    <w:r w:rsidR="0017653A">
      <w:rPr>
        <w:noProof w:val="0"/>
      </w:rPr>
      <w:fldChar w:fldCharType="separate"/>
    </w:r>
    <w:r w:rsidR="0077571B">
      <w:t>1</w:t>
    </w:r>
    <w:r w:rsidR="0017653A">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9B9" w:rsidRDefault="001E79B9" w:rsidP="00371D7D">
      <w:r>
        <w:separator/>
      </w:r>
    </w:p>
  </w:footnote>
  <w:footnote w:type="continuationSeparator" w:id="0">
    <w:p w:rsidR="001E79B9" w:rsidRDefault="001E79B9" w:rsidP="00371D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removePersonalInformation/>
  <w:removeDateAndTime/>
  <w:bordersDoNotSurroundHeader/>
  <w:bordersDoNotSurroundFooter/>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41986"/>
  </w:hdrShapeDefaults>
  <w:footnotePr>
    <w:footnote w:id="-1"/>
    <w:footnote w:id="0"/>
  </w:footnotePr>
  <w:endnotePr>
    <w:endnote w:id="-1"/>
    <w:endnote w:id="0"/>
  </w:endnotePr>
  <w:compat>
    <w:useFELayout/>
  </w:compat>
  <w:rsids>
    <w:rsidRoot w:val="00FE73F2"/>
    <w:rsid w:val="00002537"/>
    <w:rsid w:val="0000298C"/>
    <w:rsid w:val="000051DE"/>
    <w:rsid w:val="00011DA7"/>
    <w:rsid w:val="00011DE0"/>
    <w:rsid w:val="00011F7B"/>
    <w:rsid w:val="00012388"/>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AF1"/>
    <w:rsid w:val="00047E75"/>
    <w:rsid w:val="00052708"/>
    <w:rsid w:val="0006221F"/>
    <w:rsid w:val="00063C4D"/>
    <w:rsid w:val="000652BE"/>
    <w:rsid w:val="0006555A"/>
    <w:rsid w:val="00075135"/>
    <w:rsid w:val="000762B7"/>
    <w:rsid w:val="00076F79"/>
    <w:rsid w:val="000814E4"/>
    <w:rsid w:val="00081C35"/>
    <w:rsid w:val="000828B5"/>
    <w:rsid w:val="00082A5B"/>
    <w:rsid w:val="00090742"/>
    <w:rsid w:val="00091BC6"/>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792C"/>
    <w:rsid w:val="00110B13"/>
    <w:rsid w:val="001114C1"/>
    <w:rsid w:val="00112164"/>
    <w:rsid w:val="001124F1"/>
    <w:rsid w:val="001137DA"/>
    <w:rsid w:val="0011436A"/>
    <w:rsid w:val="001147B0"/>
    <w:rsid w:val="00114995"/>
    <w:rsid w:val="00116DFF"/>
    <w:rsid w:val="001178F0"/>
    <w:rsid w:val="00117F9C"/>
    <w:rsid w:val="00121F37"/>
    <w:rsid w:val="00123745"/>
    <w:rsid w:val="00126CE6"/>
    <w:rsid w:val="00132BDD"/>
    <w:rsid w:val="001339FF"/>
    <w:rsid w:val="001378A7"/>
    <w:rsid w:val="0014206E"/>
    <w:rsid w:val="0015068F"/>
    <w:rsid w:val="001530C0"/>
    <w:rsid w:val="00153604"/>
    <w:rsid w:val="001553DE"/>
    <w:rsid w:val="001554F2"/>
    <w:rsid w:val="0015562C"/>
    <w:rsid w:val="0015692F"/>
    <w:rsid w:val="0016379A"/>
    <w:rsid w:val="00164040"/>
    <w:rsid w:val="00167CAD"/>
    <w:rsid w:val="00167FB4"/>
    <w:rsid w:val="001720F2"/>
    <w:rsid w:val="0017275D"/>
    <w:rsid w:val="00172D17"/>
    <w:rsid w:val="001747B0"/>
    <w:rsid w:val="00174ED5"/>
    <w:rsid w:val="0017653A"/>
    <w:rsid w:val="00176658"/>
    <w:rsid w:val="00176791"/>
    <w:rsid w:val="00180494"/>
    <w:rsid w:val="001810A2"/>
    <w:rsid w:val="00183F14"/>
    <w:rsid w:val="00184003"/>
    <w:rsid w:val="00185F6B"/>
    <w:rsid w:val="001869F8"/>
    <w:rsid w:val="00193A32"/>
    <w:rsid w:val="00197F8E"/>
    <w:rsid w:val="001A042A"/>
    <w:rsid w:val="001A2E0D"/>
    <w:rsid w:val="001A65AB"/>
    <w:rsid w:val="001B0670"/>
    <w:rsid w:val="001B0742"/>
    <w:rsid w:val="001B137F"/>
    <w:rsid w:val="001B2191"/>
    <w:rsid w:val="001B3B74"/>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9B9"/>
    <w:rsid w:val="001E7B76"/>
    <w:rsid w:val="001F0673"/>
    <w:rsid w:val="001F4112"/>
    <w:rsid w:val="001F5452"/>
    <w:rsid w:val="001F6CC0"/>
    <w:rsid w:val="00203345"/>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BF8"/>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36DC"/>
    <w:rsid w:val="0026652B"/>
    <w:rsid w:val="002674A8"/>
    <w:rsid w:val="002700B4"/>
    <w:rsid w:val="0027049D"/>
    <w:rsid w:val="002759B6"/>
    <w:rsid w:val="00276F00"/>
    <w:rsid w:val="00282191"/>
    <w:rsid w:val="00284170"/>
    <w:rsid w:val="00286031"/>
    <w:rsid w:val="002866C4"/>
    <w:rsid w:val="00287444"/>
    <w:rsid w:val="00290859"/>
    <w:rsid w:val="002912F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648A"/>
    <w:rsid w:val="002B6F34"/>
    <w:rsid w:val="002B7900"/>
    <w:rsid w:val="002C098B"/>
    <w:rsid w:val="002C3A4F"/>
    <w:rsid w:val="002C48E9"/>
    <w:rsid w:val="002C75A4"/>
    <w:rsid w:val="002D0C60"/>
    <w:rsid w:val="002D394E"/>
    <w:rsid w:val="002D5691"/>
    <w:rsid w:val="002E0D1B"/>
    <w:rsid w:val="002E1075"/>
    <w:rsid w:val="002E3CF0"/>
    <w:rsid w:val="002E434E"/>
    <w:rsid w:val="002E74E5"/>
    <w:rsid w:val="002E76D7"/>
    <w:rsid w:val="002F1A84"/>
    <w:rsid w:val="002F26C4"/>
    <w:rsid w:val="002F3517"/>
    <w:rsid w:val="002F3C5C"/>
    <w:rsid w:val="002F4BE9"/>
    <w:rsid w:val="002F5049"/>
    <w:rsid w:val="002F6CC0"/>
    <w:rsid w:val="002F788D"/>
    <w:rsid w:val="003013B7"/>
    <w:rsid w:val="00305C89"/>
    <w:rsid w:val="00305D94"/>
    <w:rsid w:val="00306245"/>
    <w:rsid w:val="003112E8"/>
    <w:rsid w:val="0031299F"/>
    <w:rsid w:val="00315F9F"/>
    <w:rsid w:val="00316376"/>
    <w:rsid w:val="00316F3F"/>
    <w:rsid w:val="003200D8"/>
    <w:rsid w:val="00326319"/>
    <w:rsid w:val="0032672D"/>
    <w:rsid w:val="003300C3"/>
    <w:rsid w:val="00330686"/>
    <w:rsid w:val="003321C2"/>
    <w:rsid w:val="00332D69"/>
    <w:rsid w:val="003344C4"/>
    <w:rsid w:val="00334F04"/>
    <w:rsid w:val="00340E82"/>
    <w:rsid w:val="003434B3"/>
    <w:rsid w:val="00344B2B"/>
    <w:rsid w:val="0035204A"/>
    <w:rsid w:val="003521E6"/>
    <w:rsid w:val="00356F62"/>
    <w:rsid w:val="0036038D"/>
    <w:rsid w:val="003607C5"/>
    <w:rsid w:val="003608E0"/>
    <w:rsid w:val="00365F2E"/>
    <w:rsid w:val="003660C7"/>
    <w:rsid w:val="003664A2"/>
    <w:rsid w:val="00367826"/>
    <w:rsid w:val="00367E6D"/>
    <w:rsid w:val="0037173D"/>
    <w:rsid w:val="00371D7D"/>
    <w:rsid w:val="003722DF"/>
    <w:rsid w:val="00372474"/>
    <w:rsid w:val="003728C6"/>
    <w:rsid w:val="00372DAC"/>
    <w:rsid w:val="003750AC"/>
    <w:rsid w:val="00377106"/>
    <w:rsid w:val="003812CA"/>
    <w:rsid w:val="003838EA"/>
    <w:rsid w:val="00384B70"/>
    <w:rsid w:val="0038590F"/>
    <w:rsid w:val="00390861"/>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45A"/>
    <w:rsid w:val="003C551E"/>
    <w:rsid w:val="003C5B3F"/>
    <w:rsid w:val="003D0941"/>
    <w:rsid w:val="003D0E5C"/>
    <w:rsid w:val="003D1E7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1559C"/>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2DFB"/>
    <w:rsid w:val="004C6EB0"/>
    <w:rsid w:val="004D1D11"/>
    <w:rsid w:val="004D2DCF"/>
    <w:rsid w:val="004D54FF"/>
    <w:rsid w:val="004D74F3"/>
    <w:rsid w:val="004E1ED2"/>
    <w:rsid w:val="004E2925"/>
    <w:rsid w:val="004E3358"/>
    <w:rsid w:val="004E3BCC"/>
    <w:rsid w:val="004E4907"/>
    <w:rsid w:val="004E6948"/>
    <w:rsid w:val="004F17EE"/>
    <w:rsid w:val="004F27A7"/>
    <w:rsid w:val="004F3026"/>
    <w:rsid w:val="004F36A7"/>
    <w:rsid w:val="004F4D21"/>
    <w:rsid w:val="004F593F"/>
    <w:rsid w:val="004F697D"/>
    <w:rsid w:val="004F7D33"/>
    <w:rsid w:val="00502740"/>
    <w:rsid w:val="00502B4D"/>
    <w:rsid w:val="00506FB3"/>
    <w:rsid w:val="005078E7"/>
    <w:rsid w:val="00510F85"/>
    <w:rsid w:val="00514970"/>
    <w:rsid w:val="00516D9C"/>
    <w:rsid w:val="0051743C"/>
    <w:rsid w:val="00517DEB"/>
    <w:rsid w:val="005202CC"/>
    <w:rsid w:val="005208AB"/>
    <w:rsid w:val="00521C12"/>
    <w:rsid w:val="0052278C"/>
    <w:rsid w:val="005242EF"/>
    <w:rsid w:val="005247E8"/>
    <w:rsid w:val="0052481A"/>
    <w:rsid w:val="00524CE0"/>
    <w:rsid w:val="00525441"/>
    <w:rsid w:val="00527FAE"/>
    <w:rsid w:val="005317E6"/>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1FF"/>
    <w:rsid w:val="00566B4A"/>
    <w:rsid w:val="005678D2"/>
    <w:rsid w:val="00570805"/>
    <w:rsid w:val="005718E4"/>
    <w:rsid w:val="00571AAB"/>
    <w:rsid w:val="0057236F"/>
    <w:rsid w:val="00583905"/>
    <w:rsid w:val="00586465"/>
    <w:rsid w:val="00590023"/>
    <w:rsid w:val="00594B54"/>
    <w:rsid w:val="005964E4"/>
    <w:rsid w:val="00597751"/>
    <w:rsid w:val="005A04AB"/>
    <w:rsid w:val="005A09F0"/>
    <w:rsid w:val="005A6081"/>
    <w:rsid w:val="005B41A2"/>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693"/>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67BBA"/>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1012"/>
    <w:rsid w:val="006D3FD0"/>
    <w:rsid w:val="006D46B5"/>
    <w:rsid w:val="006E1A7C"/>
    <w:rsid w:val="006E1D64"/>
    <w:rsid w:val="006E4F64"/>
    <w:rsid w:val="006E50E7"/>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1B91"/>
    <w:rsid w:val="00753B4F"/>
    <w:rsid w:val="00757245"/>
    <w:rsid w:val="00757D7D"/>
    <w:rsid w:val="00761AED"/>
    <w:rsid w:val="007636DE"/>
    <w:rsid w:val="00765F55"/>
    <w:rsid w:val="007706D0"/>
    <w:rsid w:val="00773BDA"/>
    <w:rsid w:val="00773C96"/>
    <w:rsid w:val="00773DCA"/>
    <w:rsid w:val="007742E7"/>
    <w:rsid w:val="0077571B"/>
    <w:rsid w:val="00776294"/>
    <w:rsid w:val="00776D6B"/>
    <w:rsid w:val="007827F7"/>
    <w:rsid w:val="007832DF"/>
    <w:rsid w:val="007842C7"/>
    <w:rsid w:val="00787768"/>
    <w:rsid w:val="007927C1"/>
    <w:rsid w:val="00793EA4"/>
    <w:rsid w:val="007944C3"/>
    <w:rsid w:val="00797969"/>
    <w:rsid w:val="007A422E"/>
    <w:rsid w:val="007A6095"/>
    <w:rsid w:val="007A68E2"/>
    <w:rsid w:val="007A7270"/>
    <w:rsid w:val="007B0569"/>
    <w:rsid w:val="007B1E81"/>
    <w:rsid w:val="007B36E6"/>
    <w:rsid w:val="007B49AC"/>
    <w:rsid w:val="007B5D20"/>
    <w:rsid w:val="007B6733"/>
    <w:rsid w:val="007B6819"/>
    <w:rsid w:val="007B6ADB"/>
    <w:rsid w:val="007B7949"/>
    <w:rsid w:val="007C0E2A"/>
    <w:rsid w:val="007C221F"/>
    <w:rsid w:val="007C3C4B"/>
    <w:rsid w:val="007C6CC6"/>
    <w:rsid w:val="007C7077"/>
    <w:rsid w:val="007C7AEC"/>
    <w:rsid w:val="007D15F5"/>
    <w:rsid w:val="007D3443"/>
    <w:rsid w:val="007D35D4"/>
    <w:rsid w:val="007D3EAA"/>
    <w:rsid w:val="007D4BD9"/>
    <w:rsid w:val="007D632A"/>
    <w:rsid w:val="007E144D"/>
    <w:rsid w:val="007E1A21"/>
    <w:rsid w:val="007E29DD"/>
    <w:rsid w:val="007E47C9"/>
    <w:rsid w:val="007E542F"/>
    <w:rsid w:val="007E6D3C"/>
    <w:rsid w:val="007E74D3"/>
    <w:rsid w:val="007E75B3"/>
    <w:rsid w:val="007F1AD8"/>
    <w:rsid w:val="007F26AC"/>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29E0"/>
    <w:rsid w:val="0083554F"/>
    <w:rsid w:val="00836315"/>
    <w:rsid w:val="00837DB8"/>
    <w:rsid w:val="00844428"/>
    <w:rsid w:val="00845732"/>
    <w:rsid w:val="00846CBA"/>
    <w:rsid w:val="00860D0A"/>
    <w:rsid w:val="00861EA4"/>
    <w:rsid w:val="0086234C"/>
    <w:rsid w:val="00862AFA"/>
    <w:rsid w:val="00862D22"/>
    <w:rsid w:val="00863700"/>
    <w:rsid w:val="0086567A"/>
    <w:rsid w:val="00865D16"/>
    <w:rsid w:val="00867C2A"/>
    <w:rsid w:val="00870546"/>
    <w:rsid w:val="00870C53"/>
    <w:rsid w:val="00871558"/>
    <w:rsid w:val="008719B1"/>
    <w:rsid w:val="00871F58"/>
    <w:rsid w:val="00872FCD"/>
    <w:rsid w:val="008731C9"/>
    <w:rsid w:val="00875139"/>
    <w:rsid w:val="0087559E"/>
    <w:rsid w:val="00875D1D"/>
    <w:rsid w:val="00881126"/>
    <w:rsid w:val="00881CF7"/>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438"/>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2D9"/>
    <w:rsid w:val="00911FD9"/>
    <w:rsid w:val="00912CC8"/>
    <w:rsid w:val="00914141"/>
    <w:rsid w:val="00916784"/>
    <w:rsid w:val="00916934"/>
    <w:rsid w:val="00917E2E"/>
    <w:rsid w:val="009228BE"/>
    <w:rsid w:val="009247D4"/>
    <w:rsid w:val="00930456"/>
    <w:rsid w:val="009316B5"/>
    <w:rsid w:val="00931A88"/>
    <w:rsid w:val="0093235A"/>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6E5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B549E"/>
    <w:rsid w:val="009B6361"/>
    <w:rsid w:val="009C0CB9"/>
    <w:rsid w:val="009C2950"/>
    <w:rsid w:val="009C51E1"/>
    <w:rsid w:val="009C536C"/>
    <w:rsid w:val="009C5C15"/>
    <w:rsid w:val="009C6FFB"/>
    <w:rsid w:val="009D35E8"/>
    <w:rsid w:val="009D52EB"/>
    <w:rsid w:val="009D580B"/>
    <w:rsid w:val="009D713C"/>
    <w:rsid w:val="009D7EBE"/>
    <w:rsid w:val="009E01C1"/>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2F57"/>
    <w:rsid w:val="00A43DCF"/>
    <w:rsid w:val="00A44C02"/>
    <w:rsid w:val="00A4537F"/>
    <w:rsid w:val="00A55AF2"/>
    <w:rsid w:val="00A5631D"/>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58EB"/>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14BF"/>
    <w:rsid w:val="00AD2B85"/>
    <w:rsid w:val="00AE18A0"/>
    <w:rsid w:val="00AE376A"/>
    <w:rsid w:val="00AE4415"/>
    <w:rsid w:val="00AE4566"/>
    <w:rsid w:val="00AF0048"/>
    <w:rsid w:val="00AF2B58"/>
    <w:rsid w:val="00AF3ECB"/>
    <w:rsid w:val="00AF4D77"/>
    <w:rsid w:val="00AF60AE"/>
    <w:rsid w:val="00AF6DBB"/>
    <w:rsid w:val="00B050D3"/>
    <w:rsid w:val="00B05ACB"/>
    <w:rsid w:val="00B05B25"/>
    <w:rsid w:val="00B11E41"/>
    <w:rsid w:val="00B13078"/>
    <w:rsid w:val="00B130F2"/>
    <w:rsid w:val="00B136D3"/>
    <w:rsid w:val="00B1538B"/>
    <w:rsid w:val="00B1788D"/>
    <w:rsid w:val="00B206F3"/>
    <w:rsid w:val="00B20B88"/>
    <w:rsid w:val="00B2126A"/>
    <w:rsid w:val="00B240D0"/>
    <w:rsid w:val="00B277E9"/>
    <w:rsid w:val="00B27923"/>
    <w:rsid w:val="00B30F45"/>
    <w:rsid w:val="00B319AF"/>
    <w:rsid w:val="00B31F06"/>
    <w:rsid w:val="00B337D5"/>
    <w:rsid w:val="00B34458"/>
    <w:rsid w:val="00B35629"/>
    <w:rsid w:val="00B37C19"/>
    <w:rsid w:val="00B413A7"/>
    <w:rsid w:val="00B42131"/>
    <w:rsid w:val="00B46E3F"/>
    <w:rsid w:val="00B50A51"/>
    <w:rsid w:val="00B548F0"/>
    <w:rsid w:val="00B55560"/>
    <w:rsid w:val="00B57FE5"/>
    <w:rsid w:val="00B60110"/>
    <w:rsid w:val="00B61206"/>
    <w:rsid w:val="00B618F7"/>
    <w:rsid w:val="00B6395C"/>
    <w:rsid w:val="00B65660"/>
    <w:rsid w:val="00B65E1E"/>
    <w:rsid w:val="00B67FA8"/>
    <w:rsid w:val="00B70882"/>
    <w:rsid w:val="00B73093"/>
    <w:rsid w:val="00B7514D"/>
    <w:rsid w:val="00B75570"/>
    <w:rsid w:val="00B757DF"/>
    <w:rsid w:val="00B76CE0"/>
    <w:rsid w:val="00B77425"/>
    <w:rsid w:val="00B8042F"/>
    <w:rsid w:val="00B80FDD"/>
    <w:rsid w:val="00B81E4C"/>
    <w:rsid w:val="00B81FC7"/>
    <w:rsid w:val="00B8385A"/>
    <w:rsid w:val="00B838DA"/>
    <w:rsid w:val="00B846F3"/>
    <w:rsid w:val="00B92991"/>
    <w:rsid w:val="00B92F4B"/>
    <w:rsid w:val="00B943CC"/>
    <w:rsid w:val="00B9563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6913"/>
    <w:rsid w:val="00BF7A2F"/>
    <w:rsid w:val="00C0043D"/>
    <w:rsid w:val="00C006B0"/>
    <w:rsid w:val="00C0127E"/>
    <w:rsid w:val="00C02E85"/>
    <w:rsid w:val="00C04CEB"/>
    <w:rsid w:val="00C074A2"/>
    <w:rsid w:val="00C12EA5"/>
    <w:rsid w:val="00C142E1"/>
    <w:rsid w:val="00C14F5D"/>
    <w:rsid w:val="00C15416"/>
    <w:rsid w:val="00C22756"/>
    <w:rsid w:val="00C24153"/>
    <w:rsid w:val="00C25111"/>
    <w:rsid w:val="00C253B8"/>
    <w:rsid w:val="00C27A92"/>
    <w:rsid w:val="00C301A2"/>
    <w:rsid w:val="00C3037E"/>
    <w:rsid w:val="00C30491"/>
    <w:rsid w:val="00C30ED0"/>
    <w:rsid w:val="00C31E50"/>
    <w:rsid w:val="00C32327"/>
    <w:rsid w:val="00C32F3C"/>
    <w:rsid w:val="00C34B92"/>
    <w:rsid w:val="00C34C4D"/>
    <w:rsid w:val="00C42A8B"/>
    <w:rsid w:val="00C42B0B"/>
    <w:rsid w:val="00C43A48"/>
    <w:rsid w:val="00C45B5A"/>
    <w:rsid w:val="00C47016"/>
    <w:rsid w:val="00C478DD"/>
    <w:rsid w:val="00C50026"/>
    <w:rsid w:val="00C5026E"/>
    <w:rsid w:val="00C520BF"/>
    <w:rsid w:val="00C53222"/>
    <w:rsid w:val="00C56860"/>
    <w:rsid w:val="00C572CF"/>
    <w:rsid w:val="00C57CA3"/>
    <w:rsid w:val="00C60D58"/>
    <w:rsid w:val="00C6150E"/>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4AE6"/>
    <w:rsid w:val="00CC6B35"/>
    <w:rsid w:val="00CC6DB6"/>
    <w:rsid w:val="00CD04C0"/>
    <w:rsid w:val="00CD1034"/>
    <w:rsid w:val="00CD46C7"/>
    <w:rsid w:val="00CD6B1A"/>
    <w:rsid w:val="00CE0D0F"/>
    <w:rsid w:val="00CE2567"/>
    <w:rsid w:val="00CE6A12"/>
    <w:rsid w:val="00CE7B33"/>
    <w:rsid w:val="00CF19A6"/>
    <w:rsid w:val="00CF23C9"/>
    <w:rsid w:val="00CF27C4"/>
    <w:rsid w:val="00CF2996"/>
    <w:rsid w:val="00CF3ECE"/>
    <w:rsid w:val="00CF41D2"/>
    <w:rsid w:val="00D0035A"/>
    <w:rsid w:val="00D04FCA"/>
    <w:rsid w:val="00D05BE4"/>
    <w:rsid w:val="00D071B9"/>
    <w:rsid w:val="00D121AD"/>
    <w:rsid w:val="00D132ED"/>
    <w:rsid w:val="00D151DE"/>
    <w:rsid w:val="00D15EF0"/>
    <w:rsid w:val="00D1671B"/>
    <w:rsid w:val="00D1738E"/>
    <w:rsid w:val="00D176E5"/>
    <w:rsid w:val="00D20074"/>
    <w:rsid w:val="00D204DC"/>
    <w:rsid w:val="00D21339"/>
    <w:rsid w:val="00D23A0A"/>
    <w:rsid w:val="00D23C94"/>
    <w:rsid w:val="00D24042"/>
    <w:rsid w:val="00D27579"/>
    <w:rsid w:val="00D3301A"/>
    <w:rsid w:val="00D33E05"/>
    <w:rsid w:val="00D34215"/>
    <w:rsid w:val="00D34A16"/>
    <w:rsid w:val="00D36BEA"/>
    <w:rsid w:val="00D4043B"/>
    <w:rsid w:val="00D4183A"/>
    <w:rsid w:val="00D424E3"/>
    <w:rsid w:val="00D42662"/>
    <w:rsid w:val="00D42AF3"/>
    <w:rsid w:val="00D444AE"/>
    <w:rsid w:val="00D45BF1"/>
    <w:rsid w:val="00D4657F"/>
    <w:rsid w:val="00D512B6"/>
    <w:rsid w:val="00D52C2F"/>
    <w:rsid w:val="00D57D4E"/>
    <w:rsid w:val="00D60B40"/>
    <w:rsid w:val="00D61605"/>
    <w:rsid w:val="00D6276B"/>
    <w:rsid w:val="00D63D63"/>
    <w:rsid w:val="00D6612F"/>
    <w:rsid w:val="00D66E80"/>
    <w:rsid w:val="00D674E1"/>
    <w:rsid w:val="00D674F3"/>
    <w:rsid w:val="00D6756B"/>
    <w:rsid w:val="00D67E02"/>
    <w:rsid w:val="00D701BC"/>
    <w:rsid w:val="00D71543"/>
    <w:rsid w:val="00D75F8F"/>
    <w:rsid w:val="00D76632"/>
    <w:rsid w:val="00D7749F"/>
    <w:rsid w:val="00D77AE7"/>
    <w:rsid w:val="00D8000F"/>
    <w:rsid w:val="00D817B8"/>
    <w:rsid w:val="00D81F96"/>
    <w:rsid w:val="00D821C8"/>
    <w:rsid w:val="00D83973"/>
    <w:rsid w:val="00D858B7"/>
    <w:rsid w:val="00D87B3C"/>
    <w:rsid w:val="00D930F3"/>
    <w:rsid w:val="00D9321A"/>
    <w:rsid w:val="00D97826"/>
    <w:rsid w:val="00DA03F1"/>
    <w:rsid w:val="00DA1520"/>
    <w:rsid w:val="00DA326D"/>
    <w:rsid w:val="00DA46BB"/>
    <w:rsid w:val="00DA613F"/>
    <w:rsid w:val="00DB1476"/>
    <w:rsid w:val="00DB18A0"/>
    <w:rsid w:val="00DB3DD2"/>
    <w:rsid w:val="00DB5A35"/>
    <w:rsid w:val="00DB67BF"/>
    <w:rsid w:val="00DC0885"/>
    <w:rsid w:val="00DC0BAC"/>
    <w:rsid w:val="00DC0DC5"/>
    <w:rsid w:val="00DC1416"/>
    <w:rsid w:val="00DC3360"/>
    <w:rsid w:val="00DC3C51"/>
    <w:rsid w:val="00DC44AE"/>
    <w:rsid w:val="00DC45E9"/>
    <w:rsid w:val="00DC5A49"/>
    <w:rsid w:val="00DC5FBC"/>
    <w:rsid w:val="00DC6D38"/>
    <w:rsid w:val="00DC755B"/>
    <w:rsid w:val="00DD1B9D"/>
    <w:rsid w:val="00DD6E41"/>
    <w:rsid w:val="00DD74FF"/>
    <w:rsid w:val="00DE086D"/>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A2D"/>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598B"/>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39B1"/>
    <w:rsid w:val="00EC5F39"/>
    <w:rsid w:val="00ED2EEE"/>
    <w:rsid w:val="00ED533B"/>
    <w:rsid w:val="00ED5892"/>
    <w:rsid w:val="00EE0AC3"/>
    <w:rsid w:val="00EE17A9"/>
    <w:rsid w:val="00EE17D7"/>
    <w:rsid w:val="00EE33CE"/>
    <w:rsid w:val="00EE42C5"/>
    <w:rsid w:val="00EE4801"/>
    <w:rsid w:val="00EE49E6"/>
    <w:rsid w:val="00EE555F"/>
    <w:rsid w:val="00EE6715"/>
    <w:rsid w:val="00EE6EEE"/>
    <w:rsid w:val="00EF0BCA"/>
    <w:rsid w:val="00EF1BF6"/>
    <w:rsid w:val="00EF3839"/>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2F02"/>
    <w:rsid w:val="00F54C48"/>
    <w:rsid w:val="00F56AA6"/>
    <w:rsid w:val="00F611E0"/>
    <w:rsid w:val="00F619BC"/>
    <w:rsid w:val="00F65070"/>
    <w:rsid w:val="00F65C90"/>
    <w:rsid w:val="00F667D6"/>
    <w:rsid w:val="00F678D1"/>
    <w:rsid w:val="00F71811"/>
    <w:rsid w:val="00F72F70"/>
    <w:rsid w:val="00F747A8"/>
    <w:rsid w:val="00F75C0D"/>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5A1F"/>
    <w:rsid w:val="00FD6C8C"/>
    <w:rsid w:val="00FE1AEC"/>
    <w:rsid w:val="00FE3C99"/>
    <w:rsid w:val="00FE73F2"/>
    <w:rsid w:val="00FF02C3"/>
    <w:rsid w:val="00FF2FCD"/>
    <w:rsid w:val="00FF3883"/>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0" w:unhideWhenUsed="0" w:qFormat="1"/>
    <w:lsdException w:name="Emphasis" w:semiHidden="0" w:uiPriority="20" w:unhideWhenUsed="0" w:qFormat="1"/>
    <w:lsdException w:name="Table Grid" w:semiHidden="0" w:uiPriority="0" w:unhideWhenUsed="0"/>
    <w:lsdException w:name="No Spacing" w:semiHidden="0" w:unhideWhenUsed="0" w:qFormat="1"/>
    <w:lsdException w:name="Light Shading" w:semiHidden="0" w:unhideWhenUsed="0"/>
    <w:lsdException w:name="Light List" w:semiHidden="0" w:uiPriority="61"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qFormat="1"/>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qFormat="1"/>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qFormat="1"/>
    <w:lsdException w:name="Colorful Grid Accent 1" w:semiHidden="0" w:unhideWhenUsed="0" w:qFormat="1"/>
    <w:lsdException w:name="Light Shading Accent 2" w:semiHidden="0" w:unhideWhenUsed="0" w:qFormat="1"/>
    <w:lsdException w:name="Light List Accent 2" w:semiHidden="0" w:unhideWhenUsed="0"/>
    <w:lsdException w:name="Light Grid Accent 2" w:semiHidden="0" w:unhideWhenUsed="0"/>
    <w:lsdException w:name="Medium Shading 1 Accent 2" w:semiHidden="0" w:uiPriority="1" w:unhideWhenUsed="0" w:qFormat="1"/>
    <w:lsdException w:name="Medium Shading 2 Accent 2" w:semiHidden="0" w:uiPriority="60" w:unhideWhenUsed="0"/>
    <w:lsdException w:name="Medium List 1 Accent 2" w:semiHidden="0" w:uiPriority="61" w:unhideWhenUsed="0"/>
    <w:lsdException w:name="Medium List 2 Accent 2" w:semiHidden="0" w:uiPriority="62" w:unhideWhenUsed="0"/>
    <w:lsdException w:name="Medium Grid 1 Accent 2" w:semiHidden="0" w:uiPriority="63" w:unhideWhenUsed="0" w:qFormat="1"/>
    <w:lsdException w:name="Medium Grid 2 Accent 2" w:semiHidden="0" w:uiPriority="64" w:unhideWhenUsed="0" w:qFormat="1"/>
    <w:lsdException w:name="Medium Grid 3 Accent 2" w:semiHidden="0" w:uiPriority="65"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qFormat="1"/>
    <w:lsdException w:name="Medium Shading 1 Accent 3" w:semiHidden="0" w:uiPriority="73" w:unhideWhenUsed="0" w:qFormat="1"/>
    <w:lsdException w:name="Medium Shading 2 Accent 3" w:semiHidden="0" w:uiPriority="60" w:unhideWhenUsed="0" w:qFormat="1"/>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nhideWhenUsed="0"/>
    <w:lsdException w:name="Colorful Shading Accent 3" w:semiHidden="0" w:uiPriority="34" w:unhideWhenUsed="0" w:qFormat="1"/>
    <w:lsdException w:name="Colorful List Accent 3" w:semiHidden="0" w:uiPriority="29" w:unhideWhenUsed="0" w:qFormat="1"/>
    <w:lsdException w:name="Colorful Grid Accent 3" w:semiHidden="0" w:uiPriority="30" w:unhideWhenUsed="0" w:qFormat="1"/>
    <w:lsdException w:name="Light Shading Accent 4" w:semiHidden="0" w:uiPriority="66" w:unhideWhenUsed="0"/>
    <w:lsdException w:name="Light List Accent 4" w:semiHidden="0" w:uiPriority="67" w:unhideWhenUsed="0"/>
    <w:lsdException w:name="Light Grid Accent 4" w:semiHidden="0" w:uiPriority="68" w:unhideWhenUsed="0"/>
    <w:lsdException w:name="Medium Shading 1 Accent 4" w:semiHidden="0" w:uiPriority="69" w:unhideWhenUsed="0"/>
    <w:lsdException w:name="Medium Shading 2 Accent 4" w:semiHidden="0" w:uiPriority="70" w:unhideWhenUsed="0"/>
    <w:lsdException w:name="Medium List 1 Accent 4" w:semiHidden="0" w:uiPriority="71" w:unhideWhenUsed="0"/>
    <w:lsdException w:name="Medium List 2 Accent 4" w:semiHidden="0" w:uiPriority="72" w:unhideWhenUsed="0"/>
    <w:lsdException w:name="Medium Grid 1 Accent 4" w:semiHidden="0" w:uiPriority="73" w:unhideWhenUsed="0"/>
    <w:lsdException w:name="Medium Grid 2 Accent 4" w:semiHidden="0" w:uiPriority="60" w:unhideWhenUsed="0"/>
    <w:lsdException w:name="Medium Grid 3 Accent 4" w:semiHidden="0" w:uiPriority="61" w:unhideWhenUsed="0"/>
    <w:lsdException w:name="Dark List Accent 4" w:semiHidden="0" w:uiPriority="62" w:unhideWhenUsed="0"/>
    <w:lsdException w:name="Colorful Shading Accent 4" w:semiHidden="0" w:uiPriority="63" w:unhideWhenUsed="0"/>
    <w:lsdException w:name="Colorful List Accent 4" w:semiHidden="0" w:uiPriority="64" w:unhideWhenUsed="0"/>
    <w:lsdException w:name="Colorful Grid Accent 4" w:semiHidden="0" w:uiPriority="65" w:unhideWhenUsed="0"/>
    <w:lsdException w:name="Light Shading Accent 5" w:semiHidden="0" w:uiPriority="66" w:unhideWhenUsed="0"/>
    <w:lsdException w:name="Light List Accent 5" w:semiHidden="0" w:uiPriority="67" w:unhideWhenUsed="0"/>
    <w:lsdException w:name="Light Grid Accent 5" w:semiHidden="0" w:uiPriority="68" w:unhideWhenUsed="0"/>
    <w:lsdException w:name="Medium Shading 1 Accent 5" w:semiHidden="0" w:uiPriority="69" w:unhideWhenUsed="0"/>
    <w:lsdException w:name="Medium Shading 2 Accent 5" w:semiHidden="0" w:uiPriority="70" w:unhideWhenUsed="0"/>
    <w:lsdException w:name="Medium List 1 Accent 5" w:semiHidden="0" w:uiPriority="71" w:unhideWhenUsed="0"/>
    <w:lsdException w:name="Medium List 2 Accent 5" w:semiHidden="0" w:uiPriority="72" w:unhideWhenUsed="0"/>
    <w:lsdException w:name="Medium Grid 1 Accent 5" w:semiHidden="0" w:uiPriority="73" w:unhideWhenUsed="0"/>
    <w:lsdException w:name="Medium Grid 2 Accent 5" w:semiHidden="0" w:uiPriority="60" w:unhideWhenUsed="0"/>
    <w:lsdException w:name="Medium Grid 3 Accent 5" w:semiHidden="0" w:uiPriority="61" w:unhideWhenUsed="0"/>
    <w:lsdException w:name="Dark List Accent 5" w:semiHidden="0" w:uiPriority="62" w:unhideWhenUsed="0"/>
    <w:lsdException w:name="Colorful Shading Accent 5" w:semiHidden="0" w:uiPriority="63" w:unhideWhenUsed="0"/>
    <w:lsdException w:name="Colorful List Accent 5" w:semiHidden="0" w:uiPriority="64" w:unhideWhenUsed="0"/>
    <w:lsdException w:name="Colorful Grid Accent 5" w:semiHidden="0" w:uiPriority="65" w:unhideWhenUsed="0"/>
    <w:lsdException w:name="Light Shading Accent 6" w:semiHidden="0" w:uiPriority="66" w:unhideWhenUsed="0"/>
    <w:lsdException w:name="Light List Accent 6" w:semiHidden="0" w:uiPriority="67" w:unhideWhenUsed="0"/>
    <w:lsdException w:name="Light Grid Accent 6" w:semiHidden="0" w:uiPriority="68" w:unhideWhenUsed="0"/>
    <w:lsdException w:name="Medium Shading 1 Accent 6" w:semiHidden="0" w:uiPriority="69" w:unhideWhenUsed="0"/>
    <w:lsdException w:name="Medium Shading 2 Accent 6" w:semiHidden="0" w:uiPriority="70" w:unhideWhenUsed="0"/>
    <w:lsdException w:name="Medium List 1 Accent 6" w:semiHidden="0" w:uiPriority="71" w:unhideWhenUsed="0"/>
    <w:lsdException w:name="Medium List 2 Accent 6" w:semiHidden="0" w:uiPriority="72" w:unhideWhenUsed="0"/>
    <w:lsdException w:name="Medium Grid 1 Accent 6" w:semiHidden="0" w:uiPriority="73" w:unhideWhenUsed="0"/>
    <w:lsdException w:name="Medium Grid 2 Accent 6" w:semiHidden="0" w:uiPriority="60" w:unhideWhenUsed="0"/>
    <w:lsdException w:name="Medium Grid 3 Accent 6" w:semiHidden="0" w:uiPriority="61" w:unhideWhenUsed="0"/>
    <w:lsdException w:name="Dark List Accent 6" w:semiHidden="0" w:uiPriority="62" w:unhideWhenUsed="0"/>
    <w:lsdException w:name="Colorful Shading Accent 6" w:semiHidden="0" w:uiPriority="63" w:unhideWhenUsed="0"/>
    <w:lsdException w:name="Colorful List Accent 6" w:semiHidden="0" w:uiPriority="64" w:unhideWhenUsed="0"/>
    <w:lsdException w:name="Colorful Grid Accent 6" w:semiHidden="0" w:uiPriority="65" w:unhideWhenUsed="0"/>
    <w:lsdException w:name="Subtle Emphasis" w:semiHidden="0" w:uiPriority="66" w:unhideWhenUsed="0" w:qFormat="1"/>
    <w:lsdException w:name="Intense Emphasis" w:semiHidden="0" w:uiPriority="67" w:unhideWhenUsed="0" w:qFormat="1"/>
    <w:lsdException w:name="Subtle Reference" w:semiHidden="0" w:uiPriority="68" w:unhideWhenUsed="0" w:qFormat="1"/>
    <w:lsdException w:name="Intense Reference" w:semiHidden="0" w:uiPriority="69" w:unhideWhenUsed="0" w:qFormat="1"/>
    <w:lsdException w:name="Book Title" w:semiHidden="0" w:uiPriority="70" w:unhideWhenUsed="0" w:qFormat="1"/>
    <w:lsdException w:name="Bibliography" w:semiHidden="0" w:uiPriority="71" w:unhideWhenUsed="0"/>
    <w:lsdException w:name="TOC Heading" w:uiPriority="72" w:qFormat="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371D7D"/>
    <w:rPr>
      <w:rFonts w:ascii="Arial" w:hAnsi="Arial"/>
      <w:b/>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b/>
      <w:sz w:val="24"/>
      <w:szCs w:val="24"/>
      <w:lang w:val="en-GB" w:eastAsia="en-US"/>
    </w:rPr>
  </w:style>
  <w:style w:type="character" w:customStyle="1" w:styleId="3Char">
    <w:name w:val="标题 3 Char"/>
    <w:link w:val="3"/>
    <w:rsid w:val="001C1D01"/>
    <w:rPr>
      <w:rFonts w:ascii="Arial" w:hAnsi="Arial"/>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F4D21"/>
    <w:rPr>
      <w:rFonts w:ascii="Arial" w:hAnsi="Arial"/>
      <w:sz w:val="24"/>
      <w:lang w:val="en-GB" w:eastAsia="en-US"/>
    </w:rPr>
  </w:style>
  <w:style w:type="character" w:customStyle="1" w:styleId="5Char">
    <w:name w:val="标题 5 Char"/>
    <w:aliases w:val="h5 Char,Heading5 Char"/>
    <w:link w:val="5"/>
    <w:rsid w:val="004F4D21"/>
    <w:rPr>
      <w:rFonts w:ascii="Arial" w:hAnsi="Arial"/>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hAnsi="Arial"/>
      <w:sz w:val="36"/>
      <w:lang w:val="en-GB" w:eastAsia="en-US"/>
    </w:rPr>
  </w:style>
  <w:style w:type="character" w:customStyle="1" w:styleId="9Char">
    <w:name w:val="标题 9 Char"/>
    <w:link w:val="9"/>
    <w:rsid w:val="004F4D21"/>
    <w:rPr>
      <w:rFonts w:ascii="Arial" w:hAnsi="Arial"/>
      <w:sz w:val="36"/>
      <w:lang w:val="en-GB" w:eastAsia="en-US"/>
    </w:rPr>
  </w:style>
  <w:style w:type="paragraph" w:customStyle="1" w:styleId="References">
    <w:name w:val="References"/>
    <w:basedOn w:val="a0"/>
    <w:rsid w:val="007E47C9"/>
    <w:pPr>
      <w:numPr>
        <w:numId w:val="2"/>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rsid w:val="00EF0B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qFormat/>
    <w:rsid w:val="006F4D66"/>
    <w:rPr>
      <w:rFonts w:ascii="Arial" w:eastAsia="Times New Roman" w:hAnsi="Arial"/>
      <w:sz w:val="18"/>
    </w:rPr>
  </w:style>
  <w:style w:type="character" w:customStyle="1" w:styleId="TAHCar">
    <w:name w:val="TAH Car"/>
    <w:link w:val="TAH"/>
    <w:qFormat/>
    <w:rsid w:val="006F4D66"/>
    <w:rPr>
      <w:rFonts w:ascii="Arial" w:eastAsia="Times New Roman" w:hAnsi="Arial"/>
      <w:b/>
      <w:sz w:val="18"/>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qFormat/>
    <w:rsid w:val="006F4D66"/>
    <w:rPr>
      <w:rFonts w:ascii="Arial" w:eastAsia="Times New Roman" w:hAnsi="Arial"/>
      <w:sz w:val="18"/>
    </w:rPr>
  </w:style>
  <w:style w:type="paragraph" w:customStyle="1" w:styleId="TH">
    <w:name w:val="TH"/>
    <w:basedOn w:val="a0"/>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customStyle="1" w:styleId="10">
    <w:name w:val="浅色列表1"/>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CCE8C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qFormat/>
    <w:rsid w:val="001B6B30"/>
    <w:rPr>
      <w:rFonts w:ascii="Arial" w:hAnsi="Arial"/>
      <w:sz w:val="18"/>
      <w:lang w:val="en-GB" w:eastAsia="en-US"/>
    </w:rPr>
  </w:style>
  <w:style w:type="paragraph" w:customStyle="1" w:styleId="EQ">
    <w:name w:val="EQ"/>
    <w:basedOn w:val="a0"/>
    <w:next w:val="a0"/>
    <w:link w:val="EQChar"/>
    <w:qFormat/>
    <w:rsid w:val="0093235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EQChar">
    <w:name w:val="EQ Char"/>
    <w:link w:val="EQ"/>
    <w:qFormat/>
    <w:rsid w:val="0093235A"/>
    <w:rPr>
      <w:rFonts w:ascii="Times New Roman" w:eastAsia="Times New Roman" w:hAnsi="Times New Roman"/>
      <w:noProof/>
      <w:lang w:val="en-GB" w:eastAsia="ko-KR"/>
    </w:rPr>
  </w:style>
  <w:style w:type="paragraph" w:styleId="af1">
    <w:name w:val="Document Map"/>
    <w:basedOn w:val="a0"/>
    <w:link w:val="Char5"/>
    <w:uiPriority w:val="99"/>
    <w:semiHidden/>
    <w:unhideWhenUsed/>
    <w:rsid w:val="00D57D4E"/>
    <w:rPr>
      <w:rFonts w:ascii="宋体"/>
      <w:sz w:val="18"/>
      <w:szCs w:val="18"/>
    </w:rPr>
  </w:style>
  <w:style w:type="character" w:customStyle="1" w:styleId="Char5">
    <w:name w:val="文档结构图 Char"/>
    <w:basedOn w:val="a1"/>
    <w:link w:val="af1"/>
    <w:uiPriority w:val="99"/>
    <w:semiHidden/>
    <w:rsid w:val="00D57D4E"/>
    <w:rPr>
      <w:rFonts w:ascii="宋体" w:hAnsi="Arial" w:cs="Arial"/>
      <w:sz w:val="18"/>
      <w:szCs w:val="18"/>
      <w:lang w:val="en-US" w:eastAsia="zh-CN"/>
    </w:rPr>
  </w:style>
  <w:style w:type="paragraph" w:customStyle="1" w:styleId="B10">
    <w:name w:val="B1"/>
    <w:basedOn w:val="af2"/>
    <w:link w:val="B1Char"/>
    <w:qFormat/>
    <w:rsid w:val="00D21339"/>
    <w:pPr>
      <w:spacing w:after="180" w:line="240" w:lineRule="auto"/>
      <w:ind w:left="568" w:firstLineChars="0" w:hanging="284"/>
      <w:contextualSpacing w:val="0"/>
    </w:pPr>
    <w:rPr>
      <w:rFonts w:ascii="Times New Roman" w:hAnsi="Times New Roman" w:cs="Times New Roman"/>
      <w:sz w:val="20"/>
      <w:szCs w:val="20"/>
      <w:lang w:val="en-GB" w:eastAsia="en-US"/>
    </w:rPr>
  </w:style>
  <w:style w:type="character" w:customStyle="1" w:styleId="B1Char">
    <w:name w:val="B1 Char"/>
    <w:link w:val="B10"/>
    <w:locked/>
    <w:rsid w:val="00D21339"/>
    <w:rPr>
      <w:rFonts w:ascii="Times New Roman" w:hAnsi="Times New Roman"/>
      <w:lang w:val="en-GB" w:eastAsia="en-US"/>
    </w:rPr>
  </w:style>
  <w:style w:type="paragraph" w:customStyle="1" w:styleId="B3">
    <w:name w:val="B3+"/>
    <w:basedOn w:val="a0"/>
    <w:rsid w:val="00D21339"/>
    <w:pPr>
      <w:numPr>
        <w:numId w:val="4"/>
      </w:numPr>
      <w:tabs>
        <w:tab w:val="left" w:pos="1134"/>
      </w:tabs>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US"/>
    </w:rPr>
  </w:style>
  <w:style w:type="paragraph" w:styleId="af2">
    <w:name w:val="List"/>
    <w:basedOn w:val="a0"/>
    <w:uiPriority w:val="99"/>
    <w:semiHidden/>
    <w:unhideWhenUsed/>
    <w:rsid w:val="00D21339"/>
    <w:pPr>
      <w:ind w:left="200" w:hangingChars="200" w:hanging="200"/>
      <w:contextualSpacing/>
    </w:pPr>
  </w:style>
  <w:style w:type="paragraph" w:customStyle="1" w:styleId="B1">
    <w:name w:val="B1+"/>
    <w:basedOn w:val="B10"/>
    <w:rsid w:val="003C545A"/>
    <w:pPr>
      <w:numPr>
        <w:numId w:val="6"/>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FA979-D2EB-49D6-A05E-0986EB35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4629</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5431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2020-05-03T08:22:00Z</dcterms:created>
  <dcterms:modified xsi:type="dcterms:W3CDTF">2020-05-03T17:52:00Z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1565938166</vt:lpwstr>
  </property>
</Properties>
</file>