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proofErr w:type="spellStart"/>
      <w:r w:rsidR="002855E4">
        <w:t>Inband</w:t>
      </w:r>
      <w:proofErr w:type="spellEnd"/>
      <w:r w:rsidR="002855E4">
        <w:t xml:space="preserve"> blocking</w:t>
      </w:r>
      <w:r w:rsidR="00185F6B" w:rsidRPr="001866A5">
        <w:t xml:space="preserve"> for</w:t>
      </w:r>
      <w:r w:rsidR="00B136D3" w:rsidRPr="00842A89">
        <w:t xml:space="preserve"> </w:t>
      </w:r>
      <w:r w:rsidR="00953A2A">
        <w:t>intra-band non-contiguous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proofErr w:type="spellStart"/>
      <w:r w:rsidR="002855E4">
        <w:t>Inband</w:t>
      </w:r>
      <w:proofErr w:type="spellEnd"/>
      <w:r w:rsidR="002855E4">
        <w:t xml:space="preserve"> blocking</w:t>
      </w:r>
      <w:r w:rsidR="00881CF7" w:rsidRPr="001866A5">
        <w:t xml:space="preserve"> </w:t>
      </w:r>
      <w:r w:rsidR="002F788D" w:rsidRPr="001866A5">
        <w:t>for</w:t>
      </w:r>
      <w:r w:rsidR="002F788D" w:rsidRPr="00842A89">
        <w:t xml:space="preserve"> </w:t>
      </w:r>
      <w:r w:rsidR="00953A2A">
        <w:t>intra-band non-contiguous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proofErr w:type="spellStart"/>
      <w:r w:rsidR="002855E4">
        <w:t>Inband</w:t>
      </w:r>
      <w:proofErr w:type="spellEnd"/>
      <w:r w:rsidR="002855E4">
        <w:t xml:space="preserve"> blocking</w:t>
      </w:r>
      <w:r w:rsidR="00881CF7" w:rsidRPr="001866A5">
        <w:t xml:space="preserve"> </w:t>
      </w:r>
      <w:r w:rsidR="002F788D" w:rsidRPr="001866A5">
        <w:t>for</w:t>
      </w:r>
      <w:r w:rsidR="002F788D" w:rsidRPr="00842A89">
        <w:t xml:space="preserve"> </w:t>
      </w:r>
      <w:r w:rsidR="00953A2A">
        <w:t>intra-band non-contiguous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w:t>
      </w:r>
      <w:r w:rsidR="004D78C7">
        <w:rPr>
          <w:rFonts w:hint="eastAsia"/>
        </w:rPr>
        <w:t>2</w:t>
      </w:r>
      <w:r w:rsidR="00881CF7">
        <w:rPr>
          <w:rFonts w:hint="eastAsia"/>
        </w:rPr>
        <w:t>.</w:t>
      </w:r>
      <w:r w:rsidR="004D78C7">
        <w:rPr>
          <w:rFonts w:hint="eastAsia"/>
        </w:rPr>
        <w:t>2</w:t>
      </w:r>
      <w:r>
        <w:rPr>
          <w:lang w:eastAsia="en-US"/>
        </w:rPr>
        <w:t xml:space="preserve"> of TS 38.101-</w:t>
      </w:r>
      <w:r w:rsidR="002F788D">
        <w:rPr>
          <w:rFonts w:hint="eastAsia"/>
        </w:rPr>
        <w:t>3</w:t>
      </w:r>
      <w:r>
        <w:rPr>
          <w:lang w:eastAsia="en-US"/>
        </w:rPr>
        <w:t>.</w:t>
      </w:r>
    </w:p>
    <w:p w:rsidR="004D78C7" w:rsidRPr="004D78C7" w:rsidRDefault="004D78C7" w:rsidP="004D78C7">
      <w:pPr>
        <w:pStyle w:val="4"/>
        <w:rPr>
          <w:highlight w:val="lightGray"/>
        </w:rPr>
      </w:pPr>
      <w:bookmarkStart w:id="3" w:name="_Toc21345664"/>
      <w:bookmarkStart w:id="4" w:name="_Toc29806513"/>
      <w:bookmarkStart w:id="5" w:name="_Toc37256046"/>
      <w:bookmarkStart w:id="6" w:name="_Toc37256387"/>
      <w:r w:rsidRPr="004D78C7">
        <w:rPr>
          <w:highlight w:val="lightGray"/>
        </w:rPr>
        <w:t>7.6B.2.2</w:t>
      </w:r>
      <w:r w:rsidRPr="004D78C7">
        <w:rPr>
          <w:highlight w:val="lightGray"/>
        </w:rPr>
        <w:tab/>
        <w:t>Intra-band non-contiguous EN-DC in FR1</w:t>
      </w:r>
      <w:bookmarkEnd w:id="3"/>
      <w:bookmarkEnd w:id="4"/>
      <w:bookmarkEnd w:id="5"/>
      <w:bookmarkEnd w:id="6"/>
    </w:p>
    <w:p w:rsidR="004D78C7" w:rsidRPr="004D78C7" w:rsidRDefault="004D78C7" w:rsidP="004D78C7">
      <w:pPr>
        <w:rPr>
          <w:rFonts w:eastAsia="Times New Roman"/>
          <w:highlight w:val="lightGray"/>
        </w:rPr>
      </w:pPr>
      <w:r w:rsidRPr="004D78C7">
        <w:rPr>
          <w:rFonts w:eastAsia="Times New Roman"/>
          <w:highlight w:val="lightGray"/>
        </w:rPr>
        <w:t>For the E-TRA sub-block containing one or multiple CC</w:t>
      </w:r>
      <w:r w:rsidRPr="004D78C7">
        <w:rPr>
          <w:highlight w:val="lightGray"/>
        </w:rPr>
        <w:t>'</w:t>
      </w:r>
      <w:r w:rsidRPr="004D78C7">
        <w:rPr>
          <w:rFonts w:eastAsia="Times New Roman"/>
          <w:highlight w:val="lightGray"/>
        </w:rPr>
        <w:t xml:space="preserve">s, the requirement is </w:t>
      </w:r>
      <w:proofErr w:type="spellStart"/>
      <w:r w:rsidRPr="004D78C7">
        <w:rPr>
          <w:rFonts w:eastAsia="Times New Roman"/>
          <w:highlight w:val="lightGray"/>
        </w:rPr>
        <w:t>deined</w:t>
      </w:r>
      <w:proofErr w:type="spellEnd"/>
      <w:r w:rsidRPr="004D78C7">
        <w:rPr>
          <w:rFonts w:eastAsia="Times New Roman"/>
          <w:highlight w:val="lightGray"/>
        </w:rPr>
        <w:t xml:space="preserve"> in clause 7.6.1.1 for single carrier operation and in clause 7.6.1.1A for CA in TS 36.101 [4]. </w:t>
      </w:r>
    </w:p>
    <w:p w:rsidR="004D78C7" w:rsidRPr="004D78C7" w:rsidRDefault="004D78C7" w:rsidP="004D78C7">
      <w:pPr>
        <w:rPr>
          <w:rFonts w:eastAsia="Times New Roman"/>
          <w:highlight w:val="lightGray"/>
        </w:rPr>
      </w:pPr>
      <w:r w:rsidRPr="004D78C7">
        <w:rPr>
          <w:rFonts w:eastAsia="Times New Roman"/>
          <w:highlight w:val="lightGray"/>
        </w:rPr>
        <w:t>For the NR sub-block, the requirement is defined in clause 7.6.2 in TS 38.101-1 [2].</w:t>
      </w:r>
    </w:p>
    <w:p w:rsidR="004D78C7" w:rsidRPr="00DF6DD6" w:rsidRDefault="004D78C7" w:rsidP="004D78C7">
      <w:pPr>
        <w:rPr>
          <w:rFonts w:eastAsia="Times New Roman"/>
        </w:rPr>
      </w:pPr>
      <w:r w:rsidRPr="004D78C7">
        <w:rPr>
          <w:rFonts w:eastAsia="Times New Roman"/>
          <w:highlight w:val="lightGray"/>
        </w:rPr>
        <w:t>The blocker configuration is defined in the general clause 7.1.</w:t>
      </w:r>
    </w:p>
    <w:p w:rsidR="00DC27A6" w:rsidRPr="00DC27A6" w:rsidRDefault="00DC27A6" w:rsidP="00DC27A6">
      <w:r w:rsidRPr="00DC27A6">
        <w:rPr>
          <w:b/>
          <w:lang w:eastAsia="en-US"/>
        </w:rPr>
        <w:t>Observation 1:</w:t>
      </w:r>
      <w:r w:rsidRPr="00DC27A6">
        <w:t xml:space="preserve"> </w:t>
      </w:r>
      <w:r w:rsidR="00EA267A">
        <w:t>According to 7.</w:t>
      </w:r>
      <w:r w:rsidR="00EA267A">
        <w:rPr>
          <w:rFonts w:hint="eastAsia"/>
        </w:rPr>
        <w:t>6</w:t>
      </w:r>
      <w:r w:rsidRPr="00DC27A6">
        <w:t>B.</w:t>
      </w:r>
      <w:r w:rsidR="004D78C7">
        <w:rPr>
          <w:rFonts w:hint="eastAsia"/>
        </w:rPr>
        <w:t>2</w:t>
      </w:r>
      <w:r w:rsidR="00EA267A">
        <w:rPr>
          <w:rFonts w:hint="eastAsia"/>
        </w:rPr>
        <w:t>.</w:t>
      </w:r>
      <w:r w:rsidRPr="00DC27A6">
        <w:t>2 in TS 38.101-3, there is no extra requirement compared with the SA NR FR1 requirements defined in TS 38.101-1 Clause 7.</w:t>
      </w:r>
      <w:r w:rsidR="00EA267A">
        <w:rPr>
          <w:rFonts w:hint="eastAsia"/>
        </w:rPr>
        <w:t>6.</w:t>
      </w:r>
      <w:r w:rsidR="004D78C7">
        <w:rPr>
          <w:rFonts w:hint="eastAsia"/>
        </w:rPr>
        <w:t>2</w:t>
      </w:r>
      <w:r w:rsidRPr="00DC27A6">
        <w:t xml:space="preserve"> and E-UTRA requirements defined in TS 36.101 Clauses 7.</w:t>
      </w:r>
      <w:r w:rsidR="00EA267A">
        <w:rPr>
          <w:rFonts w:hint="eastAsia"/>
        </w:rPr>
        <w:t>6</w:t>
      </w:r>
      <w:r w:rsidRPr="00DC27A6">
        <w:t>.</w:t>
      </w:r>
      <w:r w:rsidR="004D78C7">
        <w:rPr>
          <w:rFonts w:hint="eastAsia"/>
        </w:rPr>
        <w:t>1</w:t>
      </w:r>
      <w:r w:rsidR="00DA673B">
        <w:rPr>
          <w:rFonts w:hint="eastAsia"/>
        </w:rPr>
        <w:t>.1</w:t>
      </w:r>
      <w:r w:rsidRPr="00DC27A6">
        <w:t xml:space="preserve"> and </w:t>
      </w:r>
      <w:r w:rsidR="00DA673B" w:rsidRPr="00DA673B">
        <w:t>7.6.</w:t>
      </w:r>
      <w:r w:rsidR="004D78C7">
        <w:rPr>
          <w:rFonts w:hint="eastAsia"/>
        </w:rPr>
        <w:t>1</w:t>
      </w:r>
      <w:r w:rsidR="00DA673B" w:rsidRPr="00DA673B">
        <w:t>.1A</w:t>
      </w:r>
      <w:r w:rsidR="00DA673B">
        <w:rPr>
          <w:rFonts w:hint="eastAsia"/>
        </w:rPr>
        <w:t>.</w:t>
      </w:r>
    </w:p>
    <w:p w:rsidR="00DC27A6" w:rsidRPr="00DC27A6" w:rsidRDefault="00DC27A6" w:rsidP="00AB79E0">
      <w:r w:rsidRPr="00DC27A6">
        <w:rPr>
          <w:b/>
          <w:lang w:eastAsia="en-US"/>
        </w:rPr>
        <w:t>Proposal 1:</w:t>
      </w:r>
      <w:r w:rsidRPr="00DC27A6">
        <w:t xml:space="preserve"> LTE agnostic approach is applied for </w:t>
      </w:r>
      <w:proofErr w:type="spellStart"/>
      <w:r w:rsidR="002855E4">
        <w:rPr>
          <w:lang w:eastAsia="en-US"/>
        </w:rPr>
        <w:t>Inband</w:t>
      </w:r>
      <w:proofErr w:type="spellEnd"/>
      <w:r w:rsidR="002855E4">
        <w:rPr>
          <w:lang w:eastAsia="en-US"/>
        </w:rPr>
        <w:t xml:space="preserve"> blocking</w:t>
      </w:r>
      <w:r w:rsidRPr="00DC27A6">
        <w:t xml:space="preserve"> test for Intra-band non-contiguous EN-DC</w:t>
      </w:r>
      <w:r w:rsidR="00DA673B">
        <w:rPr>
          <w:rFonts w:hint="eastAsia"/>
        </w:rPr>
        <w:t xml:space="preserve"> in FR1</w:t>
      </w:r>
      <w:r w:rsidRPr="00DC27A6">
        <w:t>, ensuring LTE agnostic resources do not interfere NR CG 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proofErr w:type="spellStart"/>
      <w:r w:rsidR="002855E4">
        <w:rPr>
          <w:lang w:eastAsia="en-US"/>
        </w:rPr>
        <w:t>Inband</w:t>
      </w:r>
      <w:proofErr w:type="spellEnd"/>
      <w:r w:rsidR="002855E4">
        <w:rPr>
          <w:lang w:eastAsia="en-US"/>
        </w:rPr>
        <w:t xml:space="preserve"> blocking</w:t>
      </w:r>
      <w:r w:rsidR="00AB79E0" w:rsidRPr="00DC27A6">
        <w:t xml:space="preserve"> test</w:t>
      </w:r>
      <w:r w:rsidRPr="00DC27A6">
        <w:t xml:space="preserve"> </w:t>
      </w:r>
      <w:r w:rsidR="00917C74">
        <w:t xml:space="preserve">with the exception in proposal </w:t>
      </w:r>
      <w:r w:rsidR="00917C74">
        <w:rPr>
          <w:rFonts w:hint="eastAsia"/>
        </w:rPr>
        <w:t>2</w:t>
      </w:r>
      <w:r w:rsidRPr="00DC27A6">
        <w:t>.</w:t>
      </w:r>
    </w:p>
    <w:p w:rsidR="00AB79E0" w:rsidRPr="00256803" w:rsidRDefault="00AB79E0" w:rsidP="00AB79E0">
      <w:pPr>
        <w:tabs>
          <w:tab w:val="left" w:pos="7879"/>
        </w:tabs>
        <w:rPr>
          <w:b/>
          <w:u w:val="single"/>
        </w:rPr>
      </w:pPr>
      <w:r w:rsidRPr="00256803">
        <w:rPr>
          <w:b/>
          <w:u w:val="single"/>
        </w:rPr>
        <w:t>Test frequency</w:t>
      </w:r>
      <w:r>
        <w:rPr>
          <w:b/>
          <w:u w:val="single"/>
        </w:rPr>
        <w:t xml:space="preserve"> and </w:t>
      </w:r>
      <w:r w:rsidRPr="00256803">
        <w:rPr>
          <w:b/>
          <w:u w:val="single"/>
        </w:rPr>
        <w:t>Test Channel Bandwidth</w:t>
      </w:r>
    </w:p>
    <w:p w:rsidR="00AB79E0" w:rsidRDefault="00917C74" w:rsidP="00AB79E0">
      <w:pPr>
        <w:tabs>
          <w:tab w:val="left" w:pos="7879"/>
        </w:tabs>
      </w:pPr>
      <w:r w:rsidRPr="00842A89">
        <w:t xml:space="preserve">High with </w:t>
      </w:r>
      <w:proofErr w:type="spellStart"/>
      <w:r w:rsidRPr="00842A89">
        <w:t>maxWGap</w:t>
      </w:r>
      <w:proofErr w:type="spellEnd"/>
      <w:r w:rsidR="00AB79E0">
        <w:t xml:space="preserve"> </w:t>
      </w:r>
      <w:r>
        <w:rPr>
          <w:rFonts w:hint="eastAsia"/>
        </w:rPr>
        <w:t xml:space="preserve">and </w:t>
      </w:r>
      <w:r w:rsidRPr="00842A89">
        <w:t xml:space="preserve">Highest </w:t>
      </w:r>
      <w:proofErr w:type="spellStart"/>
      <w:r w:rsidRPr="00842A89">
        <w:t>N</w:t>
      </w:r>
      <w:r w:rsidRPr="00842A89">
        <w:rPr>
          <w:vertAlign w:val="subscript"/>
        </w:rPr>
        <w:t>RB_agg</w:t>
      </w:r>
      <w:proofErr w:type="spellEnd"/>
      <w:r>
        <w:t xml:space="preserve"> </w:t>
      </w:r>
      <w:r w:rsidR="00AB79E0">
        <w:t xml:space="preserve">is suggested for test frequency </w:t>
      </w:r>
      <w:r>
        <w:rPr>
          <w:rFonts w:hint="eastAsia"/>
        </w:rPr>
        <w:t xml:space="preserve">and test </w:t>
      </w:r>
      <w:r>
        <w:t>channel</w:t>
      </w:r>
      <w:r>
        <w:rPr>
          <w:rFonts w:hint="eastAsia"/>
        </w:rPr>
        <w:t xml:space="preserve"> </w:t>
      </w:r>
      <w:r>
        <w:t>bandwidth</w:t>
      </w:r>
      <w:r>
        <w:rPr>
          <w:rFonts w:hint="eastAsia"/>
        </w:rPr>
        <w:t xml:space="preserve"> </w:t>
      </w:r>
      <w:r w:rsidR="00AB79E0">
        <w:t xml:space="preserve">selection according to </w:t>
      </w:r>
      <w:r w:rsidR="00AB79E0" w:rsidRPr="00C40584">
        <w:t>R5-191451</w:t>
      </w:r>
      <w:r w:rsidR="00AB79E0">
        <w:t>[</w:t>
      </w:r>
      <w:r>
        <w:rPr>
          <w:rFonts w:hint="eastAsia"/>
        </w:rPr>
        <w:t>1</w:t>
      </w:r>
      <w:r w:rsidR="00AB79E0">
        <w:t>]</w:t>
      </w:r>
    </w:p>
    <w:p w:rsidR="00DC27A6" w:rsidRPr="00DC27A6" w:rsidRDefault="00AB79E0" w:rsidP="00AB79E0">
      <w:pPr>
        <w:rPr>
          <w:rFonts w:eastAsia="Times New Roman"/>
          <w:sz w:val="20"/>
          <w:szCs w:val="20"/>
        </w:rPr>
      </w:pPr>
      <w:r w:rsidRPr="0049457D">
        <w:rPr>
          <w:b/>
        </w:rPr>
        <w:t xml:space="preserve">Proposal </w:t>
      </w:r>
      <w:r w:rsidR="00917C74">
        <w:rPr>
          <w:rFonts w:hint="eastAsia"/>
          <w:b/>
        </w:rPr>
        <w:t>2</w:t>
      </w:r>
      <w:r w:rsidRPr="0049457D">
        <w:rPr>
          <w:b/>
        </w:rPr>
        <w:t xml:space="preserve">: </w:t>
      </w:r>
      <w:r w:rsidRPr="00917C74">
        <w:t>Test</w:t>
      </w:r>
      <w:r w:rsidR="00917C74" w:rsidRPr="00917C74">
        <w:t xml:space="preserve"> </w:t>
      </w:r>
      <w:proofErr w:type="gramStart"/>
      <w:r w:rsidR="00917C74" w:rsidRPr="00842A89">
        <w:t>High</w:t>
      </w:r>
      <w:proofErr w:type="gramEnd"/>
      <w:r w:rsidR="00917C74" w:rsidRPr="00842A89">
        <w:t xml:space="preserve"> with </w:t>
      </w:r>
      <w:proofErr w:type="spellStart"/>
      <w:r w:rsidR="00917C74" w:rsidRPr="00842A89">
        <w:t>maxWGap</w:t>
      </w:r>
      <w:proofErr w:type="spellEnd"/>
      <w:r w:rsidR="00917C74">
        <w:rPr>
          <w:rFonts w:hint="eastAsia"/>
        </w:rPr>
        <w:t xml:space="preserve"> and </w:t>
      </w:r>
      <w:r w:rsidR="00917C74" w:rsidRPr="00842A89">
        <w:t xml:space="preserve">Highest </w:t>
      </w:r>
      <w:proofErr w:type="spellStart"/>
      <w:r w:rsidR="00917C74" w:rsidRPr="00842A89">
        <w:t>N</w:t>
      </w:r>
      <w:r w:rsidR="00917C74" w:rsidRPr="00842A89">
        <w:rPr>
          <w:vertAlign w:val="subscript"/>
        </w:rPr>
        <w:t>RB_agg</w:t>
      </w:r>
      <w:proofErr w:type="spellEnd"/>
      <w:r w:rsidR="00917C74">
        <w:rPr>
          <w:rFonts w:hint="eastAsia"/>
        </w:rPr>
        <w:t xml:space="preserve"> f</w:t>
      </w:r>
      <w:r w:rsidR="00917C74">
        <w:rPr>
          <w:lang w:eastAsia="en-US"/>
        </w:rPr>
        <w:t xml:space="preserve">or </w:t>
      </w:r>
      <w:proofErr w:type="spellStart"/>
      <w:r w:rsidR="002855E4">
        <w:rPr>
          <w:lang w:eastAsia="en-US"/>
        </w:rPr>
        <w:t>Inband</w:t>
      </w:r>
      <w:proofErr w:type="spellEnd"/>
      <w:r w:rsidR="002855E4">
        <w:rPr>
          <w:lang w:eastAsia="en-US"/>
        </w:rPr>
        <w:t xml:space="preserve"> blocking</w:t>
      </w:r>
      <w:r w:rsidR="00917C74">
        <w:rPr>
          <w:lang w:eastAsia="en-US"/>
        </w:rPr>
        <w:t xml:space="preserve"> for </w:t>
      </w:r>
      <w:r w:rsidR="00917C74">
        <w:t>intra-band non-contiguous EN-DC in FR1</w:t>
      </w:r>
      <w:r w:rsidRPr="00917C74">
        <w:t>.</w:t>
      </w:r>
    </w:p>
    <w:bookmarkEnd w:id="1"/>
    <w:bookmarkEnd w:id="2"/>
    <w:p w:rsidR="00AA56D9" w:rsidRPr="003B026C" w:rsidRDefault="00AA56D9" w:rsidP="00AA56D9">
      <w:pPr>
        <w:pStyle w:val="1"/>
        <w:rPr>
          <w:lang w:val="en-US"/>
        </w:rPr>
      </w:pPr>
      <w:r w:rsidRPr="003B026C">
        <w:rPr>
          <w:lang w:val="en-US"/>
        </w:rPr>
        <w:tab/>
        <w:t>Conclusion</w:t>
      </w:r>
    </w:p>
    <w:p w:rsidR="00AA56D9" w:rsidRDefault="00AA56D9" w:rsidP="00AA56D9">
      <w:r w:rsidRPr="003B026C">
        <w:rPr>
          <w:lang w:eastAsia="en-US"/>
        </w:rPr>
        <w:t>To sum up, the following selection of test points is proposed for</w:t>
      </w:r>
      <w:r w:rsidR="004F3026" w:rsidRPr="004F3026">
        <w:rPr>
          <w:lang w:eastAsia="en-US"/>
        </w:rPr>
        <w:t xml:space="preserve"> </w:t>
      </w:r>
      <w:proofErr w:type="spellStart"/>
      <w:r w:rsidR="002855E4">
        <w:rPr>
          <w:lang w:eastAsia="en-US"/>
        </w:rPr>
        <w:t>Inband</w:t>
      </w:r>
      <w:proofErr w:type="spellEnd"/>
      <w:r w:rsidR="002855E4">
        <w:rPr>
          <w:lang w:eastAsia="en-US"/>
        </w:rPr>
        <w:t xml:space="preserve"> blocking</w:t>
      </w:r>
      <w:r w:rsidR="005317E6">
        <w:rPr>
          <w:lang w:eastAsia="en-US"/>
        </w:rPr>
        <w:t xml:space="preserve"> </w:t>
      </w:r>
      <w:r w:rsidR="004F3026">
        <w:rPr>
          <w:lang w:eastAsia="en-US"/>
        </w:rPr>
        <w:t xml:space="preserve">for </w:t>
      </w:r>
      <w:r w:rsidR="00953A2A">
        <w:t>intra-band non-contiguous EN-DC in FR1</w:t>
      </w:r>
      <w:r w:rsidRPr="003B026C">
        <w:rPr>
          <w:lang w:eastAsia="en-US"/>
        </w:rPr>
        <w:t>:</w:t>
      </w:r>
    </w:p>
    <w:p w:rsidR="00917C74" w:rsidRPr="00DC27A6" w:rsidRDefault="00917C74" w:rsidP="00917C74">
      <w:r w:rsidRPr="00DC27A6">
        <w:rPr>
          <w:b/>
          <w:lang w:eastAsia="en-US"/>
        </w:rPr>
        <w:lastRenderedPageBreak/>
        <w:t>Proposal 1:</w:t>
      </w:r>
      <w:r w:rsidRPr="00DC27A6">
        <w:t xml:space="preserve"> LTE agnostic approach is applied for </w:t>
      </w:r>
      <w:proofErr w:type="spellStart"/>
      <w:r w:rsidR="002855E4">
        <w:rPr>
          <w:lang w:eastAsia="en-US"/>
        </w:rPr>
        <w:t>Inband</w:t>
      </w:r>
      <w:proofErr w:type="spellEnd"/>
      <w:r w:rsidR="002855E4">
        <w:rPr>
          <w:lang w:eastAsia="en-US"/>
        </w:rPr>
        <w:t xml:space="preserve"> blocking</w:t>
      </w:r>
      <w:r w:rsidRPr="00DC27A6">
        <w:t xml:space="preserve"> test for Intra-band non-contiguous EN-DC</w:t>
      </w:r>
      <w:r>
        <w:rPr>
          <w:rFonts w:hint="eastAsia"/>
        </w:rPr>
        <w:t xml:space="preserve"> in FR1</w:t>
      </w:r>
      <w:r w:rsidRPr="00DC27A6">
        <w:t>, ensuring LTE agnostic resources do not interfere NR CG 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proofErr w:type="spellStart"/>
      <w:r w:rsidR="002855E4">
        <w:rPr>
          <w:lang w:eastAsia="en-US"/>
        </w:rPr>
        <w:t>Inband</w:t>
      </w:r>
      <w:proofErr w:type="spellEnd"/>
      <w:r w:rsidR="002855E4">
        <w:rPr>
          <w:lang w:eastAsia="en-US"/>
        </w:rPr>
        <w:t xml:space="preserve"> blocking</w:t>
      </w:r>
      <w:r w:rsidRPr="00DC27A6">
        <w:t xml:space="preserve"> test </w:t>
      </w:r>
      <w:r>
        <w:t xml:space="preserve">with the exception in proposal </w:t>
      </w:r>
      <w:r>
        <w:rPr>
          <w:rFonts w:hint="eastAsia"/>
        </w:rPr>
        <w:t>2</w:t>
      </w:r>
      <w:r w:rsidRPr="00DC27A6">
        <w:t>.</w:t>
      </w:r>
    </w:p>
    <w:p w:rsidR="00917C74" w:rsidRPr="00917C74" w:rsidRDefault="00917C74" w:rsidP="00AA56D9">
      <w:r w:rsidRPr="0049457D">
        <w:rPr>
          <w:b/>
        </w:rPr>
        <w:t xml:space="preserve">Proposal </w:t>
      </w:r>
      <w:r>
        <w:rPr>
          <w:rFonts w:hint="eastAsia"/>
          <w:b/>
        </w:rPr>
        <w:t>2</w:t>
      </w:r>
      <w:r w:rsidRPr="0049457D">
        <w:rPr>
          <w:b/>
        </w:rPr>
        <w:t xml:space="preserve">: </w:t>
      </w:r>
      <w:r w:rsidRPr="00917C74">
        <w:t xml:space="preserve">Test </w:t>
      </w:r>
      <w:proofErr w:type="gramStart"/>
      <w:r w:rsidRPr="00842A89">
        <w:t>High</w:t>
      </w:r>
      <w:proofErr w:type="gramEnd"/>
      <w:r w:rsidRPr="00842A89">
        <w:t xml:space="preserve"> with </w:t>
      </w:r>
      <w:proofErr w:type="spellStart"/>
      <w:r w:rsidRPr="00842A89">
        <w:t>maxWGap</w:t>
      </w:r>
      <w:proofErr w:type="spellEnd"/>
      <w:r>
        <w:rPr>
          <w:rFonts w:hint="eastAsia"/>
        </w:rPr>
        <w:t xml:space="preserve"> and </w:t>
      </w:r>
      <w:r w:rsidRPr="00842A89">
        <w:t xml:space="preserve">Highest </w:t>
      </w:r>
      <w:proofErr w:type="spellStart"/>
      <w:r w:rsidRPr="00842A89">
        <w:t>N</w:t>
      </w:r>
      <w:r w:rsidRPr="00842A89">
        <w:rPr>
          <w:vertAlign w:val="subscript"/>
        </w:rPr>
        <w:t>RB_agg</w:t>
      </w:r>
      <w:proofErr w:type="spellEnd"/>
      <w:r>
        <w:rPr>
          <w:rFonts w:hint="eastAsia"/>
        </w:rPr>
        <w:t xml:space="preserve"> f</w:t>
      </w:r>
      <w:r>
        <w:rPr>
          <w:lang w:eastAsia="en-US"/>
        </w:rPr>
        <w:t xml:space="preserve">or </w:t>
      </w:r>
      <w:proofErr w:type="spellStart"/>
      <w:r w:rsidR="002855E4">
        <w:rPr>
          <w:lang w:eastAsia="en-US"/>
        </w:rPr>
        <w:t>Inband</w:t>
      </w:r>
      <w:proofErr w:type="spellEnd"/>
      <w:r w:rsidR="002855E4">
        <w:rPr>
          <w:lang w:eastAsia="en-US"/>
        </w:rPr>
        <w:t xml:space="preserve"> blocking</w:t>
      </w:r>
      <w:r>
        <w:rPr>
          <w:lang w:eastAsia="en-US"/>
        </w:rPr>
        <w:t xml:space="preserve"> for </w:t>
      </w:r>
      <w:r>
        <w:t>intra-band non-contiguous EN-DC in FR1</w:t>
      </w:r>
      <w:r w:rsidRPr="00917C74">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CB698A">
        <w:t>intra-band non-contiguous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1309"/>
        <w:gridCol w:w="1126"/>
        <w:gridCol w:w="1130"/>
        <w:gridCol w:w="968"/>
        <w:gridCol w:w="1066"/>
      </w:tblGrid>
      <w:tr w:rsidR="00AA56D9" w:rsidRPr="003B026C" w:rsidTr="00917C74">
        <w:trPr>
          <w:trHeight w:val="714"/>
          <w:jc w:val="center"/>
        </w:trPr>
        <w:tc>
          <w:tcPr>
            <w:tcW w:w="106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917C74">
        <w:trPr>
          <w:jc w:val="center"/>
        </w:trPr>
        <w:tc>
          <w:tcPr>
            <w:tcW w:w="1061"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1"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917C74" w:rsidRPr="00C935F9" w:rsidRDefault="00917C74" w:rsidP="00917C74"/>
    <w:p w:rsidR="00917C74" w:rsidRDefault="00917C74" w:rsidP="00917C74">
      <w:pPr>
        <w:pStyle w:val="1"/>
        <w:ind w:left="425" w:hanging="425"/>
        <w:rPr>
          <w:lang w:eastAsia="ja-JP"/>
        </w:rPr>
      </w:pPr>
      <w:r>
        <w:rPr>
          <w:lang w:eastAsia="ja-JP"/>
        </w:rPr>
        <w:t>References</w:t>
      </w:r>
    </w:p>
    <w:p w:rsidR="00D21339" w:rsidRPr="00917C74" w:rsidRDefault="00917C74" w:rsidP="00D21339">
      <w:r>
        <w:rPr>
          <w:lang w:eastAsia="ja-JP"/>
        </w:rPr>
        <w:t>[</w:t>
      </w:r>
      <w:r>
        <w:rPr>
          <w:rFonts w:hint="eastAsia"/>
        </w:rPr>
        <w:t>1</w:t>
      </w:r>
      <w:r>
        <w:rPr>
          <w:lang w:eastAsia="ja-JP"/>
        </w:rPr>
        <w:t>]</w:t>
      </w:r>
      <w:r w:rsidRPr="001B130F">
        <w:rPr>
          <w:color w:val="000000"/>
          <w:lang w:eastAsia="ja-JP"/>
        </w:rPr>
        <w:t xml:space="preserve"> </w:t>
      </w:r>
      <w:r w:rsidRPr="00C40584">
        <w:t>R5-191451</w:t>
      </w:r>
      <w:r>
        <w:rPr>
          <w:lang w:eastAsia="ja-JP"/>
        </w:rPr>
        <w:t xml:space="preserve">” </w:t>
      </w:r>
      <w:r>
        <w:t>“</w:t>
      </w:r>
      <w:r w:rsidRPr="00C4755E">
        <w:t>Resolving ambiguity in LTE anchor agnostic approach</w:t>
      </w:r>
      <w:r>
        <w:t xml:space="preserve">”, </w:t>
      </w:r>
      <w:r w:rsidRPr="00C4755E">
        <w:t>Anritsu</w:t>
      </w:r>
      <w:r>
        <w:t>, RAN5#82, Athens, Nov. 2018.</w:t>
      </w:r>
    </w:p>
    <w:sectPr w:rsidR="00D21339" w:rsidRPr="00917C74"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2B7" w:rsidRDefault="005D52B7" w:rsidP="00371D7D">
      <w:r>
        <w:separator/>
      </w:r>
    </w:p>
  </w:endnote>
  <w:endnote w:type="continuationSeparator" w:id="0">
    <w:p w:rsidR="005D52B7" w:rsidRDefault="005D52B7"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323148">
      <w:rPr>
        <w:noProof w:val="0"/>
      </w:rPr>
      <w:fldChar w:fldCharType="begin"/>
    </w:r>
    <w:r>
      <w:instrText xml:space="preserve"> PAGE   \* MERGEFORMAT </w:instrText>
    </w:r>
    <w:r w:rsidR="00323148">
      <w:rPr>
        <w:noProof w:val="0"/>
      </w:rPr>
      <w:fldChar w:fldCharType="separate"/>
    </w:r>
    <w:r w:rsidR="00217705">
      <w:t>1</w:t>
    </w:r>
    <w:r w:rsidR="0032314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2B7" w:rsidRDefault="005D52B7" w:rsidP="00371D7D">
      <w:r>
        <w:separator/>
      </w:r>
    </w:p>
  </w:footnote>
  <w:footnote w:type="continuationSeparator" w:id="0">
    <w:p w:rsidR="005D52B7" w:rsidRDefault="005D52B7"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41986"/>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1BC6"/>
    <w:rsid w:val="00092C97"/>
    <w:rsid w:val="00096AAF"/>
    <w:rsid w:val="000A0514"/>
    <w:rsid w:val="000A262C"/>
    <w:rsid w:val="000A2FA7"/>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658"/>
    <w:rsid w:val="00176791"/>
    <w:rsid w:val="00180494"/>
    <w:rsid w:val="001810A2"/>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17705"/>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55E4"/>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314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94434"/>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D78C7"/>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5CE"/>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2B7"/>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1E7D"/>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C7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3A2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1EA"/>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31D0"/>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9E0"/>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98A"/>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A673B"/>
    <w:rsid w:val="00DB1476"/>
    <w:rsid w:val="00DB18A0"/>
    <w:rsid w:val="00DB3DD2"/>
    <w:rsid w:val="00DB5A35"/>
    <w:rsid w:val="00DB67BF"/>
    <w:rsid w:val="00DC0885"/>
    <w:rsid w:val="00DC0BAC"/>
    <w:rsid w:val="00DC0DC5"/>
    <w:rsid w:val="00DC1416"/>
    <w:rsid w:val="00DC27A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267A"/>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6811E-072B-4027-884F-9C1F08F6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2594</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3043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