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3GPP TSG-RAN WG4 Meeting NR#3</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1709598</w:t>
      </w:r>
    </w:p>
    <w:p>
      <w:pPr>
        <w:tabs>
          <w:tab w:val="right" w:pos="10440"/>
          <w:tab w:val="right" w:pos="13323"/>
        </w:tabs>
        <w:spacing w:afterLines="100"/>
        <w:rPr>
          <w:rFonts w:ascii="Arial" w:hAnsi="Arial" w:eastAsia="MS Mincho" w:cs="Arial"/>
          <w:b/>
          <w:sz w:val="24"/>
          <w:szCs w:val="24"/>
          <w:lang w:eastAsia="ja-JP"/>
        </w:rPr>
      </w:pPr>
      <w:r>
        <w:rPr>
          <w:rFonts w:ascii="Arial" w:hAnsi="Arial" w:cs="Arial"/>
          <w:b/>
          <w:sz w:val="24"/>
          <w:szCs w:val="24"/>
          <w:lang w:val="en-US" w:eastAsia="zh-CN"/>
        </w:rPr>
        <w:t>Nagoya, Japan, 18 - 21 September, 2017</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val="0"/>
          <w:sz w:val="22"/>
          <w:szCs w:val="22"/>
          <w:lang w:val="en-US" w:eastAsia="zh-CN"/>
        </w:rPr>
        <w:t>Timeline for NR BS EMC specification TS 38.113</w:t>
      </w:r>
    </w:p>
    <w:p>
      <w:pPr>
        <w:tabs>
          <w:tab w:val="left" w:pos="1985"/>
        </w:tabs>
        <w:jc w:val="both"/>
        <w:rPr>
          <w:rFonts w:ascii="Arial" w:hAnsi="Arial" w:cs="Arial"/>
          <w:b/>
          <w:color w:val="000000" w:themeColor="text1"/>
          <w:sz w:val="22"/>
          <w:szCs w:val="22"/>
          <w:lang w:val="sv-SE" w:eastAsia="zh-CN"/>
        </w:rPr>
      </w:pPr>
      <w:r>
        <w:rPr>
          <w:rFonts w:ascii="Arial" w:hAnsi="Arial" w:cs="Arial"/>
          <w:b/>
          <w:color w:val="000000" w:themeColor="text1"/>
          <w:sz w:val="22"/>
          <w:szCs w:val="22"/>
          <w:lang w:val="sv-SE"/>
        </w:rPr>
        <w:t>Agenda Item:</w:t>
      </w:r>
      <w:r>
        <w:rPr>
          <w:rFonts w:ascii="Arial" w:hAnsi="Arial" w:cs="Arial"/>
          <w:b/>
          <w:color w:val="000000" w:themeColor="text1"/>
          <w:sz w:val="22"/>
          <w:szCs w:val="22"/>
          <w:lang w:val="sv-SE"/>
        </w:rPr>
        <w:tab/>
      </w:r>
      <w:r>
        <w:rPr>
          <w:rFonts w:ascii="Arial" w:hAnsi="Arial" w:cs="Arial"/>
          <w:color w:val="000000"/>
          <w:sz w:val="21"/>
          <w:szCs w:val="21"/>
          <w:shd w:val="clear" w:color="auto" w:fill="FFFFFF"/>
          <w:lang w:val="sv-SE"/>
        </w:rPr>
        <w:t>3.4.1.4 BS EMC spec (38.113) </w:t>
      </w:r>
      <w:r>
        <w:rPr>
          <w:rFonts w:ascii="Arial" w:hAnsi="Arial" w:cs="Arial"/>
          <w:color w:val="FF0000"/>
          <w:sz w:val="22"/>
          <w:szCs w:val="22"/>
          <w:lang w:val="sv-SE"/>
        </w:rPr>
        <w:t xml:space="preserve"> </w:t>
      </w:r>
      <w:bookmarkStart w:id="0" w:name="_GoBack"/>
      <w:bookmarkEnd w:id="0"/>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sz w:val="22"/>
          <w:szCs w:val="22"/>
          <w:lang w:val="en-US" w:eastAsia="zh-CN"/>
        </w:rPr>
        <w:t>Discussion</w:t>
      </w:r>
    </w:p>
    <w:p>
      <w:pPr>
        <w:pStyle w:val="2"/>
      </w:pPr>
      <w:r>
        <w:t>Introduction</w:t>
      </w:r>
    </w:p>
    <w:p>
      <w:pPr>
        <w:rPr>
          <w:lang w:eastAsia="ja-JP"/>
        </w:rPr>
      </w:pPr>
      <w:r>
        <w:rPr>
          <w:rFonts w:hint="eastAsia"/>
          <w:lang w:val="en-US" w:eastAsia="zh-CN"/>
        </w:rPr>
        <w:t>In RAN4 meeting #84 the skeleton of NR BS EMC specification TS 38.113 has been approved in [</w:t>
      </w:r>
      <w:r>
        <w:rPr>
          <w:lang w:val="en-US" w:eastAsia="zh-CN"/>
        </w:rPr>
        <w:t>1</w:t>
      </w:r>
      <w:r>
        <w:rPr>
          <w:rFonts w:hint="eastAsia"/>
          <w:lang w:val="en-US" w:eastAsia="zh-CN"/>
        </w:rPr>
        <w:t xml:space="preserve">]. In this contribution the timeline and the following study for TS 38.113 [1] are discussed. </w:t>
      </w:r>
    </w:p>
    <w:p>
      <w:pPr>
        <w:pStyle w:val="2"/>
        <w:rPr>
          <w:lang w:eastAsia="zh-CN"/>
        </w:rPr>
      </w:pPr>
      <w:r>
        <w:rPr>
          <w:lang w:eastAsia="zh-CN"/>
        </w:rPr>
        <w:t>Discussion</w:t>
      </w:r>
    </w:p>
    <w:p>
      <w:pPr>
        <w:rPr>
          <w:lang w:val="en-US" w:eastAsia="zh-CN"/>
        </w:rPr>
      </w:pPr>
      <w:r>
        <w:rPr>
          <w:lang w:val="en-US" w:eastAsia="zh-CN"/>
        </w:rPr>
        <w:t xml:space="preserve">NR </w:t>
      </w:r>
      <w:r>
        <w:rPr>
          <w:rFonts w:hint="eastAsia"/>
          <w:lang w:val="en-US" w:eastAsia="zh-CN"/>
        </w:rPr>
        <w:t xml:space="preserve">BS </w:t>
      </w:r>
      <w:r>
        <w:rPr>
          <w:lang w:val="en-US" w:eastAsia="zh-CN"/>
        </w:rPr>
        <w:t>EMC specification TS 38.113</w:t>
      </w:r>
      <w:r>
        <w:rPr>
          <w:rFonts w:hint="eastAsia"/>
          <w:lang w:val="en-US" w:eastAsia="zh-CN"/>
        </w:rPr>
        <w:t xml:space="preserve"> [1]</w:t>
      </w:r>
      <w:r>
        <w:rPr>
          <w:lang w:val="en-US" w:eastAsia="zh-CN"/>
        </w:rPr>
        <w:t xml:space="preserve"> was planned to be presented at</w:t>
      </w:r>
      <w:r>
        <w:rPr>
          <w:rFonts w:hint="eastAsia"/>
          <w:lang w:val="en-US" w:eastAsia="zh-CN"/>
        </w:rPr>
        <w:t xml:space="preserve"> </w:t>
      </w:r>
      <w:r>
        <w:rPr>
          <w:rFonts w:hint="eastAsia" w:ascii="Arial" w:hAnsi="Arial" w:cs="Arial"/>
          <w:sz w:val="16"/>
          <w:szCs w:val="16"/>
          <w:lang w:eastAsia="ja-JP"/>
        </w:rPr>
        <w:t>TSG-RAN #</w:t>
      </w:r>
      <w:r>
        <w:rPr>
          <w:rFonts w:ascii="Arial" w:hAnsi="Arial" w:cs="Arial"/>
          <w:sz w:val="16"/>
          <w:szCs w:val="16"/>
          <w:lang w:eastAsia="ja-JP"/>
        </w:rPr>
        <w:t>7</w:t>
      </w:r>
      <w:r>
        <w:rPr>
          <w:rFonts w:hint="eastAsia" w:ascii="Arial" w:hAnsi="Arial" w:cs="Arial"/>
          <w:sz w:val="16"/>
          <w:szCs w:val="16"/>
          <w:lang w:val="en-US" w:eastAsia="zh-CN"/>
        </w:rPr>
        <w:t>7</w:t>
      </w:r>
      <w:r>
        <w:rPr>
          <w:lang w:val="en-US" w:eastAsia="zh-CN"/>
        </w:rPr>
        <w:t xml:space="preserve"> for information</w:t>
      </w:r>
      <w:r>
        <w:rPr>
          <w:rFonts w:hint="eastAsia"/>
          <w:lang w:val="en-US" w:eastAsia="zh-CN"/>
        </w:rPr>
        <w:t xml:space="preserve"> and at </w:t>
      </w:r>
      <w:r>
        <w:rPr>
          <w:rFonts w:hint="eastAsia" w:ascii="Arial" w:hAnsi="Arial" w:cs="Arial"/>
          <w:sz w:val="16"/>
          <w:szCs w:val="16"/>
          <w:lang w:eastAsia="ja-JP"/>
        </w:rPr>
        <w:t>TSG-RAN #</w:t>
      </w:r>
      <w:r>
        <w:rPr>
          <w:rFonts w:ascii="Arial" w:hAnsi="Arial" w:cs="Arial"/>
          <w:sz w:val="16"/>
          <w:szCs w:val="16"/>
          <w:lang w:eastAsia="ja-JP"/>
        </w:rPr>
        <w:t>78</w:t>
      </w:r>
      <w:r>
        <w:rPr>
          <w:rFonts w:hint="eastAsia" w:ascii="Arial" w:hAnsi="Arial" w:cs="Arial"/>
          <w:sz w:val="16"/>
          <w:szCs w:val="16"/>
          <w:lang w:val="en-US" w:eastAsia="zh-CN"/>
        </w:rPr>
        <w:t xml:space="preserve"> for approval </w:t>
      </w:r>
      <w:r>
        <w:rPr>
          <w:lang w:val="en-US" w:eastAsia="zh-CN"/>
        </w:rPr>
        <w:t>according to the NR WID</w:t>
      </w:r>
      <w:r>
        <w:rPr>
          <w:rFonts w:hint="eastAsia"/>
          <w:lang w:val="en-US" w:eastAsia="zh-CN"/>
        </w:rPr>
        <w:t xml:space="preserve"> </w:t>
      </w:r>
      <w:r>
        <w:rPr>
          <w:lang w:val="en-US" w:eastAsia="zh-CN"/>
        </w:rPr>
        <w:t xml:space="preserve">[2]. </w:t>
      </w:r>
    </w:p>
    <w:p>
      <w:pPr>
        <w:jc w:val="center"/>
        <w:rPr>
          <w:lang w:val="en-US" w:eastAsia="zh-CN"/>
        </w:rPr>
      </w:pPr>
      <w:r>
        <w:rPr>
          <w:lang w:val="en-US" w:eastAsia="zh-CN"/>
        </w:rPr>
        <w:t>Table-1 Current timeline for TS 38.113</w:t>
      </w:r>
    </w:p>
    <w:tbl>
      <w:tblPr>
        <w:tblStyle w:val="53"/>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2551"/>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60"/>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60"/>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tcPr>
          <w:p>
            <w:pPr>
              <w:spacing w:after="0"/>
              <w:rPr>
                <w:rFonts w:ascii="Arial" w:hAnsi="Arial" w:cs="Arial"/>
                <w:sz w:val="16"/>
                <w:szCs w:val="16"/>
                <w:lang w:eastAsia="ja-JP"/>
              </w:rPr>
            </w:pPr>
            <w:r>
              <w:rPr>
                <w:rFonts w:hint="eastAsia" w:ascii="Arial" w:hAnsi="Arial" w:cs="Arial"/>
                <w:sz w:val="16"/>
                <w:szCs w:val="16"/>
                <w:lang w:eastAsia="ja-JP"/>
              </w:rPr>
              <w:t>38.113</w:t>
            </w:r>
          </w:p>
        </w:tc>
        <w:tc>
          <w:tcPr>
            <w:tcW w:w="1418" w:type="dxa"/>
          </w:tcPr>
          <w:p>
            <w:pPr>
              <w:spacing w:after="0"/>
              <w:rPr>
                <w:rFonts w:ascii="Arial" w:hAnsi="Arial" w:cs="Arial"/>
                <w:sz w:val="16"/>
                <w:szCs w:val="16"/>
                <w:lang w:eastAsia="ja-JP"/>
              </w:rPr>
            </w:pPr>
            <w:r>
              <w:rPr>
                <w:rFonts w:hint="eastAsia" w:ascii="Arial" w:hAnsi="Arial" w:cs="Arial"/>
                <w:sz w:val="16"/>
                <w:szCs w:val="16"/>
                <w:lang w:eastAsia="ja-JP"/>
              </w:rPr>
              <w:t>TS</w:t>
            </w:r>
          </w:p>
        </w:tc>
        <w:tc>
          <w:tcPr>
            <w:tcW w:w="2551" w:type="dxa"/>
          </w:tcPr>
          <w:p>
            <w:pPr>
              <w:spacing w:after="0"/>
              <w:rPr>
                <w:rFonts w:ascii="Arial" w:hAnsi="Arial" w:cs="Arial"/>
                <w:sz w:val="16"/>
                <w:szCs w:val="16"/>
              </w:rPr>
            </w:pPr>
            <w:r>
              <w:rPr>
                <w:rFonts w:hint="eastAsia" w:ascii="Arial" w:hAnsi="Arial" w:cs="Arial"/>
                <w:sz w:val="16"/>
                <w:szCs w:val="16"/>
                <w:lang w:eastAsia="ja-JP"/>
              </w:rPr>
              <w:t xml:space="preserve">NR;  </w:t>
            </w:r>
            <w:r>
              <w:rPr>
                <w:rFonts w:ascii="Arial" w:hAnsi="Arial" w:cs="Arial"/>
                <w:sz w:val="16"/>
                <w:szCs w:val="16"/>
              </w:rPr>
              <w:t>Base Station (BS) and repeater ElectroMagnetic Compatibility (EMC)</w:t>
            </w:r>
          </w:p>
        </w:tc>
        <w:tc>
          <w:tcPr>
            <w:tcW w:w="993" w:type="dxa"/>
          </w:tcPr>
          <w:p>
            <w:pPr>
              <w:spacing w:after="0"/>
              <w:rPr>
                <w:rFonts w:ascii="Arial" w:hAnsi="Arial" w:cs="Arial"/>
                <w:sz w:val="16"/>
                <w:szCs w:val="16"/>
              </w:rPr>
            </w:pPr>
            <w:r>
              <w:rPr>
                <w:rFonts w:hint="eastAsia" w:ascii="Arial" w:hAnsi="Arial" w:cs="Arial"/>
                <w:sz w:val="16"/>
                <w:szCs w:val="16"/>
                <w:lang w:eastAsia="ja-JP"/>
              </w:rPr>
              <w:t>TSG-RAN #</w:t>
            </w:r>
            <w:r>
              <w:rPr>
                <w:rFonts w:ascii="Arial" w:hAnsi="Arial" w:cs="Arial"/>
                <w:sz w:val="16"/>
                <w:szCs w:val="16"/>
                <w:lang w:eastAsia="ja-JP"/>
              </w:rPr>
              <w:t>77</w:t>
            </w:r>
          </w:p>
        </w:tc>
        <w:tc>
          <w:tcPr>
            <w:tcW w:w="1074" w:type="dxa"/>
          </w:tcPr>
          <w:p>
            <w:pPr>
              <w:spacing w:after="0"/>
              <w:rPr>
                <w:rFonts w:ascii="Arial" w:hAnsi="Arial" w:cs="Arial"/>
                <w:sz w:val="16"/>
                <w:szCs w:val="16"/>
              </w:rPr>
            </w:pPr>
            <w:r>
              <w:rPr>
                <w:rFonts w:hint="eastAsia" w:ascii="Arial" w:hAnsi="Arial" w:cs="Arial"/>
                <w:sz w:val="16"/>
                <w:szCs w:val="16"/>
                <w:lang w:eastAsia="ja-JP"/>
              </w:rPr>
              <w:t>TSG-RAN #</w:t>
            </w:r>
            <w:r>
              <w:rPr>
                <w:rFonts w:ascii="Arial" w:hAnsi="Arial" w:cs="Arial"/>
                <w:sz w:val="16"/>
                <w:szCs w:val="16"/>
                <w:lang w:eastAsia="ja-JP"/>
              </w:rPr>
              <w:t>78</w:t>
            </w:r>
          </w:p>
        </w:tc>
        <w:tc>
          <w:tcPr>
            <w:tcW w:w="2186" w:type="dxa"/>
          </w:tcPr>
          <w:p>
            <w:pPr>
              <w:spacing w:after="0"/>
              <w:rPr>
                <w:rFonts w:ascii="Arial" w:hAnsi="Arial" w:cs="Arial"/>
                <w:sz w:val="16"/>
                <w:szCs w:val="16"/>
                <w:lang w:eastAsia="ja-JP"/>
              </w:rPr>
            </w:pPr>
            <w:r>
              <w:rPr>
                <w:rFonts w:ascii="Arial" w:hAnsi="Arial" w:cs="Arial"/>
                <w:sz w:val="16"/>
                <w:szCs w:val="16"/>
                <w:lang w:eastAsia="ja-JP"/>
              </w:rPr>
              <w:t>Rapporteur</w:t>
            </w:r>
            <w:r>
              <w:rPr>
                <w:rFonts w:hint="eastAsia" w:ascii="Arial" w:hAnsi="Arial" w:cs="Arial"/>
                <w:sz w:val="16"/>
                <w:szCs w:val="16"/>
                <w:lang w:eastAsia="ja-JP"/>
              </w:rPr>
              <w:t>;</w:t>
            </w:r>
          </w:p>
          <w:p>
            <w:pPr>
              <w:spacing w:after="0"/>
              <w:rPr>
                <w:rFonts w:ascii="Arial" w:hAnsi="Arial" w:cs="Arial"/>
                <w:sz w:val="16"/>
                <w:szCs w:val="16"/>
                <w:lang w:eastAsia="ja-JP"/>
              </w:rPr>
            </w:pPr>
            <w:r>
              <w:rPr>
                <w:rFonts w:hint="eastAsia" w:ascii="Arial" w:hAnsi="Arial" w:cs="Arial"/>
                <w:sz w:val="16"/>
                <w:szCs w:val="16"/>
                <w:lang w:eastAsia="ja-JP"/>
              </w:rPr>
              <w:t xml:space="preserve">TBD </w:t>
            </w:r>
          </w:p>
          <w:p>
            <w:pPr>
              <w:spacing w:after="0"/>
              <w:rPr>
                <w:rFonts w:ascii="Arial" w:hAnsi="Arial" w:cs="Arial"/>
                <w:sz w:val="16"/>
                <w:szCs w:val="16"/>
              </w:rPr>
            </w:pPr>
            <w:r>
              <w:rPr>
                <w:rFonts w:hint="eastAsia" w:ascii="Arial" w:hAnsi="Arial" w:cs="Arial"/>
                <w:sz w:val="16"/>
                <w:szCs w:val="16"/>
                <w:lang w:eastAsia="ja-JP"/>
              </w:rPr>
              <w:t>Core part</w:t>
            </w:r>
          </w:p>
        </w:tc>
      </w:tr>
    </w:tbl>
    <w:p>
      <w:pPr>
        <w:rPr>
          <w:lang w:val="en-US" w:eastAsia="zh-CN"/>
        </w:rPr>
      </w:pPr>
    </w:p>
    <w:p>
      <w:pPr>
        <w:rPr>
          <w:lang w:val="en-US" w:eastAsia="zh-CN"/>
        </w:rPr>
      </w:pPr>
      <w:r>
        <w:rPr>
          <w:rFonts w:hint="eastAsia"/>
          <w:lang w:val="en-US" w:eastAsia="zh-CN"/>
        </w:rPr>
        <w:t>However, NR BS EMC test configuration and immunity performance criteria will refer to TS 38.104 [3] and TS 38.141 [4]</w:t>
      </w:r>
      <w:r>
        <w:rPr>
          <w:lang w:val="en-US" w:eastAsia="zh-CN"/>
        </w:rPr>
        <w:t>, which</w:t>
      </w:r>
      <w:r>
        <w:rPr>
          <w:rFonts w:hint="eastAsia"/>
          <w:lang w:val="en-US" w:eastAsia="zh-CN"/>
        </w:rPr>
        <w:t xml:space="preserve"> were planed as following:</w:t>
      </w:r>
    </w:p>
    <w:p>
      <w:pPr>
        <w:jc w:val="center"/>
        <w:rPr>
          <w:lang w:val="en-US" w:eastAsia="zh-CN"/>
        </w:rPr>
      </w:pPr>
      <w:r>
        <w:rPr>
          <w:lang w:val="en-US" w:eastAsia="zh-CN"/>
        </w:rPr>
        <w:t>Table-2 Current timeline for TS 38.104 and TS 38.141</w:t>
      </w:r>
    </w:p>
    <w:tbl>
      <w:tblPr>
        <w:tblStyle w:val="53"/>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2551"/>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413" w:type="dxa"/>
            <w:gridSpan w:val="6"/>
            <w:shd w:val="clear" w:color="auto" w:fill="D9D9D9"/>
            <w:tcMar>
              <w:left w:w="57" w:type="dxa"/>
              <w:right w:w="57" w:type="dxa"/>
            </w:tcMar>
            <w:vAlign w:val="center"/>
          </w:tcPr>
          <w:p>
            <w:pPr>
              <w:pStyle w:val="60"/>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60"/>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1" w:type="dxa"/>
          </w:tcPr>
          <w:p>
            <w:pPr>
              <w:spacing w:after="0"/>
              <w:rPr>
                <w:rFonts w:ascii="Arial" w:hAnsi="Arial" w:cs="Arial"/>
                <w:sz w:val="16"/>
                <w:szCs w:val="16"/>
                <w:lang w:eastAsia="ja-JP"/>
              </w:rPr>
            </w:pPr>
            <w:r>
              <w:rPr>
                <w:rFonts w:hint="eastAsia" w:ascii="Arial" w:hAnsi="Arial" w:cs="Arial"/>
                <w:sz w:val="16"/>
                <w:szCs w:val="16"/>
                <w:lang w:eastAsia="ja-JP"/>
              </w:rPr>
              <w:t>38.104</w:t>
            </w:r>
          </w:p>
        </w:tc>
        <w:tc>
          <w:tcPr>
            <w:tcW w:w="1418" w:type="dxa"/>
          </w:tcPr>
          <w:p>
            <w:pPr>
              <w:spacing w:after="0"/>
              <w:rPr>
                <w:rFonts w:ascii="Arial" w:hAnsi="Arial" w:cs="Arial"/>
                <w:sz w:val="16"/>
                <w:szCs w:val="16"/>
                <w:lang w:eastAsia="ja-JP"/>
              </w:rPr>
            </w:pPr>
            <w:r>
              <w:rPr>
                <w:rFonts w:hint="eastAsia" w:ascii="Arial" w:hAnsi="Arial" w:cs="Arial"/>
                <w:sz w:val="16"/>
                <w:szCs w:val="16"/>
                <w:lang w:eastAsia="ja-JP"/>
              </w:rPr>
              <w:t>TS</w:t>
            </w:r>
          </w:p>
        </w:tc>
        <w:tc>
          <w:tcPr>
            <w:tcW w:w="2551" w:type="dxa"/>
          </w:tcPr>
          <w:p>
            <w:pPr>
              <w:spacing w:after="0"/>
              <w:rPr>
                <w:rFonts w:ascii="Arial" w:hAnsi="Arial" w:cs="Arial"/>
                <w:sz w:val="16"/>
                <w:szCs w:val="16"/>
              </w:rPr>
            </w:pPr>
            <w:r>
              <w:rPr>
                <w:rFonts w:hint="eastAsia" w:ascii="Arial" w:hAnsi="Arial" w:cs="Arial"/>
                <w:sz w:val="16"/>
                <w:szCs w:val="16"/>
                <w:lang w:eastAsia="ja-JP"/>
              </w:rPr>
              <w:t xml:space="preserve">NR; </w:t>
            </w:r>
            <w:r>
              <w:rPr>
                <w:rFonts w:ascii="Arial" w:hAnsi="Arial" w:cs="Arial"/>
                <w:sz w:val="16"/>
                <w:szCs w:val="16"/>
              </w:rPr>
              <w:t>Base Station (BS) radio transmission and reception</w:t>
            </w:r>
          </w:p>
        </w:tc>
        <w:tc>
          <w:tcPr>
            <w:tcW w:w="993" w:type="dxa"/>
          </w:tcPr>
          <w:p>
            <w:pPr>
              <w:spacing w:after="0"/>
              <w:rPr>
                <w:rFonts w:ascii="Arial" w:hAnsi="Arial" w:cs="Arial"/>
                <w:sz w:val="16"/>
                <w:szCs w:val="16"/>
              </w:rPr>
            </w:pPr>
            <w:r>
              <w:rPr>
                <w:rFonts w:hint="eastAsia" w:ascii="Arial" w:hAnsi="Arial" w:cs="Arial"/>
                <w:sz w:val="16"/>
                <w:szCs w:val="16"/>
                <w:lang w:eastAsia="ja-JP"/>
              </w:rPr>
              <w:t>TSG-RAN #</w:t>
            </w:r>
            <w:r>
              <w:rPr>
                <w:rFonts w:ascii="Arial" w:hAnsi="Arial" w:cs="Arial"/>
                <w:sz w:val="16"/>
                <w:szCs w:val="16"/>
                <w:lang w:eastAsia="ja-JP"/>
              </w:rPr>
              <w:t>77</w:t>
            </w:r>
          </w:p>
        </w:tc>
        <w:tc>
          <w:tcPr>
            <w:tcW w:w="1074" w:type="dxa"/>
          </w:tcPr>
          <w:p>
            <w:pPr>
              <w:spacing w:after="0"/>
              <w:rPr>
                <w:rFonts w:ascii="Arial" w:hAnsi="Arial" w:cs="Arial"/>
                <w:sz w:val="16"/>
                <w:szCs w:val="16"/>
              </w:rPr>
            </w:pPr>
            <w:r>
              <w:rPr>
                <w:rFonts w:hint="eastAsia" w:ascii="Arial" w:hAnsi="Arial" w:cs="Arial"/>
                <w:sz w:val="16"/>
                <w:szCs w:val="16"/>
                <w:lang w:eastAsia="ja-JP"/>
              </w:rPr>
              <w:t>TSG-RAN #</w:t>
            </w:r>
            <w:r>
              <w:rPr>
                <w:rFonts w:ascii="Arial" w:hAnsi="Arial" w:cs="Arial"/>
                <w:sz w:val="16"/>
                <w:szCs w:val="16"/>
                <w:lang w:eastAsia="ja-JP"/>
              </w:rPr>
              <w:t>78</w:t>
            </w:r>
          </w:p>
        </w:tc>
        <w:tc>
          <w:tcPr>
            <w:tcW w:w="2186" w:type="dxa"/>
          </w:tcPr>
          <w:p>
            <w:pPr>
              <w:spacing w:after="0"/>
              <w:rPr>
                <w:rFonts w:ascii="Arial" w:hAnsi="Arial" w:cs="Arial"/>
                <w:sz w:val="16"/>
                <w:szCs w:val="16"/>
                <w:lang w:val="sv-SE" w:eastAsia="ja-JP"/>
              </w:rPr>
            </w:pPr>
            <w:r>
              <w:rPr>
                <w:rFonts w:ascii="Arial" w:hAnsi="Arial" w:cs="Arial"/>
                <w:sz w:val="16"/>
                <w:szCs w:val="16"/>
                <w:lang w:val="sv-SE" w:eastAsia="ja-JP"/>
              </w:rPr>
              <w:t>R</w:t>
            </w:r>
            <w:r>
              <w:rPr>
                <w:rFonts w:hint="eastAsia" w:ascii="Arial" w:hAnsi="Arial" w:cs="Arial"/>
                <w:sz w:val="16"/>
                <w:szCs w:val="16"/>
                <w:lang w:val="sv-SE" w:eastAsia="ja-JP"/>
              </w:rPr>
              <w:t>apporteur:</w:t>
            </w:r>
          </w:p>
          <w:p>
            <w:pPr>
              <w:spacing w:after="0"/>
              <w:rPr>
                <w:rFonts w:ascii="Arial" w:hAnsi="Arial" w:cs="Arial"/>
                <w:sz w:val="16"/>
                <w:szCs w:val="16"/>
                <w:lang w:val="sv-SE" w:eastAsia="ja-JP"/>
              </w:rPr>
            </w:pPr>
            <w:r>
              <w:rPr>
                <w:rFonts w:ascii="Arial" w:hAnsi="Arial" w:cs="Arial"/>
                <w:sz w:val="16"/>
                <w:szCs w:val="16"/>
                <w:lang w:val="sv-SE" w:eastAsia="ja-JP"/>
              </w:rPr>
              <w:t>Johan Sköld</w:t>
            </w:r>
            <w:r>
              <w:rPr>
                <w:rFonts w:hint="eastAsia" w:ascii="Arial" w:hAnsi="Arial" w:cs="Arial"/>
                <w:sz w:val="16"/>
                <w:szCs w:val="16"/>
                <w:lang w:val="sv-SE" w:eastAsia="ja-JP"/>
              </w:rPr>
              <w:t>;</w:t>
            </w:r>
          </w:p>
          <w:p>
            <w:pPr>
              <w:spacing w:after="0"/>
              <w:rPr>
                <w:rFonts w:ascii="Arial" w:hAnsi="Arial" w:cs="Arial"/>
                <w:sz w:val="16"/>
                <w:szCs w:val="16"/>
                <w:lang w:val="sv-SE" w:eastAsia="ja-JP"/>
              </w:rPr>
            </w:pPr>
            <w:r>
              <w:fldChar w:fldCharType="begin"/>
            </w:r>
            <w:r>
              <w:instrText xml:space="preserve"> HYPERLINK "mailto:johan.skold@ERICSSON.COM" </w:instrText>
            </w:r>
            <w:r>
              <w:fldChar w:fldCharType="separate"/>
            </w:r>
            <w:r>
              <w:rPr>
                <w:rStyle w:val="50"/>
                <w:rFonts w:ascii="Arial" w:hAnsi="Arial" w:cs="Arial"/>
                <w:sz w:val="16"/>
                <w:szCs w:val="16"/>
                <w:lang w:val="sv-SE" w:eastAsia="ja-JP"/>
              </w:rPr>
              <w:t>johan.skold@ERICSSON.COM</w:t>
            </w:r>
            <w:r>
              <w:rPr>
                <w:rStyle w:val="50"/>
                <w:rFonts w:ascii="Arial" w:hAnsi="Arial" w:cs="Arial"/>
                <w:sz w:val="16"/>
                <w:szCs w:val="16"/>
                <w:lang w:val="sv-SE" w:eastAsia="ja-JP"/>
              </w:rPr>
              <w:fldChar w:fldCharType="end"/>
            </w:r>
          </w:p>
          <w:p>
            <w:pPr>
              <w:spacing w:after="0"/>
              <w:rPr>
                <w:rFonts w:ascii="Arial" w:hAnsi="Arial" w:cs="Arial"/>
                <w:sz w:val="16"/>
                <w:szCs w:val="16"/>
              </w:rPr>
            </w:pPr>
            <w:r>
              <w:rPr>
                <w:rFonts w:hint="eastAsia" w:ascii="Arial" w:hAnsi="Arial" w:cs="Arial"/>
                <w:sz w:val="16"/>
                <w:szCs w:val="16"/>
                <w:lang w:eastAsia="ja-JP"/>
              </w:rPr>
              <w:t>Core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91" w:type="dxa"/>
          </w:tcPr>
          <w:p>
            <w:pPr>
              <w:spacing w:after="0"/>
              <w:rPr>
                <w:rFonts w:ascii="Arial" w:hAnsi="Arial" w:cs="Arial"/>
                <w:sz w:val="16"/>
                <w:szCs w:val="16"/>
                <w:lang w:eastAsia="ja-JP"/>
              </w:rPr>
            </w:pPr>
            <w:r>
              <w:rPr>
                <w:rFonts w:hint="eastAsia" w:ascii="Arial" w:hAnsi="Arial" w:cs="Arial"/>
                <w:sz w:val="16"/>
                <w:szCs w:val="16"/>
                <w:lang w:eastAsia="ja-JP"/>
              </w:rPr>
              <w:t>38.141</w:t>
            </w:r>
          </w:p>
        </w:tc>
        <w:tc>
          <w:tcPr>
            <w:tcW w:w="1418" w:type="dxa"/>
          </w:tcPr>
          <w:p>
            <w:pPr>
              <w:spacing w:after="0"/>
              <w:rPr>
                <w:rFonts w:ascii="Arial" w:hAnsi="Arial" w:cs="Arial"/>
                <w:sz w:val="16"/>
                <w:szCs w:val="16"/>
                <w:lang w:eastAsia="ja-JP"/>
              </w:rPr>
            </w:pPr>
            <w:r>
              <w:rPr>
                <w:rFonts w:hint="eastAsia" w:ascii="Arial" w:hAnsi="Arial" w:cs="Arial"/>
                <w:sz w:val="16"/>
                <w:szCs w:val="16"/>
                <w:lang w:eastAsia="ja-JP"/>
              </w:rPr>
              <w:t>TS</w:t>
            </w:r>
          </w:p>
        </w:tc>
        <w:tc>
          <w:tcPr>
            <w:tcW w:w="2551" w:type="dxa"/>
          </w:tcPr>
          <w:p>
            <w:pPr>
              <w:spacing w:after="0"/>
              <w:rPr>
                <w:rFonts w:ascii="Arial" w:hAnsi="Arial" w:cs="Arial"/>
                <w:sz w:val="16"/>
                <w:szCs w:val="16"/>
              </w:rPr>
            </w:pPr>
            <w:r>
              <w:rPr>
                <w:rFonts w:hint="eastAsia" w:ascii="Arial" w:hAnsi="Arial" w:cs="Arial"/>
                <w:sz w:val="16"/>
                <w:szCs w:val="16"/>
                <w:lang w:eastAsia="ja-JP"/>
              </w:rPr>
              <w:t xml:space="preserve">NR; </w:t>
            </w:r>
            <w:r>
              <w:rPr>
                <w:rFonts w:ascii="Arial" w:hAnsi="Arial" w:cs="Arial"/>
                <w:sz w:val="16"/>
                <w:szCs w:val="16"/>
              </w:rPr>
              <w:t>Base Station (BS) conformance testing</w:t>
            </w:r>
          </w:p>
        </w:tc>
        <w:tc>
          <w:tcPr>
            <w:tcW w:w="993" w:type="dxa"/>
          </w:tcPr>
          <w:p>
            <w:pPr>
              <w:spacing w:after="0"/>
              <w:rPr>
                <w:rFonts w:ascii="Arial" w:hAnsi="Arial" w:cs="Arial"/>
                <w:sz w:val="16"/>
                <w:szCs w:val="16"/>
              </w:rPr>
            </w:pPr>
            <w:r>
              <w:rPr>
                <w:rFonts w:hint="eastAsia" w:ascii="Arial" w:hAnsi="Arial" w:cs="Arial"/>
                <w:sz w:val="16"/>
                <w:szCs w:val="16"/>
                <w:lang w:eastAsia="ja-JP"/>
              </w:rPr>
              <w:t>TSG-RAN #79</w:t>
            </w:r>
          </w:p>
        </w:tc>
        <w:tc>
          <w:tcPr>
            <w:tcW w:w="1074" w:type="dxa"/>
          </w:tcPr>
          <w:p>
            <w:pPr>
              <w:spacing w:after="0"/>
              <w:rPr>
                <w:rFonts w:ascii="Arial" w:hAnsi="Arial" w:cs="Arial"/>
                <w:sz w:val="16"/>
                <w:szCs w:val="16"/>
              </w:rPr>
            </w:pPr>
            <w:r>
              <w:rPr>
                <w:rFonts w:hint="eastAsia" w:ascii="Arial" w:hAnsi="Arial" w:cs="Arial"/>
                <w:sz w:val="16"/>
                <w:szCs w:val="16"/>
                <w:lang w:eastAsia="ja-JP"/>
              </w:rPr>
              <w:t>TSG-RAN #80</w:t>
            </w:r>
          </w:p>
        </w:tc>
        <w:tc>
          <w:tcPr>
            <w:tcW w:w="2186" w:type="dxa"/>
          </w:tcPr>
          <w:p>
            <w:pPr>
              <w:spacing w:after="0"/>
              <w:rPr>
                <w:rFonts w:ascii="Arial" w:hAnsi="Arial" w:cs="Arial"/>
                <w:sz w:val="16"/>
                <w:szCs w:val="16"/>
                <w:lang w:val="sv-SE" w:eastAsia="ja-JP"/>
              </w:rPr>
            </w:pPr>
            <w:r>
              <w:rPr>
                <w:rFonts w:hint="eastAsia" w:ascii="Arial" w:hAnsi="Arial" w:cs="Arial"/>
                <w:sz w:val="16"/>
                <w:szCs w:val="16"/>
                <w:lang w:val="sv-SE" w:eastAsia="ja-JP"/>
              </w:rPr>
              <w:t>Rapporteur;</w:t>
            </w:r>
          </w:p>
          <w:p>
            <w:pPr>
              <w:spacing w:after="0"/>
              <w:rPr>
                <w:rFonts w:ascii="Arial" w:hAnsi="Arial" w:cs="Arial"/>
                <w:sz w:val="16"/>
                <w:szCs w:val="16"/>
                <w:lang w:val="sv-SE" w:eastAsia="ja-JP"/>
              </w:rPr>
            </w:pPr>
            <w:r>
              <w:rPr>
                <w:rFonts w:ascii="Arial" w:hAnsi="Arial" w:cs="Arial"/>
                <w:sz w:val="16"/>
                <w:szCs w:val="16"/>
                <w:lang w:val="sv-SE" w:eastAsia="ja-JP"/>
              </w:rPr>
              <w:t>Steven Chen</w:t>
            </w:r>
          </w:p>
          <w:p>
            <w:pPr>
              <w:spacing w:after="0"/>
              <w:rPr>
                <w:rFonts w:ascii="Arial" w:hAnsi="Arial" w:cs="Arial"/>
                <w:sz w:val="16"/>
                <w:szCs w:val="16"/>
                <w:lang w:val="sv-SE" w:eastAsia="ja-JP"/>
              </w:rPr>
            </w:pPr>
            <w:r>
              <w:fldChar w:fldCharType="begin"/>
            </w:r>
            <w:r>
              <w:instrText xml:space="preserve"> HYPERLINK "mailto:steven.chen@HUAWEI.COM" </w:instrText>
            </w:r>
            <w:r>
              <w:fldChar w:fldCharType="separate"/>
            </w:r>
            <w:r>
              <w:rPr>
                <w:rStyle w:val="50"/>
                <w:rFonts w:ascii="Arial" w:hAnsi="Arial" w:cs="Arial"/>
                <w:sz w:val="16"/>
                <w:szCs w:val="16"/>
                <w:lang w:val="sv-SE" w:eastAsia="ja-JP"/>
              </w:rPr>
              <w:t>steven.chen@HUAWEI.COM</w:t>
            </w:r>
            <w:r>
              <w:rPr>
                <w:rStyle w:val="50"/>
                <w:rFonts w:ascii="Arial" w:hAnsi="Arial" w:cs="Arial"/>
                <w:sz w:val="16"/>
                <w:szCs w:val="16"/>
                <w:lang w:val="sv-SE" w:eastAsia="ja-JP"/>
              </w:rPr>
              <w:fldChar w:fldCharType="end"/>
            </w:r>
          </w:p>
          <w:p>
            <w:pPr>
              <w:spacing w:after="0"/>
              <w:rPr>
                <w:rFonts w:ascii="Arial" w:hAnsi="Arial" w:cs="Arial"/>
                <w:sz w:val="16"/>
                <w:szCs w:val="16"/>
              </w:rPr>
            </w:pPr>
            <w:r>
              <w:rPr>
                <w:rFonts w:hint="eastAsia" w:ascii="Arial" w:hAnsi="Arial" w:cs="Arial"/>
                <w:sz w:val="16"/>
                <w:szCs w:val="16"/>
                <w:lang w:eastAsia="ja-JP"/>
              </w:rPr>
              <w:t>Performance part</w:t>
            </w:r>
          </w:p>
        </w:tc>
      </w:tr>
    </w:tbl>
    <w:p>
      <w:pPr>
        <w:rPr>
          <w:lang w:val="en-US" w:eastAsia="zh-CN"/>
        </w:rPr>
      </w:pPr>
    </w:p>
    <w:p>
      <w:pPr>
        <w:rPr>
          <w:lang w:val="en-US" w:eastAsia="zh-CN"/>
        </w:rPr>
      </w:pPr>
      <w:r>
        <w:rPr>
          <w:lang w:val="en-US" w:eastAsia="zh-CN"/>
        </w:rPr>
        <w:t xml:space="preserve">The current plan for NR EMC specification looks unnecessarily earlier than those for TS 38.104 and TS 38.141. Therefore it is possible to align their timelines, which means the completion of NR EMC specification TS 38.113 could be postponed to TSG-RAN #80 instead of #78. </w:t>
      </w:r>
    </w:p>
    <w:p>
      <w:pPr>
        <w:rPr>
          <w:b/>
          <w:bCs/>
          <w:lang w:val="en-US" w:eastAsia="zh-CN"/>
        </w:rPr>
      </w:pPr>
      <w:r>
        <w:rPr>
          <w:b/>
          <w:bCs/>
          <w:lang w:val="en-US" w:eastAsia="zh-CN"/>
        </w:rPr>
        <w:t>Proposal</w:t>
      </w:r>
      <w:r>
        <w:rPr>
          <w:rFonts w:hint="eastAsia"/>
          <w:b/>
          <w:bCs/>
          <w:lang w:val="en-US" w:eastAsia="zh-CN"/>
        </w:rPr>
        <w:t xml:space="preserve"> 1: The completation of </w:t>
      </w:r>
      <w:r>
        <w:rPr>
          <w:b/>
          <w:bCs/>
          <w:lang w:val="en-US" w:eastAsia="zh-CN"/>
        </w:rPr>
        <w:t>TS 38.113 specification is expected to be aligned with</w:t>
      </w:r>
      <w:r>
        <w:rPr>
          <w:rFonts w:hint="eastAsia"/>
          <w:b/>
          <w:bCs/>
          <w:lang w:val="en-US" w:eastAsia="zh-CN"/>
        </w:rPr>
        <w:t xml:space="preserve"> the timeline of TS 38.141 </w:t>
      </w:r>
      <w:r>
        <w:rPr>
          <w:rFonts w:hint="eastAsia"/>
          <w:lang w:val="en-US" w:eastAsia="zh-CN"/>
        </w:rPr>
        <w:t>[4]</w:t>
      </w:r>
      <w:r>
        <w:rPr>
          <w:rFonts w:hint="eastAsia"/>
          <w:b/>
          <w:bCs/>
          <w:lang w:val="en-US" w:eastAsia="zh-CN"/>
        </w:rPr>
        <w:t>.</w:t>
      </w:r>
    </w:p>
    <w:p>
      <w:pPr>
        <w:rPr>
          <w:lang w:val="en-US" w:eastAsia="zh-CN"/>
        </w:rPr>
      </w:pPr>
      <w:r>
        <w:rPr>
          <w:rFonts w:hint="eastAsia"/>
          <w:lang w:val="en-US" w:eastAsia="zh-CN"/>
        </w:rPr>
        <w:t>As discussed in RAN4 meeting #84, EMC specification for NR BS TS 38.113 will</w:t>
      </w:r>
      <w:r>
        <w:rPr>
          <w:lang w:val="en-US" w:eastAsia="zh-CN"/>
        </w:rPr>
        <w:t xml:space="preserve"> also</w:t>
      </w:r>
      <w:r>
        <w:rPr>
          <w:rFonts w:hint="eastAsia"/>
          <w:lang w:val="en-US" w:eastAsia="zh-CN"/>
        </w:rPr>
        <w:t xml:space="preserve"> </w:t>
      </w:r>
      <w:r>
        <w:rPr>
          <w:lang w:val="en-US" w:eastAsia="zh-CN"/>
        </w:rPr>
        <w:t>refer</w:t>
      </w:r>
      <w:r>
        <w:rPr>
          <w:rFonts w:hint="eastAsia"/>
          <w:lang w:val="en-US" w:eastAsia="zh-CN"/>
        </w:rPr>
        <w:t xml:space="preserve"> to AAS and eAAS EMC specification TS 37.114 [5] and TR 37.843 [6].  </w:t>
      </w:r>
    </w:p>
    <w:p>
      <w:pPr>
        <w:jc w:val="center"/>
        <w:rPr>
          <w:lang w:val="en-US" w:eastAsia="zh-CN"/>
        </w:rPr>
      </w:pPr>
      <w:r>
        <w:rPr>
          <w:lang w:val="en-US" w:eastAsia="zh-CN"/>
        </w:rPr>
        <w:t>Table-3 Current timeline for TS 38.114</w:t>
      </w:r>
    </w:p>
    <w:tbl>
      <w:tblPr>
        <w:tblStyle w:val="53"/>
        <w:tblW w:w="9401" w:type="dxa"/>
        <w:tblInd w:w="0" w:type="dxa"/>
        <w:tblLayout w:type="fixed"/>
        <w:tblCellMar>
          <w:top w:w="0" w:type="dxa"/>
          <w:left w:w="28" w:type="dxa"/>
          <w:bottom w:w="0" w:type="dxa"/>
          <w:right w:w="28" w:type="dxa"/>
        </w:tblCellMar>
      </w:tblPr>
      <w:tblGrid>
        <w:gridCol w:w="1665"/>
        <w:gridCol w:w="4309"/>
        <w:gridCol w:w="1239"/>
        <w:gridCol w:w="2188"/>
      </w:tblGrid>
      <w:tr>
        <w:tblPrEx>
          <w:tblLayout w:type="fixed"/>
        </w:tblPrEx>
        <w:trPr>
          <w:cantSplit/>
        </w:trPr>
        <w:tc>
          <w:tcPr>
            <w:tcW w:w="9401"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PrEx>
        <w:trPr>
          <w:cantSplit/>
        </w:trPr>
        <w:tc>
          <w:tcPr>
            <w:tcW w:w="166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left="-1200" w:leftChars="-600" w:right="1198"/>
              <w:rPr>
                <w:sz w:val="16"/>
                <w:szCs w:val="16"/>
              </w:rPr>
            </w:pPr>
            <w:r>
              <w:rPr>
                <w:sz w:val="16"/>
                <w:szCs w:val="16"/>
              </w:rPr>
              <w:t>TS/TR No.</w:t>
            </w:r>
          </w:p>
        </w:tc>
        <w:tc>
          <w:tcPr>
            <w:tcW w:w="4309"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239"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Target completion plenary#</w:t>
            </w:r>
          </w:p>
        </w:tc>
        <w:tc>
          <w:tcPr>
            <w:tcW w:w="2188"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Remarks</w:t>
            </w:r>
          </w:p>
        </w:tc>
      </w:tr>
      <w:tr>
        <w:tblPrEx>
          <w:tblLayout w:type="fixed"/>
        </w:tblPrEx>
        <w:trPr>
          <w:cantSplit/>
        </w:trPr>
        <w:tc>
          <w:tcPr>
            <w:tcW w:w="1665"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lang w:eastAsia="ja-JP"/>
              </w:rPr>
            </w:pPr>
            <w:r>
              <w:rPr>
                <w:rFonts w:ascii="Arial" w:hAnsi="Arial" w:cs="Arial"/>
                <w:sz w:val="16"/>
                <w:szCs w:val="16"/>
                <w:lang w:eastAsia="ja-JP"/>
              </w:rPr>
              <w:t>37.114</w:t>
            </w:r>
          </w:p>
        </w:tc>
        <w:tc>
          <w:tcPr>
            <w:tcW w:w="4309"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rPr>
              <w:t>Active Antenna System (AAS) Base Station (BS) Electromagnetic Compatibility (EMC)</w:t>
            </w:r>
          </w:p>
        </w:tc>
        <w:tc>
          <w:tcPr>
            <w:tcW w:w="1239"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lang w:eastAsia="ja-JP"/>
              </w:rPr>
            </w:pPr>
            <w:r>
              <w:rPr>
                <w:rFonts w:hint="eastAsia" w:ascii="Arial" w:hAnsi="Arial" w:cs="Arial"/>
                <w:sz w:val="16"/>
                <w:szCs w:val="16"/>
                <w:lang w:eastAsia="ja-JP"/>
              </w:rPr>
              <w:t>TSG-RAN #80</w:t>
            </w:r>
          </w:p>
        </w:tc>
        <w:tc>
          <w:tcPr>
            <w:tcW w:w="2188"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lang w:eastAsia="ja-JP"/>
              </w:rPr>
            </w:pPr>
            <w:r>
              <w:rPr>
                <w:rFonts w:hint="eastAsia" w:ascii="Arial" w:hAnsi="Arial" w:cs="Arial"/>
                <w:sz w:val="16"/>
                <w:szCs w:val="16"/>
                <w:lang w:eastAsia="ja-JP"/>
              </w:rPr>
              <w:t>Core part</w:t>
            </w:r>
          </w:p>
        </w:tc>
      </w:tr>
    </w:tbl>
    <w:p>
      <w:pPr>
        <w:rPr>
          <w:lang w:val="en-US" w:eastAsia="zh-CN"/>
        </w:rPr>
      </w:pPr>
    </w:p>
    <w:p>
      <w:pPr>
        <w:rPr>
          <w:lang w:val="en-US" w:eastAsia="zh-CN"/>
        </w:rPr>
      </w:pPr>
      <w:r>
        <w:rPr>
          <w:b/>
          <w:lang w:val="en-US" w:eastAsia="zh-CN"/>
        </w:rPr>
        <w:t>Observation 1</w:t>
      </w:r>
      <w:r>
        <w:rPr>
          <w:lang w:val="en-US" w:eastAsia="zh-CN"/>
        </w:rPr>
        <w:t xml:space="preserve">: </w:t>
      </w:r>
      <w:r>
        <w:rPr>
          <w:rFonts w:hint="eastAsia"/>
          <w:b/>
          <w:bCs/>
          <w:lang w:val="en-US" w:eastAsia="zh-CN"/>
        </w:rPr>
        <w:t xml:space="preserve">The progress of </w:t>
      </w:r>
      <w:r>
        <w:rPr>
          <w:b/>
          <w:bCs/>
          <w:lang w:val="en-US" w:eastAsia="zh-CN"/>
        </w:rPr>
        <w:t>TS 38.113</w:t>
      </w:r>
      <w:r>
        <w:rPr>
          <w:rFonts w:hint="eastAsia"/>
          <w:b/>
          <w:bCs/>
          <w:lang w:val="en-US" w:eastAsia="zh-CN"/>
        </w:rPr>
        <w:t xml:space="preserve"> [1]</w:t>
      </w:r>
      <w:r>
        <w:rPr>
          <w:b/>
          <w:bCs/>
          <w:lang w:val="en-US" w:eastAsia="zh-CN"/>
        </w:rPr>
        <w:t xml:space="preserve"> specification </w:t>
      </w:r>
      <w:r>
        <w:rPr>
          <w:rFonts w:hint="eastAsia"/>
          <w:b/>
          <w:bCs/>
          <w:lang w:val="en-US" w:eastAsia="zh-CN"/>
        </w:rPr>
        <w:t>depends on the timeline of TS 37.114 [5]</w:t>
      </w:r>
      <w:r>
        <w:rPr>
          <w:lang w:val="en-US" w:eastAsia="zh-CN"/>
        </w:rPr>
        <w:t>.</w:t>
      </w:r>
    </w:p>
    <w:p>
      <w:pPr>
        <w:rPr>
          <w:lang w:val="en-US" w:eastAsia="zh-CN"/>
        </w:rPr>
      </w:pPr>
      <w:r>
        <w:rPr>
          <w:lang w:val="en-US" w:eastAsia="zh-CN"/>
        </w:rPr>
        <w:t xml:space="preserve">In addition to </w:t>
      </w:r>
      <w:r>
        <w:rPr>
          <w:rFonts w:hint="eastAsia"/>
          <w:lang w:val="en-US" w:eastAsia="zh-CN"/>
        </w:rPr>
        <w:t xml:space="preserve">the above </w:t>
      </w:r>
      <w:r>
        <w:rPr>
          <w:lang w:val="en-US" w:eastAsia="zh-CN"/>
        </w:rPr>
        <w:t>mentioned dependence on the other relative specifications</w:t>
      </w:r>
      <w:r>
        <w:rPr>
          <w:rFonts w:hint="eastAsia"/>
          <w:lang w:val="en-US" w:eastAsia="zh-CN"/>
        </w:rPr>
        <w:t xml:space="preserve">, </w:t>
      </w:r>
      <w:r>
        <w:rPr>
          <w:lang w:val="en-US" w:eastAsia="zh-CN"/>
        </w:rPr>
        <w:t>some essential</w:t>
      </w:r>
      <w:r>
        <w:rPr>
          <w:rFonts w:hint="eastAsia"/>
          <w:lang w:val="en-US" w:eastAsia="zh-CN"/>
        </w:rPr>
        <w:t xml:space="preserve"> technical issues</w:t>
      </w:r>
      <w:r>
        <w:rPr>
          <w:lang w:val="en-US" w:eastAsia="zh-CN"/>
        </w:rPr>
        <w:t xml:space="preserve"> in the EMC specification which were also rai</w:t>
      </w:r>
      <w:r>
        <w:rPr>
          <w:rFonts w:hint="eastAsia"/>
          <w:lang w:val="en-US" w:eastAsia="zh-CN"/>
        </w:rPr>
        <w:t>s</w:t>
      </w:r>
      <w:r>
        <w:rPr>
          <w:lang w:val="en-US" w:eastAsia="zh-CN"/>
        </w:rPr>
        <w:t>ed up in RAN#84 [7]</w:t>
      </w:r>
      <w:r>
        <w:rPr>
          <w:rFonts w:hint="eastAsia"/>
          <w:lang w:val="en-US" w:eastAsia="zh-CN"/>
        </w:rPr>
        <w:t xml:space="preserve"> </w:t>
      </w:r>
      <w:r>
        <w:rPr>
          <w:lang w:val="en-US" w:eastAsia="zh-CN"/>
        </w:rPr>
        <w:t xml:space="preserve">should be studied and concluded before the finalization of the EMC specification, and the proposed </w:t>
      </w:r>
      <w:r>
        <w:rPr>
          <w:rFonts w:hint="eastAsia"/>
          <w:lang w:val="en-US" w:eastAsia="zh-CN"/>
        </w:rPr>
        <w:t xml:space="preserve">timeline </w:t>
      </w:r>
      <w:r>
        <w:rPr>
          <w:lang w:val="en-US" w:eastAsia="zh-CN"/>
        </w:rPr>
        <w:t xml:space="preserve">is </w:t>
      </w:r>
      <w:r>
        <w:rPr>
          <w:rFonts w:hint="eastAsia"/>
          <w:lang w:val="en-US" w:eastAsia="zh-CN"/>
        </w:rPr>
        <w:t xml:space="preserve">shown in Table </w:t>
      </w:r>
      <w:r>
        <w:rPr>
          <w:lang w:val="en-US" w:eastAsia="zh-CN"/>
        </w:rPr>
        <w:t>4</w:t>
      </w:r>
      <w:r>
        <w:rPr>
          <w:rFonts w:hint="eastAsia"/>
          <w:lang w:val="en-US" w:eastAsia="zh-CN"/>
        </w:rPr>
        <w:t xml:space="preserve">.  </w:t>
      </w:r>
    </w:p>
    <w:p>
      <w:pPr>
        <w:jc w:val="center"/>
        <w:rPr>
          <w:lang w:val="en-US" w:eastAsia="zh-CN"/>
        </w:rPr>
      </w:pPr>
      <w:r>
        <w:rPr>
          <w:rFonts w:hint="eastAsia"/>
          <w:lang w:val="en-US" w:eastAsia="zh-CN"/>
        </w:rPr>
        <w:t xml:space="preserve">Table </w:t>
      </w:r>
      <w:r>
        <w:rPr>
          <w:lang w:val="en-US" w:eastAsia="zh-CN"/>
        </w:rPr>
        <w:t>4</w:t>
      </w:r>
      <w:r>
        <w:rPr>
          <w:rFonts w:hint="eastAsia"/>
          <w:lang w:val="en-US" w:eastAsia="zh-CN"/>
        </w:rPr>
        <w:t xml:space="preserve">: Timeline for </w:t>
      </w:r>
      <w:r>
        <w:rPr>
          <w:lang w:val="en-US" w:eastAsia="zh-CN"/>
        </w:rPr>
        <w:t xml:space="preserve">concluding </w:t>
      </w:r>
      <w:r>
        <w:rPr>
          <w:rFonts w:hint="eastAsia"/>
          <w:lang w:val="en-US" w:eastAsia="zh-CN"/>
        </w:rPr>
        <w:t>EMC technical issues</w:t>
      </w:r>
    </w:p>
    <w:tbl>
      <w:tblPr>
        <w:tblStyle w:val="54"/>
        <w:tblW w:w="9425" w:type="dxa"/>
        <w:tblInd w:w="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5"/>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75" w:type="dxa"/>
            <w:shd w:val="clear" w:color="auto" w:fill="BEBEBE" w:themeFill="background1" w:themeFillShade="BF"/>
          </w:tcPr>
          <w:p>
            <w:pPr>
              <w:rPr>
                <w:lang w:val="en-US" w:eastAsia="zh-CN"/>
              </w:rPr>
            </w:pPr>
            <w:r>
              <w:rPr>
                <w:rFonts w:hint="eastAsia"/>
                <w:lang w:val="en-US" w:eastAsia="zh-CN"/>
              </w:rPr>
              <w:t>Technical issues</w:t>
            </w:r>
          </w:p>
        </w:tc>
        <w:tc>
          <w:tcPr>
            <w:tcW w:w="3450" w:type="dxa"/>
            <w:shd w:val="clear" w:color="auto" w:fill="BEBEBE" w:themeFill="background1" w:themeFillShade="BF"/>
          </w:tcPr>
          <w:p>
            <w:pPr>
              <w:rPr>
                <w:lang w:val="en-US" w:eastAsia="zh-CN"/>
              </w:rPr>
            </w:pPr>
            <w:r>
              <w:rPr>
                <w:rFonts w:hint="eastAsia"/>
                <w:lang w:val="en-US" w:eastAsia="zh-CN"/>
              </w:rPr>
              <w:t>Expected timeline for approval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75" w:type="dxa"/>
          </w:tcPr>
          <w:p>
            <w:pPr>
              <w:rPr>
                <w:lang w:val="en-US" w:eastAsia="zh-CN"/>
              </w:rPr>
            </w:pPr>
            <w:r>
              <w:rPr>
                <w:rFonts w:hint="eastAsia"/>
                <w:lang w:val="en-US" w:eastAsia="zh-CN"/>
              </w:rPr>
              <w:t xml:space="preserve"> RF RSE and EMC RE (refer to [7][8])</w:t>
            </w:r>
          </w:p>
        </w:tc>
        <w:tc>
          <w:tcPr>
            <w:tcW w:w="3450" w:type="dxa"/>
          </w:tcPr>
          <w:p>
            <w:pPr>
              <w:rPr>
                <w:lang w:val="en-US" w:eastAsia="zh-CN"/>
              </w:rPr>
            </w:pPr>
            <w:r>
              <w:rPr>
                <w:rFonts w:hint="eastAsia"/>
                <w:lang w:val="en-US" w:eastAsia="zh-CN"/>
              </w:rPr>
              <w:t>RAN4 meeting #8</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75" w:type="dxa"/>
          </w:tcPr>
          <w:p>
            <w:pPr>
              <w:rPr>
                <w:lang w:val="en-US" w:eastAsia="zh-CN"/>
              </w:rPr>
            </w:pPr>
            <w:r>
              <w:rPr>
                <w:rFonts w:hint="eastAsia"/>
                <w:lang w:val="en-US" w:eastAsia="zh-CN"/>
              </w:rPr>
              <w:t>Radiated immunity (refer to eAAS TR 37.843 [6])</w:t>
            </w:r>
          </w:p>
        </w:tc>
        <w:tc>
          <w:tcPr>
            <w:tcW w:w="3450" w:type="dxa"/>
          </w:tcPr>
          <w:p>
            <w:pPr>
              <w:rPr>
                <w:lang w:val="en-US" w:eastAsia="zh-CN"/>
              </w:rPr>
            </w:pPr>
            <w:r>
              <w:rPr>
                <w:rFonts w:hint="eastAsia" w:ascii="Arial" w:hAnsi="Arial" w:cs="Arial"/>
                <w:sz w:val="16"/>
                <w:szCs w:val="16"/>
                <w:lang w:eastAsia="ja-JP"/>
              </w:rPr>
              <w:t>TSG-RAN #</w:t>
            </w:r>
            <w:r>
              <w:rPr>
                <w:rFonts w:ascii="Arial" w:hAnsi="Arial" w:cs="Arial"/>
                <w:sz w:val="16"/>
                <w:szCs w:val="16"/>
                <w:lang w:eastAsia="ja-JP"/>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75" w:type="dxa"/>
          </w:tcPr>
          <w:p>
            <w:pPr>
              <w:rPr>
                <w:lang w:val="en-US" w:eastAsia="zh-CN"/>
              </w:rPr>
            </w:pPr>
            <w:r>
              <w:rPr>
                <w:rFonts w:hint="eastAsia"/>
                <w:lang w:val="en-US" w:eastAsia="zh-CN"/>
              </w:rPr>
              <w:t xml:space="preserve">Other immunity test set-up and configuration effected by RF exposure </w:t>
            </w:r>
          </w:p>
        </w:tc>
        <w:tc>
          <w:tcPr>
            <w:tcW w:w="3450" w:type="dxa"/>
          </w:tcPr>
          <w:p>
            <w:pPr>
              <w:rPr>
                <w:lang w:val="en-US" w:eastAsia="zh-CN"/>
              </w:rPr>
            </w:pPr>
            <w:r>
              <w:rPr>
                <w:rFonts w:hint="eastAsia" w:ascii="Arial" w:hAnsi="Arial" w:cs="Arial"/>
                <w:sz w:val="16"/>
                <w:szCs w:val="16"/>
                <w:lang w:eastAsia="ja-JP"/>
              </w:rPr>
              <w:t>TSG-RAN #</w:t>
            </w:r>
            <w:r>
              <w:rPr>
                <w:rFonts w:ascii="Arial" w:hAnsi="Arial" w:cs="Arial"/>
                <w:sz w:val="16"/>
                <w:szCs w:val="16"/>
                <w:lang w:eastAsia="ja-JP"/>
              </w:rPr>
              <w:t>7</w:t>
            </w:r>
            <w:r>
              <w:rPr>
                <w:rFonts w:hint="eastAsia" w:ascii="Arial" w:hAnsi="Arial" w:cs="Arial"/>
                <w:sz w:val="16"/>
                <w:szCs w:val="16"/>
                <w:lang w:val="en-US" w:eastAsia="zh-CN"/>
              </w:rPr>
              <w:t>9</w:t>
            </w:r>
          </w:p>
        </w:tc>
      </w:tr>
    </w:tbl>
    <w:p>
      <w:pPr>
        <w:rPr>
          <w:lang w:val="en-US" w:eastAsia="zh-CN"/>
        </w:rPr>
      </w:pPr>
    </w:p>
    <w:p>
      <w:pPr>
        <w:rPr>
          <w:b/>
          <w:bCs/>
          <w:lang w:val="en-US" w:eastAsia="zh-CN"/>
        </w:rPr>
      </w:pPr>
      <w:r>
        <w:rPr>
          <w:rFonts w:hint="eastAsia"/>
          <w:b/>
          <w:bCs/>
          <w:lang w:val="en-US" w:eastAsia="zh-CN"/>
        </w:rPr>
        <w:t>Proposal</w:t>
      </w:r>
      <w:r>
        <w:rPr>
          <w:b/>
          <w:bCs/>
          <w:lang w:val="en-US" w:eastAsia="zh-CN"/>
        </w:rPr>
        <w:t xml:space="preserve"> 2</w:t>
      </w:r>
      <w:r>
        <w:rPr>
          <w:rFonts w:hint="eastAsia"/>
          <w:b/>
          <w:bCs/>
          <w:lang w:val="en-US" w:eastAsia="zh-CN"/>
        </w:rPr>
        <w:t>: The</w:t>
      </w:r>
      <w:r>
        <w:rPr>
          <w:b/>
          <w:bCs/>
          <w:lang w:val="en-US" w:eastAsia="zh-CN"/>
        </w:rPr>
        <w:t xml:space="preserve"> identified</w:t>
      </w:r>
      <w:r>
        <w:rPr>
          <w:rFonts w:hint="eastAsia"/>
          <w:b/>
          <w:bCs/>
          <w:lang w:val="en-US" w:eastAsia="zh-CN"/>
        </w:rPr>
        <w:t xml:space="preserve"> EMC technical issues should be </w:t>
      </w:r>
      <w:r>
        <w:rPr>
          <w:b/>
          <w:bCs/>
          <w:lang w:val="en-US" w:eastAsia="zh-CN"/>
        </w:rPr>
        <w:t>studied and concluded</w:t>
      </w:r>
      <w:r>
        <w:rPr>
          <w:rFonts w:hint="eastAsia"/>
          <w:b/>
          <w:bCs/>
          <w:lang w:val="en-US" w:eastAsia="zh-CN"/>
        </w:rPr>
        <w:t xml:space="preserve"> according to the </w:t>
      </w:r>
      <w:r>
        <w:rPr>
          <w:b/>
          <w:bCs/>
          <w:lang w:val="en-US" w:eastAsia="zh-CN"/>
        </w:rPr>
        <w:t>proposed</w:t>
      </w:r>
      <w:r>
        <w:rPr>
          <w:rFonts w:hint="eastAsia"/>
          <w:b/>
          <w:bCs/>
          <w:lang w:val="en-US" w:eastAsia="zh-CN"/>
        </w:rPr>
        <w:t xml:space="preserve"> timeline. </w:t>
      </w:r>
    </w:p>
    <w:p>
      <w:pPr>
        <w:pStyle w:val="2"/>
        <w:rPr>
          <w:rFonts w:cs="Arial"/>
          <w:lang w:eastAsia="zh-CN"/>
        </w:rPr>
      </w:pPr>
      <w:r>
        <w:rPr>
          <w:rFonts w:cs="Arial"/>
          <w:lang w:eastAsia="zh-CN"/>
        </w:rPr>
        <w:t>Conclusion</w:t>
      </w:r>
    </w:p>
    <w:p>
      <w:pPr>
        <w:rPr>
          <w:color w:val="000000" w:themeColor="text1"/>
          <w:lang w:val="en-US" w:eastAsia="zh-CN"/>
        </w:rPr>
      </w:pPr>
      <w:r>
        <w:rPr>
          <w:color w:val="000000" w:themeColor="text1"/>
        </w:rPr>
        <w:t xml:space="preserve">Based on the discussion above, we have </w:t>
      </w:r>
      <w:r>
        <w:rPr>
          <w:rFonts w:hint="eastAsia"/>
          <w:color w:val="000000" w:themeColor="text1"/>
          <w:lang w:val="en-US" w:eastAsia="zh-CN"/>
        </w:rPr>
        <w:t xml:space="preserve">the </w:t>
      </w:r>
      <w:r>
        <w:rPr>
          <w:color w:val="000000" w:themeColor="text1"/>
          <w:lang w:val="en-US" w:eastAsia="zh-CN"/>
        </w:rPr>
        <w:t xml:space="preserve">following </w:t>
      </w:r>
      <w:r>
        <w:rPr>
          <w:rFonts w:hint="eastAsia"/>
          <w:color w:val="000000" w:themeColor="text1"/>
          <w:lang w:val="en-US" w:eastAsia="zh-CN"/>
        </w:rPr>
        <w:t xml:space="preserve">observations and proposal </w:t>
      </w:r>
      <w:r>
        <w:rPr>
          <w:color w:val="000000" w:themeColor="text1"/>
          <w:lang w:val="en-US" w:eastAsia="zh-CN"/>
        </w:rPr>
        <w:t>on the NR EMC specification:</w:t>
      </w:r>
      <w:r>
        <w:rPr>
          <w:rFonts w:hint="eastAsia"/>
          <w:color w:val="000000" w:themeColor="text1"/>
          <w:lang w:val="en-US" w:eastAsia="zh-CN"/>
        </w:rPr>
        <w:t xml:space="preserve"> </w:t>
      </w:r>
    </w:p>
    <w:p>
      <w:pPr>
        <w:rPr>
          <w:b/>
          <w:bCs/>
          <w:lang w:val="en-US" w:eastAsia="zh-CN"/>
        </w:rPr>
      </w:pPr>
      <w:r>
        <w:rPr>
          <w:b/>
          <w:bCs/>
          <w:lang w:val="en-US" w:eastAsia="zh-CN"/>
        </w:rPr>
        <w:t>Proposal</w:t>
      </w:r>
      <w:r>
        <w:rPr>
          <w:rFonts w:hint="eastAsia"/>
          <w:b/>
          <w:bCs/>
          <w:lang w:val="en-US" w:eastAsia="zh-CN"/>
        </w:rPr>
        <w:t xml:space="preserve"> 1: The completation of </w:t>
      </w:r>
      <w:r>
        <w:rPr>
          <w:b/>
          <w:bCs/>
          <w:lang w:val="en-US" w:eastAsia="zh-CN"/>
        </w:rPr>
        <w:t xml:space="preserve">TS 38.113 specification is expected to </w:t>
      </w:r>
      <w:r>
        <w:rPr>
          <w:rFonts w:hint="eastAsia"/>
          <w:b/>
          <w:bCs/>
          <w:lang w:val="en-US" w:eastAsia="zh-CN"/>
        </w:rPr>
        <w:t>refer to the timeline of TS 38.141.</w:t>
      </w:r>
    </w:p>
    <w:p>
      <w:pPr>
        <w:rPr>
          <w:lang w:val="en-US" w:eastAsia="zh-CN"/>
        </w:rPr>
      </w:pPr>
      <w:r>
        <w:rPr>
          <w:b/>
          <w:lang w:val="en-US" w:eastAsia="zh-CN"/>
        </w:rPr>
        <w:t>Observation 1</w:t>
      </w:r>
      <w:r>
        <w:rPr>
          <w:lang w:val="en-US" w:eastAsia="zh-CN"/>
        </w:rPr>
        <w:t xml:space="preserve">: </w:t>
      </w:r>
      <w:r>
        <w:rPr>
          <w:rFonts w:hint="eastAsia"/>
          <w:b/>
          <w:bCs/>
          <w:lang w:val="en-US" w:eastAsia="zh-CN"/>
        </w:rPr>
        <w:t xml:space="preserve">The progress of </w:t>
      </w:r>
      <w:r>
        <w:rPr>
          <w:b/>
          <w:bCs/>
          <w:lang w:val="en-US" w:eastAsia="zh-CN"/>
        </w:rPr>
        <w:t xml:space="preserve">TS 38.113 specification is </w:t>
      </w:r>
      <w:r>
        <w:rPr>
          <w:rFonts w:hint="eastAsia"/>
          <w:b/>
          <w:bCs/>
          <w:lang w:val="en-US" w:eastAsia="zh-CN"/>
        </w:rPr>
        <w:t>depended on the timeline of TS 37.114</w:t>
      </w:r>
      <w:r>
        <w:rPr>
          <w:lang w:val="en-US" w:eastAsia="zh-CN"/>
        </w:rPr>
        <w:t>.</w:t>
      </w:r>
    </w:p>
    <w:p>
      <w:pPr>
        <w:rPr>
          <w:b/>
          <w:bCs/>
          <w:lang w:val="en-US" w:eastAsia="zh-CN"/>
        </w:rPr>
      </w:pPr>
      <w:r>
        <w:rPr>
          <w:rFonts w:hint="eastAsia"/>
          <w:b/>
          <w:bCs/>
          <w:lang w:val="en-US" w:eastAsia="zh-CN"/>
        </w:rPr>
        <w:t>Proposal</w:t>
      </w:r>
      <w:r>
        <w:rPr>
          <w:b/>
          <w:bCs/>
          <w:lang w:val="en-US" w:eastAsia="zh-CN"/>
        </w:rPr>
        <w:t xml:space="preserve"> 2</w:t>
      </w:r>
      <w:r>
        <w:rPr>
          <w:rFonts w:hint="eastAsia"/>
          <w:b/>
          <w:bCs/>
          <w:lang w:val="en-US" w:eastAsia="zh-CN"/>
        </w:rPr>
        <w:t>: The</w:t>
      </w:r>
      <w:r>
        <w:rPr>
          <w:b/>
          <w:bCs/>
          <w:lang w:val="en-US" w:eastAsia="zh-CN"/>
        </w:rPr>
        <w:t xml:space="preserve"> identified</w:t>
      </w:r>
      <w:r>
        <w:rPr>
          <w:rFonts w:hint="eastAsia"/>
          <w:b/>
          <w:bCs/>
          <w:lang w:val="en-US" w:eastAsia="zh-CN"/>
        </w:rPr>
        <w:t xml:space="preserve"> EMC technical issues should be </w:t>
      </w:r>
      <w:r>
        <w:rPr>
          <w:b/>
          <w:bCs/>
          <w:lang w:val="en-US" w:eastAsia="zh-CN"/>
        </w:rPr>
        <w:t>studied and concluded</w:t>
      </w:r>
      <w:r>
        <w:rPr>
          <w:rFonts w:hint="eastAsia"/>
          <w:b/>
          <w:bCs/>
          <w:lang w:val="en-US" w:eastAsia="zh-CN"/>
        </w:rPr>
        <w:t xml:space="preserve"> according to the </w:t>
      </w:r>
      <w:r>
        <w:rPr>
          <w:b/>
          <w:bCs/>
          <w:lang w:val="en-US" w:eastAsia="zh-CN"/>
        </w:rPr>
        <w:t>proposed</w:t>
      </w:r>
      <w:r>
        <w:rPr>
          <w:rFonts w:hint="eastAsia"/>
          <w:b/>
          <w:bCs/>
          <w:lang w:val="en-US" w:eastAsia="zh-CN"/>
        </w:rPr>
        <w:t xml:space="preserve"> timeline. </w:t>
      </w:r>
    </w:p>
    <w:p>
      <w:pPr>
        <w:widowControl w:val="0"/>
        <w:spacing w:line="360" w:lineRule="auto"/>
        <w:jc w:val="both"/>
        <w:rPr>
          <w:lang w:val="en-US" w:eastAsia="zh-CN"/>
        </w:rPr>
      </w:pPr>
    </w:p>
    <w:p>
      <w:pPr>
        <w:pStyle w:val="2"/>
        <w:numPr>
          <w:ilvl w:val="0"/>
          <w:numId w:val="0"/>
        </w:numPr>
        <w:ind w:left="432" w:hanging="432"/>
        <w:rPr>
          <w:rFonts w:cs="Arial"/>
          <w:lang w:eastAsia="zh-CN"/>
        </w:rPr>
      </w:pPr>
      <w:r>
        <w:rPr>
          <w:rFonts w:cs="Arial"/>
          <w:lang w:eastAsia="zh-CN"/>
        </w:rPr>
        <w:t>References</w:t>
      </w:r>
    </w:p>
    <w:p>
      <w:pPr>
        <w:pStyle w:val="120"/>
        <w:numPr>
          <w:ilvl w:val="0"/>
          <w:numId w:val="0"/>
        </w:numPr>
        <w:tabs>
          <w:tab w:val="left" w:pos="720"/>
          <w:tab w:val="clear" w:pos="360"/>
        </w:tabs>
      </w:pPr>
    </w:p>
    <w:p>
      <w:pPr>
        <w:pStyle w:val="120"/>
        <w:numPr>
          <w:ilvl w:val="-1"/>
          <w:numId w:val="0"/>
        </w:numPr>
        <w:tabs>
          <w:tab w:val="left" w:pos="720"/>
          <w:tab w:val="clear" w:pos="360"/>
        </w:tabs>
        <w:ind w:left="0" w:firstLine="0"/>
      </w:pPr>
    </w:p>
    <w:p>
      <w:pPr>
        <w:pStyle w:val="120"/>
        <w:numPr>
          <w:ilvl w:val="0"/>
          <w:numId w:val="7"/>
        </w:numPr>
        <w:rPr>
          <w:lang w:eastAsia="zh-CN"/>
        </w:rPr>
      </w:pPr>
      <w:r>
        <w:rPr>
          <w:rFonts w:hint="eastAsia" w:eastAsia="宋体"/>
          <w:lang w:val="en-US" w:eastAsia="zh-CN"/>
        </w:rPr>
        <w:t>R4</w:t>
      </w:r>
      <w:r>
        <w:t>-1708861</w:t>
      </w:r>
      <w:r>
        <w:tab/>
      </w:r>
      <w:r>
        <w:tab/>
      </w:r>
      <w:r>
        <w:t>Proposal on  the skeleton of  NR BS EMC standard TS 38.1</w:t>
      </w:r>
      <w:r>
        <w:rPr>
          <w:rFonts w:hint="eastAsia" w:eastAsia="宋体"/>
          <w:lang w:val="en-US" w:eastAsia="zh-CN"/>
        </w:rPr>
        <w:t>13</w:t>
      </w:r>
    </w:p>
    <w:p>
      <w:pPr>
        <w:pStyle w:val="120"/>
        <w:numPr>
          <w:ilvl w:val="0"/>
          <w:numId w:val="7"/>
        </w:numPr>
        <w:rPr>
          <w:lang w:eastAsia="zh-CN"/>
        </w:rPr>
      </w:pPr>
      <w:r>
        <w:t>RP-171485         NR WI</w:t>
      </w:r>
      <w:r>
        <w:rPr>
          <w:rFonts w:hint="eastAsia" w:eastAsia="宋体"/>
          <w:lang w:val="en-US" w:eastAsia="zh-CN"/>
        </w:rPr>
        <w:t>D</w:t>
      </w:r>
    </w:p>
    <w:p>
      <w:pPr>
        <w:pStyle w:val="120"/>
        <w:numPr>
          <w:ilvl w:val="0"/>
          <w:numId w:val="7"/>
        </w:numPr>
        <w:rPr>
          <w:lang w:eastAsia="zh-CN"/>
        </w:rPr>
      </w:pPr>
      <w:r>
        <w:rPr>
          <w:rFonts w:hint="eastAsia"/>
          <w:lang w:val="en-US" w:eastAsia="zh-CN"/>
        </w:rPr>
        <w:t xml:space="preserve">TS 38.104 </w:t>
      </w:r>
    </w:p>
    <w:p>
      <w:pPr>
        <w:pStyle w:val="120"/>
        <w:numPr>
          <w:ilvl w:val="0"/>
          <w:numId w:val="7"/>
        </w:numPr>
        <w:rPr>
          <w:lang w:eastAsia="zh-CN"/>
        </w:rPr>
      </w:pPr>
      <w:r>
        <w:rPr>
          <w:rFonts w:hint="eastAsia"/>
          <w:lang w:val="en-US" w:eastAsia="zh-CN"/>
        </w:rPr>
        <w:t>TS 38.141</w:t>
      </w:r>
      <w:r>
        <w:rPr>
          <w:rFonts w:hint="eastAsia" w:eastAsia="宋体"/>
          <w:lang w:val="en-US" w:eastAsia="zh-CN"/>
        </w:rPr>
        <w:t xml:space="preserve"> </w:t>
      </w:r>
    </w:p>
    <w:p>
      <w:pPr>
        <w:pStyle w:val="120"/>
        <w:numPr>
          <w:ilvl w:val="0"/>
          <w:numId w:val="7"/>
        </w:numPr>
        <w:rPr>
          <w:lang w:eastAsia="zh-CN"/>
        </w:rPr>
      </w:pPr>
      <w:r>
        <w:rPr>
          <w:rFonts w:hint="eastAsia"/>
          <w:lang w:val="en-US" w:eastAsia="zh-CN"/>
        </w:rPr>
        <w:t>TS 37.114</w:t>
      </w:r>
    </w:p>
    <w:p>
      <w:pPr>
        <w:pStyle w:val="120"/>
        <w:numPr>
          <w:ilvl w:val="0"/>
          <w:numId w:val="7"/>
        </w:numPr>
        <w:rPr>
          <w:lang w:eastAsia="zh-CN"/>
        </w:rPr>
      </w:pPr>
      <w:r>
        <w:rPr>
          <w:rFonts w:hint="eastAsia"/>
          <w:lang w:val="en-US" w:eastAsia="zh-CN"/>
        </w:rPr>
        <w:t>TR 37.843</w:t>
      </w:r>
      <w:r>
        <w:rPr>
          <w:rFonts w:hint="eastAsia" w:eastAsia="宋体"/>
          <w:lang w:val="en-US" w:eastAsia="zh-CN"/>
        </w:rPr>
        <w:t xml:space="preserve"> </w:t>
      </w:r>
    </w:p>
    <w:p>
      <w:pPr>
        <w:pStyle w:val="120"/>
        <w:numPr>
          <w:ilvl w:val="0"/>
          <w:numId w:val="7"/>
        </w:numPr>
        <w:rPr>
          <w:sz w:val="21"/>
          <w:szCs w:val="22"/>
          <w:lang w:val="en-US" w:eastAsia="zh-CN"/>
        </w:rPr>
      </w:pPr>
      <w:r>
        <w:rPr>
          <w:rFonts w:hint="eastAsia"/>
          <w:sz w:val="21"/>
          <w:szCs w:val="22"/>
          <w:lang w:val="en-US" w:eastAsia="zh-CN"/>
        </w:rPr>
        <w:t xml:space="preserve">R4-1708190    Proposal on the removal of EMC radiated emission requirement for BS in TS 38.113 </w:t>
      </w:r>
    </w:p>
    <w:p>
      <w:pPr>
        <w:pStyle w:val="120"/>
        <w:numPr>
          <w:ilvl w:val="0"/>
          <w:numId w:val="7"/>
        </w:numPr>
        <w:rPr>
          <w:sz w:val="21"/>
          <w:szCs w:val="22"/>
          <w:lang w:val="en-US" w:eastAsia="zh-CN"/>
        </w:rPr>
      </w:pPr>
      <w:r>
        <w:rPr>
          <w:rFonts w:hint="eastAsia"/>
          <w:sz w:val="21"/>
          <w:szCs w:val="22"/>
          <w:lang w:val="en-US" w:eastAsia="zh-CN"/>
        </w:rPr>
        <w:t>R4-1709596   Further consideration on EMC RE requirement for OTA BS in TS 38.113</w:t>
      </w:r>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MS LineDraw">
    <w:altName w:val="Latha"/>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altName w:val="Calibri"/>
    <w:panose1 w:val="020F0302020204030204"/>
    <w:charset w:val="00"/>
    <w:family w:val="auto"/>
    <w:pitch w:val="default"/>
    <w:sig w:usb0="00000000" w:usb1="00000000" w:usb2="00000000" w:usb3="00000000" w:csb0="2000019F" w:csb1="00000000"/>
  </w:font>
  <w:font w:name="微软雅黑">
    <w:panose1 w:val="020B0503020204020204"/>
    <w:charset w:val="86"/>
    <w:family w:val="auto"/>
    <w:pitch w:val="default"/>
    <w:sig w:usb0="80000287" w:usb1="2A0F3C52" w:usb2="00000016" w:usb3="00000000" w:csb0="0004001F" w:csb1="00000000"/>
  </w:font>
  <w:font w:name="Segoe Print">
    <w:altName w:val="Verdana"/>
    <w:panose1 w:val="02000600000000000000"/>
    <w:charset w:val="00"/>
    <w:family w:val="auto"/>
    <w:pitch w:val="default"/>
    <w:sig w:usb0="00000000" w:usb1="00000000" w:usb2="00000000" w:usb3="00000000" w:csb0="2000009F" w:csb1="47010000"/>
  </w:font>
  <w:font w:name="Latha">
    <w:panose1 w:val="02000400000000000000"/>
    <w:charset w:val="00"/>
    <w:family w:val="auto"/>
    <w:pitch w:val="default"/>
    <w:sig w:usb0="001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5">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D1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4FB2"/>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6FF7"/>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3EB5"/>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3DB6"/>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0E2"/>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528"/>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7A7"/>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2A2"/>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16"/>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31E"/>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3EA0"/>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6F5"/>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4E86"/>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84B"/>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4E5"/>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6F38"/>
    <w:rsid w:val="008770FB"/>
    <w:rsid w:val="008771D9"/>
    <w:rsid w:val="00880485"/>
    <w:rsid w:val="00880F8C"/>
    <w:rsid w:val="008813C1"/>
    <w:rsid w:val="0088176C"/>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D98"/>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3F7"/>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388"/>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DB2"/>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BCC"/>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AC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47DA1"/>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957"/>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0DA1"/>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14F5E46"/>
    <w:rsid w:val="059D2FF1"/>
    <w:rsid w:val="06FB1A29"/>
    <w:rsid w:val="0AD30F7D"/>
    <w:rsid w:val="0BEA22E8"/>
    <w:rsid w:val="10BE66E7"/>
    <w:rsid w:val="11AD43EE"/>
    <w:rsid w:val="12485187"/>
    <w:rsid w:val="12EC2312"/>
    <w:rsid w:val="130359D2"/>
    <w:rsid w:val="1D0F5B8F"/>
    <w:rsid w:val="277F6D29"/>
    <w:rsid w:val="2BFB3CA4"/>
    <w:rsid w:val="2C970937"/>
    <w:rsid w:val="34565A31"/>
    <w:rsid w:val="350969F0"/>
    <w:rsid w:val="3DB753E7"/>
    <w:rsid w:val="42D0126D"/>
    <w:rsid w:val="43855371"/>
    <w:rsid w:val="4436078A"/>
    <w:rsid w:val="4DC07E3A"/>
    <w:rsid w:val="5033314D"/>
    <w:rsid w:val="5D777372"/>
    <w:rsid w:val="5F396C44"/>
    <w:rsid w:val="646E0082"/>
    <w:rsid w:val="67DF1F4B"/>
    <w:rsid w:val="69162F25"/>
    <w:rsid w:val="6E567166"/>
    <w:rsid w:val="73CB6E59"/>
    <w:rsid w:val="765E38DA"/>
    <w:rsid w:val="771B25CD"/>
    <w:rsid w:val="78A9240D"/>
    <w:rsid w:val="799A2141"/>
    <w:rsid w:val="7A892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31085-B7A3-4575-A820-7BE5DDA2585B}">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681</Words>
  <Characters>3883</Characters>
  <Lines>32</Lines>
  <Paragraphs>9</Paragraphs>
  <ScaleCrop>false</ScaleCrop>
  <LinksUpToDate>false</LinksUpToDate>
  <CharactersWithSpaces>4555</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00081860</cp:lastModifiedBy>
  <cp:lastPrinted>2015-01-14T11:53:00Z</cp:lastPrinted>
  <dcterms:modified xsi:type="dcterms:W3CDTF">2017-09-11T09:50:22Z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2052-10.8.0.6206</vt:lpwstr>
  </property>
</Properties>
</file>