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310D3935"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 xml:space="preserve">3GPP TSG RAN WG4 Meeting </w:t>
      </w:r>
      <w:r w:rsidR="00ED647C">
        <w:rPr>
          <w:rFonts w:eastAsia="Malgun Gothic"/>
          <w:b/>
          <w:bCs/>
          <w:sz w:val="28"/>
          <w:lang w:val="en-GB"/>
        </w:rPr>
        <w:t>AH-1807</w:t>
      </w:r>
      <w:r w:rsidRPr="00DE4417">
        <w:rPr>
          <w:rFonts w:eastAsia="Malgun Gothic"/>
          <w:b/>
          <w:bCs/>
          <w:sz w:val="28"/>
          <w:lang w:val="en-GB" w:eastAsia="ko-KR"/>
        </w:rPr>
        <w:tab/>
      </w:r>
      <w:r w:rsidR="00890529">
        <w:rPr>
          <w:rFonts w:eastAsia="Malgun Gothic"/>
          <w:b/>
          <w:bCs/>
          <w:sz w:val="28"/>
          <w:lang w:val="en-GB"/>
        </w:rPr>
        <w:t>R4-1809258</w:t>
      </w:r>
      <w:bookmarkStart w:id="0" w:name="_GoBack"/>
      <w:bookmarkEnd w:id="0"/>
    </w:p>
    <w:p w14:paraId="50CBE1C5" w14:textId="4734E8EE" w:rsidR="003E1A65" w:rsidRPr="00DE4417" w:rsidRDefault="00ED647C"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Montreal</w:t>
      </w:r>
      <w:r w:rsidR="003E1A65" w:rsidRPr="00DE4417">
        <w:rPr>
          <w:rFonts w:eastAsia="Malgun Gothic"/>
          <w:b/>
          <w:bCs/>
          <w:sz w:val="28"/>
          <w:lang w:val="en-GB" w:eastAsia="ko-KR"/>
        </w:rPr>
        <w:t xml:space="preserve">, </w:t>
      </w:r>
      <w:r>
        <w:rPr>
          <w:rFonts w:eastAsia="Malgun Gothic"/>
          <w:b/>
          <w:bCs/>
          <w:sz w:val="28"/>
          <w:lang w:val="en-GB" w:eastAsia="ko-KR"/>
        </w:rPr>
        <w:t>Canada,</w:t>
      </w:r>
      <w:r w:rsidR="003E1A65" w:rsidRPr="00DE4417">
        <w:rPr>
          <w:rFonts w:eastAsia="Malgun Gothic"/>
          <w:b/>
          <w:bCs/>
          <w:sz w:val="28"/>
          <w:lang w:val="en-GB" w:eastAsia="ko-KR"/>
        </w:rPr>
        <w:t xml:space="preserve"> </w:t>
      </w:r>
      <w:r>
        <w:rPr>
          <w:rFonts w:eastAsia="Malgun Gothic"/>
          <w:b/>
          <w:bCs/>
          <w:sz w:val="28"/>
          <w:lang w:val="en-GB" w:eastAsia="ko-KR"/>
        </w:rPr>
        <w:t>02 – 06</w:t>
      </w:r>
      <w:r w:rsidR="00FC5279">
        <w:rPr>
          <w:rFonts w:eastAsia="Malgun Gothic"/>
          <w:b/>
          <w:bCs/>
          <w:sz w:val="28"/>
          <w:lang w:val="en-GB" w:eastAsia="ko-KR"/>
        </w:rPr>
        <w:t xml:space="preserve"> </w:t>
      </w:r>
      <w:r>
        <w:rPr>
          <w:rFonts w:eastAsia="Malgun Gothic"/>
          <w:b/>
          <w:bCs/>
          <w:sz w:val="28"/>
          <w:lang w:val="en-GB" w:eastAsia="ko-KR"/>
        </w:rPr>
        <w:t>Jul</w:t>
      </w:r>
      <w:r w:rsidR="00B32A3F">
        <w:rPr>
          <w:rFonts w:eastAsia="Malgun Gothic"/>
          <w:b/>
          <w:bCs/>
          <w:sz w:val="28"/>
          <w:lang w:val="en-GB" w:eastAsia="ko-KR"/>
        </w:rPr>
        <w:t>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C6AD64A" w:rsidR="00B81FC7" w:rsidRPr="00DE4417" w:rsidRDefault="00B81FC7" w:rsidP="008159B1">
      <w:pPr>
        <w:ind w:left="2160" w:hanging="2160"/>
        <w:rPr>
          <w:b/>
          <w:lang w:val="en-GB"/>
        </w:rPr>
      </w:pPr>
      <w:r w:rsidRPr="00DE4417">
        <w:rPr>
          <w:b/>
          <w:lang w:val="en-GB"/>
        </w:rPr>
        <w:t>Title:</w:t>
      </w:r>
      <w:r w:rsidRPr="00DE4417">
        <w:rPr>
          <w:b/>
          <w:lang w:val="en-GB"/>
        </w:rPr>
        <w:tab/>
      </w:r>
      <w:r w:rsidR="00ED647C">
        <w:rPr>
          <w:lang w:val="en-GB"/>
        </w:rPr>
        <w:t>On SNR definition for NR</w:t>
      </w:r>
    </w:p>
    <w:p w14:paraId="75E65FB7" w14:textId="0DB338E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4648DB">
        <w:rPr>
          <w:lang w:val="en-GB"/>
        </w:rPr>
        <w:t>5.4.1.2</w:t>
      </w:r>
    </w:p>
    <w:p w14:paraId="21F2DA1B" w14:textId="41DF70C9" w:rsidR="00B81FC7" w:rsidRPr="00DE4417" w:rsidRDefault="00B81FC7" w:rsidP="00B81FC7">
      <w:pPr>
        <w:rPr>
          <w:sz w:val="18"/>
          <w:szCs w:val="18"/>
          <w:lang w:val="en-GB"/>
        </w:rPr>
      </w:pPr>
      <w:r w:rsidRPr="00DE4417">
        <w:rPr>
          <w:b/>
          <w:lang w:val="en-GB"/>
        </w:rPr>
        <w:t>Document for:</w:t>
      </w:r>
      <w:r w:rsidRPr="00DE4417">
        <w:rPr>
          <w:lang w:val="en-GB"/>
        </w:rPr>
        <w:tab/>
      </w:r>
      <w:r w:rsidR="00ED647C">
        <w:rPr>
          <w:lang w:val="en-GB"/>
        </w:rPr>
        <w:t>Approval</w:t>
      </w:r>
    </w:p>
    <w:p w14:paraId="7CA60390" w14:textId="68FA0500" w:rsidR="00B81FC7" w:rsidRDefault="00B81FC7" w:rsidP="00B81FC7">
      <w:pPr>
        <w:pStyle w:val="berschrift1"/>
        <w:rPr>
          <w:rFonts w:cs="Arial"/>
        </w:rPr>
      </w:pPr>
      <w:r w:rsidRPr="00DE4417">
        <w:rPr>
          <w:rFonts w:cs="Arial"/>
        </w:rPr>
        <w:t>Introduction</w:t>
      </w:r>
    </w:p>
    <w:p w14:paraId="5A9ED0AD" w14:textId="75ADDB09" w:rsidR="00ED647C" w:rsidRPr="00ED647C" w:rsidRDefault="00777904" w:rsidP="00ED647C">
      <w:pPr>
        <w:rPr>
          <w:lang w:val="en-GB" w:eastAsia="en-US"/>
        </w:rPr>
      </w:pPr>
      <w:r>
        <w:rPr>
          <w:lang w:val="en-GB" w:eastAsia="en-US"/>
        </w:rPr>
        <w:t>In the last meetings the SNR limitations from a test setup point of view have been discussed in [1] and [2]. Also some preliminary agreements on the reference point for SNR have been made in [3]. In this contribution we discuss the need for a pr</w:t>
      </w:r>
      <w:r w:rsidR="00B172B9">
        <w:rPr>
          <w:lang w:val="en-GB" w:eastAsia="en-US"/>
        </w:rPr>
        <w:t>oper definition of SNR.</w:t>
      </w:r>
    </w:p>
    <w:p w14:paraId="59D92B3E" w14:textId="41CAD6E4" w:rsidR="00FC45FA" w:rsidRDefault="002A659B" w:rsidP="00FC45FA">
      <w:pPr>
        <w:pStyle w:val="berschrift1"/>
        <w:rPr>
          <w:rFonts w:cs="Arial"/>
        </w:rPr>
      </w:pPr>
      <w:bookmarkStart w:id="1" w:name="OLE_LINK10"/>
      <w:bookmarkStart w:id="2" w:name="OLE_LINK11"/>
      <w:r w:rsidRPr="00DE4417">
        <w:rPr>
          <w:rFonts w:cs="Arial"/>
        </w:rPr>
        <w:t>Discussion</w:t>
      </w:r>
    </w:p>
    <w:p w14:paraId="6769504A" w14:textId="57A1EF97" w:rsidR="00CE38FE" w:rsidRDefault="00CE38FE" w:rsidP="00CE38FE">
      <w:pPr>
        <w:pStyle w:val="berschrift2"/>
        <w:rPr>
          <w:lang w:val="en-US"/>
        </w:rPr>
      </w:pPr>
      <w:r>
        <w:rPr>
          <w:lang w:val="en-US"/>
        </w:rPr>
        <w:t>SNR definition</w:t>
      </w:r>
    </w:p>
    <w:p w14:paraId="69ECF233" w14:textId="4CBA48CC" w:rsidR="00C64B21" w:rsidRDefault="00C64B21" w:rsidP="00CE38FE">
      <w:pPr>
        <w:rPr>
          <w:lang w:eastAsia="en-US"/>
        </w:rPr>
      </w:pPr>
      <w:r>
        <w:rPr>
          <w:lang w:eastAsia="en-US"/>
        </w:rPr>
        <w:t>One other important aspect when it comes to SNR is a proper definition of the SNR itself so that it can be adjusted correctly in the test equipment. Below is the definition of SNR from 36.101 for LTE:</w:t>
      </w:r>
    </w:p>
    <w:p w14:paraId="5B838840" w14:textId="5ED675EC" w:rsidR="009E766D" w:rsidRPr="008779BB" w:rsidRDefault="009E766D" w:rsidP="003A600C">
      <w:pPr>
        <w:jc w:val="center"/>
        <w:rPr>
          <w:sz w:val="28"/>
          <w:lang w:eastAsia="en-US"/>
        </w:rPr>
      </w:pPr>
      <m:oMath>
        <m:r>
          <w:rPr>
            <w:rFonts w:ascii="Cambria Math" w:hAnsi="Cambria Math"/>
            <w:sz w:val="28"/>
            <w:lang w:eastAsia="en-US"/>
          </w:rPr>
          <m:t>SNR=</m:t>
        </m:r>
        <m:f>
          <m:fPr>
            <m:ctrlPr>
              <w:rPr>
                <w:rFonts w:ascii="Cambria Math" w:hAnsi="Cambria Math"/>
                <w:i/>
                <w:sz w:val="28"/>
                <w:lang w:eastAsia="en-US"/>
              </w:rPr>
            </m:ctrlPr>
          </m:fPr>
          <m:num>
            <m:nary>
              <m:naryPr>
                <m:chr m:val="∑"/>
                <m:limLoc m:val="undOvr"/>
                <m:ctrlPr>
                  <w:rPr>
                    <w:rFonts w:ascii="Cambria Math" w:hAnsi="Cambria Math"/>
                    <w:i/>
                    <w:sz w:val="28"/>
                    <w:lang w:eastAsia="en-US"/>
                  </w:rPr>
                </m:ctrlPr>
              </m:naryPr>
              <m:sub>
                <m:r>
                  <w:rPr>
                    <w:rFonts w:ascii="Cambria Math" w:hAnsi="Cambria Math"/>
                    <w:sz w:val="28"/>
                    <w:lang w:eastAsia="en-US"/>
                  </w:rPr>
                  <m:t>j=1</m:t>
                </m:r>
              </m:sub>
              <m:sup>
                <m:sSub>
                  <m:sSubPr>
                    <m:ctrlPr>
                      <w:rPr>
                        <w:rFonts w:ascii="Cambria Math" w:hAnsi="Cambria Math"/>
                        <w:i/>
                        <w:sz w:val="28"/>
                        <w:lang w:eastAsia="en-US"/>
                      </w:rPr>
                    </m:ctrlPr>
                  </m:sSubPr>
                  <m:e>
                    <m:r>
                      <w:rPr>
                        <w:rFonts w:ascii="Cambria Math" w:hAnsi="Cambria Math"/>
                        <w:sz w:val="28"/>
                        <w:lang w:eastAsia="en-US"/>
                      </w:rPr>
                      <m:t>N</m:t>
                    </m:r>
                  </m:e>
                  <m:sub>
                    <m:r>
                      <w:rPr>
                        <w:rFonts w:ascii="Cambria Math" w:hAnsi="Cambria Math"/>
                        <w:sz w:val="28"/>
                        <w:lang w:eastAsia="en-US"/>
                      </w:rPr>
                      <m:t>Rx</m:t>
                    </m:r>
                  </m:sub>
                </m:sSub>
              </m:sup>
              <m:e>
                <m:sSubSup>
                  <m:sSubSupPr>
                    <m:ctrlPr>
                      <w:rPr>
                        <w:rFonts w:ascii="Cambria Math" w:hAnsi="Cambria Math"/>
                        <w:i/>
                        <w:sz w:val="28"/>
                        <w:lang w:eastAsia="en-US"/>
                      </w:rPr>
                    </m:ctrlPr>
                  </m:sSubSupPr>
                  <m:e>
                    <m:acc>
                      <m:accPr>
                        <m:ctrlPr>
                          <w:rPr>
                            <w:rFonts w:ascii="Cambria Math" w:hAnsi="Cambria Math"/>
                            <w:i/>
                            <w:sz w:val="28"/>
                            <w:lang w:eastAsia="en-US"/>
                          </w:rPr>
                        </m:ctrlPr>
                      </m:accPr>
                      <m:e>
                        <m:r>
                          <w:rPr>
                            <w:rFonts w:ascii="Cambria Math" w:hAnsi="Cambria Math"/>
                            <w:sz w:val="28"/>
                            <w:lang w:eastAsia="en-US"/>
                          </w:rPr>
                          <m:t>E</m:t>
                        </m:r>
                      </m:e>
                    </m:acc>
                  </m:e>
                  <m:sub>
                    <m:r>
                      <w:rPr>
                        <w:rFonts w:ascii="Cambria Math" w:hAnsi="Cambria Math"/>
                        <w:sz w:val="28"/>
                        <w:lang w:eastAsia="en-US"/>
                      </w:rPr>
                      <m:t>s</m:t>
                    </m:r>
                  </m:sub>
                  <m:sup>
                    <m:r>
                      <w:rPr>
                        <w:rFonts w:ascii="Cambria Math" w:hAnsi="Cambria Math"/>
                        <w:sz w:val="28"/>
                        <w:lang w:eastAsia="en-US"/>
                      </w:rPr>
                      <m:t>(j)</m:t>
                    </m:r>
                  </m:sup>
                </m:sSubSup>
              </m:e>
            </m:nary>
          </m:num>
          <m:den>
            <m:nary>
              <m:naryPr>
                <m:chr m:val="∑"/>
                <m:limLoc m:val="undOvr"/>
                <m:ctrlPr>
                  <w:rPr>
                    <w:rFonts w:ascii="Cambria Math" w:hAnsi="Cambria Math"/>
                    <w:i/>
                    <w:sz w:val="28"/>
                    <w:lang w:eastAsia="en-US"/>
                  </w:rPr>
                </m:ctrlPr>
              </m:naryPr>
              <m:sub>
                <m:r>
                  <w:rPr>
                    <w:rFonts w:ascii="Cambria Math" w:hAnsi="Cambria Math"/>
                    <w:sz w:val="28"/>
                    <w:lang w:eastAsia="en-US"/>
                  </w:rPr>
                  <m:t>j=1</m:t>
                </m:r>
              </m:sub>
              <m:sup>
                <m:sSub>
                  <m:sSubPr>
                    <m:ctrlPr>
                      <w:rPr>
                        <w:rFonts w:ascii="Cambria Math" w:hAnsi="Cambria Math"/>
                        <w:i/>
                        <w:sz w:val="28"/>
                        <w:lang w:eastAsia="en-US"/>
                      </w:rPr>
                    </m:ctrlPr>
                  </m:sSubPr>
                  <m:e>
                    <m:r>
                      <w:rPr>
                        <w:rFonts w:ascii="Cambria Math" w:hAnsi="Cambria Math"/>
                        <w:sz w:val="28"/>
                        <w:lang w:eastAsia="en-US"/>
                      </w:rPr>
                      <m:t>N</m:t>
                    </m:r>
                  </m:e>
                  <m:sub>
                    <m:r>
                      <w:rPr>
                        <w:rFonts w:ascii="Cambria Math" w:hAnsi="Cambria Math"/>
                        <w:sz w:val="28"/>
                        <w:lang w:eastAsia="en-US"/>
                      </w:rPr>
                      <m:t>Rx</m:t>
                    </m:r>
                  </m:sub>
                </m:sSub>
              </m:sup>
              <m:e>
                <m:sSubSup>
                  <m:sSubSupPr>
                    <m:ctrlPr>
                      <w:rPr>
                        <w:rFonts w:ascii="Cambria Math" w:hAnsi="Cambria Math"/>
                        <w:i/>
                        <w:sz w:val="28"/>
                        <w:lang w:eastAsia="en-US"/>
                      </w:rPr>
                    </m:ctrlPr>
                  </m:sSubSupPr>
                  <m:e>
                    <m:r>
                      <w:rPr>
                        <w:rFonts w:ascii="Cambria Math" w:hAnsi="Cambria Math"/>
                        <w:sz w:val="28"/>
                        <w:lang w:eastAsia="en-US"/>
                      </w:rPr>
                      <m:t>N</m:t>
                    </m:r>
                  </m:e>
                  <m:sub>
                    <m:r>
                      <w:rPr>
                        <w:rFonts w:ascii="Cambria Math" w:hAnsi="Cambria Math"/>
                        <w:sz w:val="28"/>
                        <w:lang w:eastAsia="en-US"/>
                      </w:rPr>
                      <m:t>oc</m:t>
                    </m:r>
                  </m:sub>
                  <m:sup>
                    <m:r>
                      <w:rPr>
                        <w:rFonts w:ascii="Cambria Math" w:hAnsi="Cambria Math"/>
                        <w:sz w:val="28"/>
                        <w:lang w:eastAsia="en-US"/>
                      </w:rPr>
                      <m:t>(j)</m:t>
                    </m:r>
                  </m:sup>
                </m:sSubSup>
              </m:e>
            </m:nary>
          </m:den>
        </m:f>
        <m:r>
          <w:rPr>
            <w:rFonts w:ascii="Cambria Math" w:hAnsi="Cambria Math"/>
            <w:sz w:val="28"/>
            <w:lang w:eastAsia="en-US"/>
          </w:rPr>
          <m:t xml:space="preserve"> </m:t>
        </m:r>
      </m:oMath>
      <w:r w:rsidR="003A600C">
        <w:rPr>
          <w:sz w:val="28"/>
          <w:lang w:eastAsia="en-US"/>
        </w:rPr>
        <w:t>,</w:t>
      </w:r>
    </w:p>
    <w:p w14:paraId="48472B57" w14:textId="6D2B4DBE" w:rsidR="008779BB" w:rsidRPr="003A600C" w:rsidRDefault="003A600C" w:rsidP="00CE38FE">
      <w:pPr>
        <w:rPr>
          <w:lang w:eastAsia="en-US"/>
        </w:rPr>
      </w:pPr>
      <w:r w:rsidRPr="003A600C">
        <w:rPr>
          <w:lang w:eastAsia="en-US"/>
        </w:rPr>
        <w:t>With the following definitions according to 36.101:</w:t>
      </w:r>
    </w:p>
    <w:p w14:paraId="17700C92" w14:textId="77777777" w:rsidR="003A600C" w:rsidRDefault="003A600C" w:rsidP="003A600C">
      <w:r w:rsidRPr="00386595">
        <w:rPr>
          <w:position w:val="-12"/>
        </w:rPr>
        <w:object w:dxaOrig="300" w:dyaOrig="400" w14:anchorId="40EB1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20.4pt" o:ole="">
            <v:imagedata r:id="rId8" o:title=""/>
          </v:shape>
          <o:OLEObject Type="Embed" ProgID="Equation.3" ShapeID="_x0000_i1025" DrawAspect="Content" ObjectID="_1591467458" r:id="rId9"/>
        </w:object>
      </w:r>
      <w:r>
        <w:t>:</w:t>
      </w:r>
    </w:p>
    <w:p w14:paraId="7EEDEB8C" w14:textId="194FD1AE" w:rsidR="003A600C" w:rsidRDefault="003A600C" w:rsidP="003A600C">
      <w:pPr>
        <w:rPr>
          <w:rFonts w:ascii="Times New Roman" w:eastAsia="Times New Roman" w:hAnsi="Times New Roman" w:cs="Times New Roman"/>
          <w:sz w:val="20"/>
          <w:szCs w:val="20"/>
          <w:lang w:val="en-GB" w:eastAsia="ko-KR"/>
        </w:rPr>
      </w:pPr>
      <w:r w:rsidRPr="003A600C">
        <w:rPr>
          <w:rFonts w:ascii="Times New Roman" w:eastAsia="Times New Roman" w:hAnsi="Times New Roman" w:cs="Times New Roman"/>
          <w:sz w:val="20"/>
          <w:szCs w:val="20"/>
          <w:lang w:val="en-GB" w:eastAsia="ko-KR"/>
        </w:rPr>
        <w:t>The</w:t>
      </w:r>
      <w:r w:rsidRPr="003A600C">
        <w:rPr>
          <w:rFonts w:ascii="Times New Roman" w:eastAsia="Times New Roman" w:hAnsi="Times New Roman" w:cs="Times New Roman" w:hint="eastAsia"/>
          <w:sz w:val="20"/>
          <w:szCs w:val="20"/>
          <w:lang w:val="en-GB"/>
        </w:rPr>
        <w:t xml:space="preserve"> averaged</w:t>
      </w:r>
      <w:r w:rsidRPr="003A600C">
        <w:rPr>
          <w:rFonts w:ascii="Times New Roman" w:eastAsia="Times New Roman" w:hAnsi="Times New Roman" w:cs="Times New Roman"/>
          <w:sz w:val="20"/>
          <w:szCs w:val="20"/>
          <w:lang w:val="en-GB" w:eastAsia="ko-KR"/>
        </w:rPr>
        <w:t xml:space="preserve"> received energy per RE of the wanted signal during the useful part of the symbol, i.e. excluding the cyclic prefix</w:t>
      </w:r>
      <w:r w:rsidRPr="003A600C">
        <w:rPr>
          <w:rFonts w:ascii="Times New Roman" w:eastAsia="Times New Roman" w:hAnsi="Times New Roman" w:cs="Times New Roman" w:hint="eastAsia"/>
          <w:sz w:val="20"/>
          <w:szCs w:val="20"/>
          <w:lang w:val="en-GB"/>
        </w:rPr>
        <w:t>,</w:t>
      </w:r>
      <w:r w:rsidRPr="003A600C">
        <w:rPr>
          <w:rFonts w:ascii="Times New Roman" w:eastAsia="Times New Roman" w:hAnsi="Times New Roman" w:cs="Times New Roman"/>
          <w:sz w:val="20"/>
          <w:szCs w:val="20"/>
          <w:lang w:val="en-GB" w:eastAsia="ko-KR"/>
        </w:rPr>
        <w:t xml:space="preserve"> at the UE antenna connector</w:t>
      </w:r>
      <w:r w:rsidRPr="003A600C">
        <w:rPr>
          <w:rFonts w:ascii="Times New Roman" w:eastAsia="Times New Roman" w:hAnsi="Times New Roman" w:cs="Times New Roman" w:hint="eastAsia"/>
          <w:sz w:val="20"/>
          <w:szCs w:val="20"/>
          <w:lang w:val="en-GB"/>
        </w:rPr>
        <w:t>;</w:t>
      </w:r>
      <w:r w:rsidRPr="003A600C">
        <w:rPr>
          <w:rFonts w:ascii="Times New Roman" w:eastAsia="Times New Roman" w:hAnsi="Times New Roman" w:cs="Times New Roman"/>
          <w:sz w:val="20"/>
          <w:szCs w:val="20"/>
          <w:lang w:val="en-GB" w:eastAsia="ko-KR"/>
        </w:rPr>
        <w:t xml:space="preserve"> average power</w:t>
      </w:r>
      <w:r w:rsidRPr="003A600C">
        <w:rPr>
          <w:rFonts w:ascii="Times New Roman" w:eastAsia="Times New Roman" w:hAnsi="Times New Roman" w:cs="Times New Roman" w:hint="eastAsia"/>
          <w:sz w:val="20"/>
          <w:szCs w:val="20"/>
          <w:lang w:val="en-GB"/>
        </w:rPr>
        <w:t xml:space="preserve"> is computed</w:t>
      </w:r>
      <w:r w:rsidRPr="003A600C">
        <w:rPr>
          <w:rFonts w:ascii="Times New Roman" w:eastAsia="Times New Roman" w:hAnsi="Times New Roman" w:cs="Times New Roman"/>
          <w:sz w:val="20"/>
          <w:szCs w:val="20"/>
          <w:lang w:val="en-GB" w:eastAsia="ko-KR"/>
        </w:rPr>
        <w:t xml:space="preserve"> within</w:t>
      </w:r>
      <w:r w:rsidRPr="003A600C">
        <w:rPr>
          <w:rFonts w:ascii="Times New Roman" w:eastAsia="Times New Roman" w:hAnsi="Times New Roman" w:cs="Times New Roman" w:hint="eastAsia"/>
          <w:sz w:val="20"/>
          <w:szCs w:val="20"/>
          <w:lang w:val="en-GB"/>
        </w:rPr>
        <w:t xml:space="preserve"> a set of REs used for the transmission of physical channels (including user specific RSs when present)</w:t>
      </w:r>
      <w:r w:rsidRPr="003A600C">
        <w:rPr>
          <w:rFonts w:ascii="Times New Roman" w:eastAsia="Times New Roman" w:hAnsi="Times New Roman" w:cs="Times New Roman"/>
          <w:sz w:val="20"/>
          <w:szCs w:val="20"/>
          <w:lang w:val="en-GB" w:eastAsia="ko-KR"/>
        </w:rPr>
        <w:t>, divided by the number of RE</w:t>
      </w:r>
      <w:r w:rsidRPr="003A600C">
        <w:rPr>
          <w:rFonts w:ascii="Times New Roman" w:eastAsia="Times New Roman" w:hAnsi="Times New Roman" w:cs="Times New Roman" w:hint="eastAsia"/>
          <w:sz w:val="20"/>
          <w:szCs w:val="20"/>
          <w:lang w:val="en-GB"/>
        </w:rPr>
        <w:t>s within the set</w:t>
      </w:r>
      <w:r w:rsidRPr="003A600C">
        <w:rPr>
          <w:rFonts w:ascii="Times New Roman" w:eastAsia="Times New Roman" w:hAnsi="Times New Roman" w:cs="Times New Roman"/>
          <w:sz w:val="20"/>
          <w:szCs w:val="20"/>
          <w:lang w:val="en-GB" w:eastAsia="ko-KR"/>
        </w:rPr>
        <w:t>, and norma</w:t>
      </w:r>
      <w:r>
        <w:rPr>
          <w:rFonts w:ascii="Times New Roman" w:eastAsia="Times New Roman" w:hAnsi="Times New Roman" w:cs="Times New Roman"/>
          <w:sz w:val="20"/>
          <w:szCs w:val="20"/>
          <w:lang w:val="en-GB" w:eastAsia="ko-KR"/>
        </w:rPr>
        <w:t>lized to the subcarrier spacing.</w:t>
      </w:r>
    </w:p>
    <w:p w14:paraId="29E8510F" w14:textId="6549C18A" w:rsidR="003A600C" w:rsidRDefault="003A600C" w:rsidP="003A600C">
      <w:r w:rsidRPr="00386595">
        <w:rPr>
          <w:position w:val="-12"/>
        </w:rPr>
        <w:object w:dxaOrig="400" w:dyaOrig="360" w14:anchorId="7BA5D68F">
          <v:shape id="_x0000_i1026" type="#_x0000_t75" style="width:18.35pt;height:15.6pt" o:ole="">
            <v:imagedata r:id="rId10" o:title=""/>
          </v:shape>
          <o:OLEObject Type="Embed" ProgID="Equation.3" ShapeID="_x0000_i1026" DrawAspect="Content" ObjectID="_1591467459" r:id="rId11"/>
        </w:object>
      </w:r>
      <w:r>
        <w:t>:</w:t>
      </w:r>
    </w:p>
    <w:p w14:paraId="42F10D60" w14:textId="6D6CF915" w:rsidR="003A600C" w:rsidRDefault="003A600C" w:rsidP="003A600C">
      <w:pPr>
        <w:rPr>
          <w:rFonts w:ascii="Times New Roman" w:eastAsia="Times New Roman" w:hAnsi="Times New Roman" w:cs="Times New Roman"/>
          <w:sz w:val="20"/>
          <w:szCs w:val="20"/>
          <w:lang w:val="en-GB" w:eastAsia="ko-KR"/>
        </w:rPr>
      </w:pPr>
      <w:r w:rsidRPr="003A600C">
        <w:rPr>
          <w:rFonts w:ascii="Times New Roman" w:eastAsia="Times New Roman" w:hAnsi="Times New Roman" w:cs="Times New Roman"/>
          <w:sz w:val="20"/>
          <w:szCs w:val="20"/>
          <w:lang w:val="en-GB" w:eastAsia="ko-KR"/>
        </w:rPr>
        <w:t>The power spectral density of a white noise source (average power per RE normalised to the subcarrier spacing), simulating interference from cells that are not defined in a test procedure, as measured at the UE antenna connector</w:t>
      </w:r>
      <w:r>
        <w:rPr>
          <w:rFonts w:ascii="Times New Roman" w:eastAsia="Times New Roman" w:hAnsi="Times New Roman" w:cs="Times New Roman"/>
          <w:sz w:val="20"/>
          <w:szCs w:val="20"/>
          <w:lang w:val="en-GB" w:eastAsia="ko-KR"/>
        </w:rPr>
        <w:t>.</w:t>
      </w:r>
    </w:p>
    <w:p w14:paraId="147398C3" w14:textId="294BC59F" w:rsidR="00BD347F" w:rsidRDefault="00BD347F" w:rsidP="00BD347F">
      <w:pPr>
        <w:rPr>
          <w:lang w:eastAsia="en-US"/>
        </w:rPr>
      </w:pPr>
      <w:r>
        <w:rPr>
          <w:lang w:eastAsia="en-US"/>
        </w:rPr>
        <w:t>In 36.133 a definition like this is missing however in the test requirement tables the following definition can be found:</w:t>
      </w:r>
    </w:p>
    <w:p w14:paraId="606CCAEC" w14:textId="439FD4C0" w:rsidR="00BD347F" w:rsidRPr="00BD347F" w:rsidRDefault="00BD347F" w:rsidP="00BD347F">
      <w:pPr>
        <w:rPr>
          <w:rFonts w:ascii="Times New Roman" w:hAnsi="Times New Roman" w:cs="Times New Roman"/>
          <w:snapToGrid w:val="0"/>
          <w:sz w:val="20"/>
          <w:szCs w:val="20"/>
          <w:lang w:eastAsia="en-US"/>
        </w:rPr>
      </w:pPr>
      <w:r w:rsidRPr="00BD347F">
        <w:rPr>
          <w:rFonts w:ascii="Times New Roman" w:hAnsi="Times New Roman" w:cs="Times New Roman"/>
          <w:snapToGrid w:val="0"/>
          <w:sz w:val="20"/>
          <w:szCs w:val="20"/>
          <w:lang w:eastAsia="en-US"/>
        </w:rPr>
        <w:t>SNR levels correspond to the signal to noise ratio over the cell-specific reference signal REs.</w:t>
      </w:r>
    </w:p>
    <w:p w14:paraId="46A9D7A1" w14:textId="77777777" w:rsidR="00BD347F" w:rsidRDefault="003A600C" w:rsidP="003A600C">
      <w:pPr>
        <w:rPr>
          <w:lang w:eastAsia="en-US"/>
        </w:rPr>
      </w:pPr>
      <w:r>
        <w:rPr>
          <w:lang w:eastAsia="en-US"/>
        </w:rPr>
        <w:t xml:space="preserve">For NR it needs </w:t>
      </w:r>
      <w:r w:rsidR="00865FD8">
        <w:rPr>
          <w:lang w:eastAsia="en-US"/>
        </w:rPr>
        <w:t xml:space="preserve">to </w:t>
      </w:r>
      <w:r>
        <w:rPr>
          <w:lang w:eastAsia="en-US"/>
        </w:rPr>
        <w:t xml:space="preserve">be discussed whether </w:t>
      </w:r>
      <w:r w:rsidR="00BD347F">
        <w:rPr>
          <w:lang w:eastAsia="en-US"/>
        </w:rPr>
        <w:t xml:space="preserve">it is beneficial to have a unified definition of </w:t>
      </w:r>
      <w:r>
        <w:rPr>
          <w:lang w:eastAsia="en-US"/>
        </w:rPr>
        <w:t xml:space="preserve">SNR </w:t>
      </w:r>
      <w:r w:rsidR="00BD347F">
        <w:rPr>
          <w:lang w:eastAsia="en-US"/>
        </w:rPr>
        <w:t>that is applicable for RRM as well as for Demodulation requirements</w:t>
      </w:r>
      <w:r>
        <w:rPr>
          <w:lang w:eastAsia="en-US"/>
        </w:rPr>
        <w:t xml:space="preserve">. </w:t>
      </w:r>
    </w:p>
    <w:p w14:paraId="444A880F" w14:textId="1AA612CD" w:rsidR="003A600C" w:rsidRDefault="00BD347F" w:rsidP="003A600C">
      <w:pPr>
        <w:rPr>
          <w:lang w:eastAsia="en-US"/>
        </w:rPr>
      </w:pPr>
      <w:r>
        <w:rPr>
          <w:lang w:eastAsia="en-US"/>
        </w:rPr>
        <w:lastRenderedPageBreak/>
        <w:t xml:space="preserve">The common approach could be to define </w:t>
      </w:r>
      <w:r w:rsidR="003A600C">
        <w:rPr>
          <w:lang w:eastAsia="en-US"/>
        </w:rPr>
        <w:t>the SNR based on SSS EPRE. Based on clause 4 of [4] the powers of all the reference signals are given in</w:t>
      </w:r>
      <w:r w:rsidR="00DF2021">
        <w:rPr>
          <w:lang w:eastAsia="en-US"/>
        </w:rPr>
        <w:t xml:space="preserve"> relation to the SS/PBCH SSS EPRE</w:t>
      </w:r>
      <w:r w:rsidR="003A600C">
        <w:rPr>
          <w:lang w:eastAsia="en-US"/>
        </w:rPr>
        <w:t xml:space="preserve"> and the PDSCH EPRE is defined in relation to the power of the reference signals.</w:t>
      </w:r>
    </w:p>
    <w:p w14:paraId="7A527A64" w14:textId="77777777" w:rsidR="003A600C" w:rsidRDefault="003A600C" w:rsidP="003A600C">
      <w:pPr>
        <w:rPr>
          <w:lang w:eastAsia="en-US"/>
        </w:rPr>
      </w:pPr>
      <w:r>
        <w:rPr>
          <w:lang w:eastAsia="en-US"/>
        </w:rPr>
        <w:t>In our understanding the most straight forward way would be to define the SNR based on the following ratio</w:t>
      </w:r>
    </w:p>
    <w:p w14:paraId="492E5174" w14:textId="77777777" w:rsidR="003A600C" w:rsidRPr="00EF4DC8" w:rsidRDefault="003A600C" w:rsidP="003A600C">
      <w:pPr>
        <w:rPr>
          <w:sz w:val="28"/>
          <w:szCs w:val="28"/>
          <w:lang w:eastAsia="en-US"/>
        </w:rPr>
      </w:pPr>
      <m:oMathPara>
        <m:oMath>
          <m:r>
            <w:rPr>
              <w:rFonts w:ascii="Cambria Math" w:hAnsi="Cambria Math"/>
              <w:sz w:val="28"/>
              <w:szCs w:val="28"/>
              <w:lang w:eastAsia="en-US"/>
            </w:rPr>
            <m:t>SNR=</m:t>
          </m:r>
          <m:f>
            <m:fPr>
              <m:ctrlPr>
                <w:rPr>
                  <w:rFonts w:ascii="Cambria Math" w:hAnsi="Cambria Math"/>
                  <w:i/>
                  <w:sz w:val="28"/>
                  <w:szCs w:val="28"/>
                  <w:lang w:eastAsia="en-US"/>
                </w:rPr>
              </m:ctrlPr>
            </m:fPr>
            <m:num>
              <m:r>
                <w:rPr>
                  <w:rFonts w:ascii="Cambria Math" w:hAnsi="Cambria Math"/>
                  <w:sz w:val="28"/>
                  <w:szCs w:val="28"/>
                  <w:lang w:eastAsia="en-US"/>
                </w:rPr>
                <m:t>SS/PBCH SSS EPRE</m:t>
              </m:r>
            </m:num>
            <m:den>
              <m:r>
                <w:rPr>
                  <w:rFonts w:ascii="Cambria Math" w:hAnsi="Cambria Math"/>
                  <w:sz w:val="28"/>
                  <w:szCs w:val="28"/>
                  <w:lang w:eastAsia="en-US"/>
                </w:rPr>
                <m:t>Noise EPRE</m:t>
              </m:r>
            </m:den>
          </m:f>
        </m:oMath>
      </m:oMathPara>
    </w:p>
    <w:p w14:paraId="10F7A430" w14:textId="3BB2771E" w:rsidR="003A600C" w:rsidRDefault="003A600C" w:rsidP="003A600C">
      <w:pPr>
        <w:rPr>
          <w:lang w:eastAsia="en-US"/>
        </w:rPr>
      </w:pPr>
      <w:r>
        <w:rPr>
          <w:lang w:eastAsia="en-US"/>
        </w:rPr>
        <w:t>All other power levels could then be derived from this basic definition in a straightforward manner</w:t>
      </w:r>
      <w:r w:rsidR="00BD347F">
        <w:rPr>
          <w:lang w:eastAsia="en-US"/>
        </w:rPr>
        <w:t>, by specifying the corresponding parameters when required.</w:t>
      </w:r>
      <w:r w:rsidR="003644E5">
        <w:rPr>
          <w:lang w:eastAsia="en-US"/>
        </w:rPr>
        <w:t xml:space="preserve"> </w:t>
      </w:r>
    </w:p>
    <w:p w14:paraId="0549B3AE" w14:textId="1D1F3D83" w:rsidR="009D64EA" w:rsidRDefault="00EC6702" w:rsidP="00CE38FE">
      <w:pPr>
        <w:rPr>
          <w:lang w:eastAsia="en-US"/>
        </w:rPr>
      </w:pPr>
      <w:r>
        <w:rPr>
          <w:b/>
          <w:lang w:eastAsia="en-US"/>
        </w:rPr>
        <w:t>Proposal</w:t>
      </w:r>
      <w:r w:rsidR="009D64EA" w:rsidRPr="00CE38FE">
        <w:rPr>
          <w:b/>
          <w:lang w:eastAsia="en-US"/>
        </w:rPr>
        <w:t>:</w:t>
      </w:r>
      <w:r w:rsidR="009D64EA">
        <w:rPr>
          <w:b/>
          <w:lang w:eastAsia="en-US"/>
        </w:rPr>
        <w:t xml:space="preserve"> </w:t>
      </w:r>
      <w:r w:rsidR="009D64EA">
        <w:rPr>
          <w:lang w:eastAsia="en-US"/>
        </w:rPr>
        <w:t xml:space="preserve">Define SNR for NR </w:t>
      </w:r>
      <w:r w:rsidR="003A600C">
        <w:rPr>
          <w:lang w:eastAsia="en-US"/>
        </w:rPr>
        <w:t>based on the following equation</w:t>
      </w:r>
      <w:r w:rsidR="009D64EA">
        <w:rPr>
          <w:lang w:eastAsia="en-US"/>
        </w:rPr>
        <w:t xml:space="preserve"> </w:t>
      </w:r>
      <m:oMath>
        <m:r>
          <w:rPr>
            <w:rFonts w:ascii="Cambria Math" w:hAnsi="Cambria Math"/>
            <w:sz w:val="28"/>
            <w:szCs w:val="28"/>
            <w:lang w:eastAsia="en-US"/>
          </w:rPr>
          <m:t>SNR=</m:t>
        </m:r>
        <m:f>
          <m:fPr>
            <m:ctrlPr>
              <w:rPr>
                <w:rFonts w:ascii="Cambria Math" w:hAnsi="Cambria Math"/>
                <w:i/>
                <w:sz w:val="28"/>
                <w:szCs w:val="28"/>
                <w:lang w:eastAsia="en-US"/>
              </w:rPr>
            </m:ctrlPr>
          </m:fPr>
          <m:num>
            <m:r>
              <w:rPr>
                <w:rFonts w:ascii="Cambria Math" w:hAnsi="Cambria Math"/>
                <w:sz w:val="28"/>
                <w:szCs w:val="28"/>
                <w:lang w:eastAsia="en-US"/>
              </w:rPr>
              <m:t>SS/PBCH SSS EPRE</m:t>
            </m:r>
          </m:num>
          <m:den>
            <m:r>
              <w:rPr>
                <w:rFonts w:ascii="Cambria Math" w:hAnsi="Cambria Math"/>
                <w:sz w:val="28"/>
                <w:szCs w:val="28"/>
                <w:lang w:eastAsia="en-US"/>
              </w:rPr>
              <m:t>Noise EPRE</m:t>
            </m:r>
          </m:den>
        </m:f>
      </m:oMath>
      <w:r w:rsidR="009D64EA" w:rsidRPr="00CE38FE">
        <w:rPr>
          <w:lang w:eastAsia="en-US"/>
        </w:rPr>
        <w:t>.</w:t>
      </w:r>
    </w:p>
    <w:p w14:paraId="29FB2BEF" w14:textId="0CD7D44F" w:rsidR="00857A17" w:rsidRPr="003A600C" w:rsidRDefault="003A600C" w:rsidP="00CE38FE">
      <w:pPr>
        <w:rPr>
          <w:lang w:eastAsia="en-US"/>
        </w:rPr>
      </w:pPr>
      <w:r w:rsidRPr="003A600C">
        <w:rPr>
          <w:lang w:eastAsia="en-US"/>
        </w:rPr>
        <w:t>While the definition of the SNR may require further discussion, in the meantime it needs to be clear to everyone which SNR is actually being discussed, so it would be beneficial to indicate the SNR being discussed by adding an index, e.g. SNR</w:t>
      </w:r>
      <w:r w:rsidRPr="003A600C">
        <w:rPr>
          <w:vertAlign w:val="subscript"/>
          <w:lang w:eastAsia="en-US"/>
        </w:rPr>
        <w:t xml:space="preserve">SS </w:t>
      </w:r>
      <w:r w:rsidRPr="003A600C">
        <w:rPr>
          <w:lang w:eastAsia="en-US"/>
        </w:rPr>
        <w:t>or SNR</w:t>
      </w:r>
      <w:r w:rsidRPr="003A600C">
        <w:rPr>
          <w:vertAlign w:val="subscript"/>
          <w:lang w:eastAsia="en-US"/>
        </w:rPr>
        <w:t>PDSCH</w:t>
      </w:r>
      <w:r w:rsidRPr="003A600C">
        <w:rPr>
          <w:lang w:eastAsia="en-US"/>
        </w:rPr>
        <w:t>.</w:t>
      </w:r>
    </w:p>
    <w:bookmarkEnd w:id="1"/>
    <w:bookmarkEnd w:id="2"/>
    <w:p w14:paraId="6A30F3C3" w14:textId="35C58FA7" w:rsidR="00EE0AC3" w:rsidRDefault="00CE38FE" w:rsidP="00EE0AC3">
      <w:pPr>
        <w:pStyle w:val="berschrift1"/>
        <w:rPr>
          <w:rFonts w:cs="Arial"/>
        </w:rPr>
      </w:pPr>
      <w:r>
        <w:rPr>
          <w:rFonts w:cs="Arial"/>
        </w:rPr>
        <w:t>Conclusion</w:t>
      </w:r>
    </w:p>
    <w:p w14:paraId="423F2138" w14:textId="1AA48D08" w:rsidR="00DF2021" w:rsidRDefault="00EC6702" w:rsidP="00ED647C">
      <w:pPr>
        <w:rPr>
          <w:lang w:eastAsia="en-US"/>
        </w:rPr>
      </w:pPr>
      <w:r>
        <w:rPr>
          <w:lang w:eastAsia="en-US"/>
        </w:rPr>
        <w:t xml:space="preserve">In this paper we discussed the SNR definition for NR </w:t>
      </w:r>
      <w:r w:rsidR="00DF2021">
        <w:rPr>
          <w:lang w:eastAsia="en-US"/>
        </w:rPr>
        <w:t xml:space="preserve">and propose to base the SNR definition on the </w:t>
      </w:r>
      <w:r w:rsidR="00BD75F1">
        <w:rPr>
          <w:lang w:eastAsia="en-US"/>
        </w:rPr>
        <w:t>SSS EPRE.</w:t>
      </w:r>
    </w:p>
    <w:p w14:paraId="286F7D70" w14:textId="71F7DBBA" w:rsidR="00BD75F1" w:rsidRPr="00DF2021" w:rsidRDefault="00EC6702" w:rsidP="00ED647C">
      <w:pPr>
        <w:rPr>
          <w:lang w:eastAsia="en-US"/>
        </w:rPr>
      </w:pPr>
      <w:r>
        <w:rPr>
          <w:b/>
          <w:lang w:eastAsia="en-US"/>
        </w:rPr>
        <w:t>Proposal</w:t>
      </w:r>
      <w:r w:rsidR="00BD75F1" w:rsidRPr="00CE38FE">
        <w:rPr>
          <w:b/>
          <w:lang w:eastAsia="en-US"/>
        </w:rPr>
        <w:t>:</w:t>
      </w:r>
      <w:r w:rsidR="00BD75F1">
        <w:rPr>
          <w:b/>
          <w:lang w:eastAsia="en-US"/>
        </w:rPr>
        <w:t xml:space="preserve"> </w:t>
      </w:r>
      <w:r w:rsidR="00BD75F1">
        <w:rPr>
          <w:lang w:eastAsia="en-US"/>
        </w:rPr>
        <w:t xml:space="preserve">Define SNR for NR based on the following equation </w:t>
      </w:r>
      <m:oMath>
        <m:r>
          <w:rPr>
            <w:rFonts w:ascii="Cambria Math" w:hAnsi="Cambria Math"/>
            <w:sz w:val="28"/>
            <w:szCs w:val="28"/>
            <w:lang w:eastAsia="en-US"/>
          </w:rPr>
          <m:t>SNR=</m:t>
        </m:r>
        <m:f>
          <m:fPr>
            <m:ctrlPr>
              <w:rPr>
                <w:rFonts w:ascii="Cambria Math" w:hAnsi="Cambria Math"/>
                <w:i/>
                <w:sz w:val="28"/>
                <w:szCs w:val="28"/>
                <w:lang w:eastAsia="en-US"/>
              </w:rPr>
            </m:ctrlPr>
          </m:fPr>
          <m:num>
            <m:r>
              <w:rPr>
                <w:rFonts w:ascii="Cambria Math" w:hAnsi="Cambria Math"/>
                <w:sz w:val="28"/>
                <w:szCs w:val="28"/>
                <w:lang w:eastAsia="en-US"/>
              </w:rPr>
              <m:t>SS/PBCH SSS EPRE</m:t>
            </m:r>
          </m:num>
          <m:den>
            <m:r>
              <w:rPr>
                <w:rFonts w:ascii="Cambria Math" w:hAnsi="Cambria Math"/>
                <w:sz w:val="28"/>
                <w:szCs w:val="28"/>
                <w:lang w:eastAsia="en-US"/>
              </w:rPr>
              <m:t>Noise EPRE</m:t>
            </m:r>
          </m:den>
        </m:f>
      </m:oMath>
      <w:r w:rsidR="00BD75F1" w:rsidRPr="00CE38FE">
        <w:rPr>
          <w:lang w:eastAsia="en-US"/>
        </w:rPr>
        <w:t>.</w:t>
      </w:r>
    </w:p>
    <w:p w14:paraId="1559997D" w14:textId="4AF64BAF" w:rsidR="00030A7F" w:rsidRPr="00DE4417" w:rsidRDefault="00030A7F" w:rsidP="00711530">
      <w:pPr>
        <w:pStyle w:val="berschrift1"/>
        <w:numPr>
          <w:ilvl w:val="0"/>
          <w:numId w:val="0"/>
        </w:numPr>
        <w:rPr>
          <w:rFonts w:cs="Arial"/>
        </w:rPr>
      </w:pPr>
      <w:bookmarkStart w:id="3" w:name="_Ref473660868"/>
      <w:bookmarkStart w:id="4" w:name="_Ref473660708"/>
      <w:bookmarkStart w:id="5" w:name="OLE_LINK6"/>
      <w:bookmarkStart w:id="6" w:name="OLE_LINK7"/>
      <w:r w:rsidRPr="00DE4417">
        <w:rPr>
          <w:rFonts w:cs="Arial"/>
        </w:rPr>
        <w:t>References</w:t>
      </w:r>
    </w:p>
    <w:bookmarkEnd w:id="3"/>
    <w:bookmarkEnd w:id="4"/>
    <w:bookmarkEnd w:id="5"/>
    <w:bookmarkEnd w:id="6"/>
    <w:p w14:paraId="21B3076C" w14:textId="1E9DCB19" w:rsidR="008D6AB8" w:rsidRDefault="008D6AB8" w:rsidP="008D6AB8">
      <w:pPr>
        <w:pStyle w:val="Listenabsatz"/>
        <w:numPr>
          <w:ilvl w:val="0"/>
          <w:numId w:val="46"/>
        </w:numPr>
        <w:spacing w:after="0" w:line="240" w:lineRule="auto"/>
        <w:rPr>
          <w:lang w:val="en-GB"/>
        </w:rPr>
      </w:pPr>
      <w:r w:rsidRPr="009A37B8">
        <w:rPr>
          <w:lang w:val="en-GB"/>
        </w:rPr>
        <w:t>R4-180</w:t>
      </w:r>
      <w:r>
        <w:rPr>
          <w:lang w:val="en-GB"/>
        </w:rPr>
        <w:t>8403</w:t>
      </w:r>
      <w:r w:rsidRPr="009A37B8">
        <w:rPr>
          <w:lang w:val="en-GB"/>
        </w:rPr>
        <w:t>:</w:t>
      </w:r>
      <w:r w:rsidRPr="009A37B8">
        <w:rPr>
          <w:lang w:val="en-US"/>
        </w:rPr>
        <w:t xml:space="preserve"> </w:t>
      </w:r>
      <w:r w:rsidRPr="008D6AB8">
        <w:rPr>
          <w:lang w:val="en-GB"/>
        </w:rPr>
        <w:t>TP for TR 38.810 v2.1.0 on Demodulation and CSI Baseline setup;</w:t>
      </w:r>
      <w:r>
        <w:rPr>
          <w:lang w:val="en-GB"/>
        </w:rPr>
        <w:t xml:space="preserve"> Anritsu; </w:t>
      </w:r>
      <w:r w:rsidRPr="009A37B8">
        <w:rPr>
          <w:lang w:val="en-GB"/>
        </w:rPr>
        <w:t xml:space="preserve">RAN4 #87; </w:t>
      </w:r>
      <w:r>
        <w:rPr>
          <w:lang w:val="en-GB"/>
        </w:rPr>
        <w:t>Busan May 2018</w:t>
      </w:r>
    </w:p>
    <w:p w14:paraId="4E4B351E" w14:textId="7B7ABA08" w:rsidR="008D6AB8" w:rsidRDefault="008D6AB8" w:rsidP="008D6AB8">
      <w:pPr>
        <w:pStyle w:val="Listenabsatz"/>
        <w:numPr>
          <w:ilvl w:val="0"/>
          <w:numId w:val="46"/>
        </w:numPr>
        <w:spacing w:after="0" w:line="240" w:lineRule="auto"/>
        <w:rPr>
          <w:lang w:val="en-GB"/>
        </w:rPr>
      </w:pPr>
      <w:r w:rsidRPr="009A37B8">
        <w:rPr>
          <w:lang w:val="en-GB"/>
        </w:rPr>
        <w:t>R4-180</w:t>
      </w:r>
      <w:r>
        <w:rPr>
          <w:lang w:val="en-GB"/>
        </w:rPr>
        <w:t>7662</w:t>
      </w:r>
      <w:r w:rsidRPr="009A37B8">
        <w:rPr>
          <w:lang w:val="en-GB"/>
        </w:rPr>
        <w:t>:</w:t>
      </w:r>
      <w:r w:rsidRPr="009A37B8">
        <w:rPr>
          <w:lang w:val="en-US"/>
        </w:rPr>
        <w:t xml:space="preserve"> </w:t>
      </w:r>
      <w:r w:rsidRPr="008D6AB8">
        <w:rPr>
          <w:lang w:val="en-GB"/>
        </w:rPr>
        <w:t>Estimation of DL SNR and AWGN levels for demodulation and CSI requirements in FR2;</w:t>
      </w:r>
      <w:r>
        <w:rPr>
          <w:lang w:val="en-GB"/>
        </w:rPr>
        <w:t xml:space="preserve"> Rohde &amp; Schwarz; </w:t>
      </w:r>
      <w:r w:rsidRPr="009A37B8">
        <w:rPr>
          <w:lang w:val="en-GB"/>
        </w:rPr>
        <w:t xml:space="preserve">RAN4 #87; </w:t>
      </w:r>
      <w:r>
        <w:rPr>
          <w:lang w:val="en-GB"/>
        </w:rPr>
        <w:t>Busan May 2018</w:t>
      </w:r>
    </w:p>
    <w:p w14:paraId="58425537" w14:textId="77777777" w:rsidR="004A0AAA" w:rsidRDefault="004A0AAA" w:rsidP="004A0AAA">
      <w:pPr>
        <w:pStyle w:val="Listenabsatz"/>
        <w:numPr>
          <w:ilvl w:val="0"/>
          <w:numId w:val="46"/>
        </w:numPr>
        <w:spacing w:after="0" w:line="240" w:lineRule="auto"/>
        <w:rPr>
          <w:lang w:val="en-GB"/>
        </w:rPr>
      </w:pPr>
      <w:r w:rsidRPr="009A37B8">
        <w:rPr>
          <w:lang w:val="en-GB"/>
        </w:rPr>
        <w:t>R4-180</w:t>
      </w:r>
      <w:r>
        <w:rPr>
          <w:lang w:val="en-GB"/>
        </w:rPr>
        <w:t>8541</w:t>
      </w:r>
      <w:r w:rsidRPr="009A37B8">
        <w:rPr>
          <w:lang w:val="en-GB"/>
        </w:rPr>
        <w:t>:</w:t>
      </w:r>
      <w:r w:rsidRPr="009A37B8">
        <w:rPr>
          <w:lang w:val="en-US"/>
        </w:rPr>
        <w:t xml:space="preserve"> </w:t>
      </w:r>
      <w:r w:rsidRPr="009A37B8">
        <w:rPr>
          <w:lang w:val="en-GB"/>
        </w:rPr>
        <w:t>Way Forward on Concluding the NR Test Methods SI</w:t>
      </w:r>
      <w:r>
        <w:rPr>
          <w:lang w:val="en-GB"/>
        </w:rPr>
        <w:t xml:space="preserve">; </w:t>
      </w:r>
      <w:r w:rsidRPr="009A37B8">
        <w:rPr>
          <w:lang w:val="en-GB"/>
        </w:rPr>
        <w:t>Intel, CATR, Rohde &amp; Schwarz, Anritsu, Spir</w:t>
      </w:r>
      <w:r>
        <w:rPr>
          <w:lang w:val="en-GB"/>
        </w:rPr>
        <w:t xml:space="preserve">ent; </w:t>
      </w:r>
      <w:r w:rsidRPr="009A37B8">
        <w:rPr>
          <w:lang w:val="en-GB"/>
        </w:rPr>
        <w:t xml:space="preserve">RAN4 #87; </w:t>
      </w:r>
      <w:r>
        <w:rPr>
          <w:lang w:val="en-GB"/>
        </w:rPr>
        <w:t>Busan May 2018</w:t>
      </w:r>
    </w:p>
    <w:p w14:paraId="4CE29CD9" w14:textId="1B5D743C" w:rsidR="00EF4DC8" w:rsidRPr="00DE4417" w:rsidRDefault="00EF4DC8" w:rsidP="00ED647C">
      <w:pPr>
        <w:pStyle w:val="Listenabsatz"/>
        <w:numPr>
          <w:ilvl w:val="0"/>
          <w:numId w:val="46"/>
        </w:numPr>
        <w:spacing w:after="0" w:line="240" w:lineRule="auto"/>
        <w:rPr>
          <w:lang w:val="en-GB"/>
        </w:rPr>
      </w:pPr>
      <w:r>
        <w:rPr>
          <w:lang w:val="en-GB"/>
        </w:rPr>
        <w:t>TS 38.214 v.15.1.0</w:t>
      </w:r>
    </w:p>
    <w:sectPr w:rsidR="00EF4DC8" w:rsidRPr="00DE4417" w:rsidSect="003838EA">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2D24E" w14:textId="77777777" w:rsidR="00FF2BA7" w:rsidRDefault="00FF2BA7" w:rsidP="00371D7D">
      <w:r>
        <w:separator/>
      </w:r>
    </w:p>
  </w:endnote>
  <w:endnote w:type="continuationSeparator" w:id="0">
    <w:p w14:paraId="4FAFB82C" w14:textId="77777777" w:rsidR="00FF2BA7" w:rsidRDefault="00FF2BA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A640D44"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90529">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5137F" w14:textId="77777777" w:rsidR="00FF2BA7" w:rsidRDefault="00FF2BA7" w:rsidP="00371D7D">
      <w:r>
        <w:separator/>
      </w:r>
    </w:p>
  </w:footnote>
  <w:footnote w:type="continuationSeparator" w:id="0">
    <w:p w14:paraId="3942A92E" w14:textId="77777777" w:rsidR="00FF2BA7" w:rsidRDefault="00FF2BA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4454636"/>
    <w:multiLevelType w:val="hybridMultilevel"/>
    <w:tmpl w:val="8DF46C2E"/>
    <w:lvl w:ilvl="0" w:tplc="AA3A0CA0">
      <w:start w:val="1"/>
      <w:numFmt w:val="bullet"/>
      <w:lvlText w:val="–"/>
      <w:lvlJc w:val="left"/>
      <w:pPr>
        <w:tabs>
          <w:tab w:val="num" w:pos="720"/>
        </w:tabs>
        <w:ind w:left="720" w:hanging="360"/>
      </w:pPr>
      <w:rPr>
        <w:rFonts w:ascii="Arial" w:hAnsi="Arial" w:hint="default"/>
      </w:rPr>
    </w:lvl>
    <w:lvl w:ilvl="1" w:tplc="ACB8984A">
      <w:start w:val="1"/>
      <w:numFmt w:val="bullet"/>
      <w:lvlText w:val="–"/>
      <w:lvlJc w:val="left"/>
      <w:pPr>
        <w:tabs>
          <w:tab w:val="num" w:pos="1440"/>
        </w:tabs>
        <w:ind w:left="1440" w:hanging="360"/>
      </w:pPr>
      <w:rPr>
        <w:rFonts w:ascii="Arial" w:hAnsi="Arial" w:hint="default"/>
      </w:rPr>
    </w:lvl>
    <w:lvl w:ilvl="2" w:tplc="FDAEC096" w:tentative="1">
      <w:start w:val="1"/>
      <w:numFmt w:val="bullet"/>
      <w:lvlText w:val="–"/>
      <w:lvlJc w:val="left"/>
      <w:pPr>
        <w:tabs>
          <w:tab w:val="num" w:pos="2160"/>
        </w:tabs>
        <w:ind w:left="2160" w:hanging="360"/>
      </w:pPr>
      <w:rPr>
        <w:rFonts w:ascii="Arial" w:hAnsi="Arial" w:hint="default"/>
      </w:rPr>
    </w:lvl>
    <w:lvl w:ilvl="3" w:tplc="E47AC7DC" w:tentative="1">
      <w:start w:val="1"/>
      <w:numFmt w:val="bullet"/>
      <w:lvlText w:val="–"/>
      <w:lvlJc w:val="left"/>
      <w:pPr>
        <w:tabs>
          <w:tab w:val="num" w:pos="2880"/>
        </w:tabs>
        <w:ind w:left="2880" w:hanging="360"/>
      </w:pPr>
      <w:rPr>
        <w:rFonts w:ascii="Arial" w:hAnsi="Arial" w:hint="default"/>
      </w:rPr>
    </w:lvl>
    <w:lvl w:ilvl="4" w:tplc="B50C218E" w:tentative="1">
      <w:start w:val="1"/>
      <w:numFmt w:val="bullet"/>
      <w:lvlText w:val="–"/>
      <w:lvlJc w:val="left"/>
      <w:pPr>
        <w:tabs>
          <w:tab w:val="num" w:pos="3600"/>
        </w:tabs>
        <w:ind w:left="3600" w:hanging="360"/>
      </w:pPr>
      <w:rPr>
        <w:rFonts w:ascii="Arial" w:hAnsi="Arial" w:hint="default"/>
      </w:rPr>
    </w:lvl>
    <w:lvl w:ilvl="5" w:tplc="AE661036" w:tentative="1">
      <w:start w:val="1"/>
      <w:numFmt w:val="bullet"/>
      <w:lvlText w:val="–"/>
      <w:lvlJc w:val="left"/>
      <w:pPr>
        <w:tabs>
          <w:tab w:val="num" w:pos="4320"/>
        </w:tabs>
        <w:ind w:left="4320" w:hanging="360"/>
      </w:pPr>
      <w:rPr>
        <w:rFonts w:ascii="Arial" w:hAnsi="Arial" w:hint="default"/>
      </w:rPr>
    </w:lvl>
    <w:lvl w:ilvl="6" w:tplc="66B6CCFC" w:tentative="1">
      <w:start w:val="1"/>
      <w:numFmt w:val="bullet"/>
      <w:lvlText w:val="–"/>
      <w:lvlJc w:val="left"/>
      <w:pPr>
        <w:tabs>
          <w:tab w:val="num" w:pos="5040"/>
        </w:tabs>
        <w:ind w:left="5040" w:hanging="360"/>
      </w:pPr>
      <w:rPr>
        <w:rFonts w:ascii="Arial" w:hAnsi="Arial" w:hint="default"/>
      </w:rPr>
    </w:lvl>
    <w:lvl w:ilvl="7" w:tplc="933292C0" w:tentative="1">
      <w:start w:val="1"/>
      <w:numFmt w:val="bullet"/>
      <w:lvlText w:val="–"/>
      <w:lvlJc w:val="left"/>
      <w:pPr>
        <w:tabs>
          <w:tab w:val="num" w:pos="5760"/>
        </w:tabs>
        <w:ind w:left="5760" w:hanging="360"/>
      </w:pPr>
      <w:rPr>
        <w:rFonts w:ascii="Arial" w:hAnsi="Arial" w:hint="default"/>
      </w:rPr>
    </w:lvl>
    <w:lvl w:ilvl="8" w:tplc="73920F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F7B3E"/>
    <w:multiLevelType w:val="hybridMultilevel"/>
    <w:tmpl w:val="AE884E2E"/>
    <w:lvl w:ilvl="0" w:tplc="A49C8EDE">
      <w:start w:val="1"/>
      <w:numFmt w:val="decimal"/>
      <w:lvlText w:val="%1."/>
      <w:lvlJc w:val="left"/>
      <w:pPr>
        <w:tabs>
          <w:tab w:val="num" w:pos="720"/>
        </w:tabs>
        <w:ind w:left="720" w:hanging="360"/>
      </w:pPr>
    </w:lvl>
    <w:lvl w:ilvl="1" w:tplc="41A2582E">
      <w:start w:val="1"/>
      <w:numFmt w:val="decimal"/>
      <w:lvlText w:val="%2."/>
      <w:lvlJc w:val="left"/>
      <w:pPr>
        <w:tabs>
          <w:tab w:val="num" w:pos="1440"/>
        </w:tabs>
        <w:ind w:left="1440" w:hanging="360"/>
      </w:pPr>
    </w:lvl>
    <w:lvl w:ilvl="2" w:tplc="623C093C" w:tentative="1">
      <w:start w:val="1"/>
      <w:numFmt w:val="decimal"/>
      <w:lvlText w:val="%3."/>
      <w:lvlJc w:val="left"/>
      <w:pPr>
        <w:tabs>
          <w:tab w:val="num" w:pos="2160"/>
        </w:tabs>
        <w:ind w:left="2160" w:hanging="360"/>
      </w:pPr>
    </w:lvl>
    <w:lvl w:ilvl="3" w:tplc="C098223E" w:tentative="1">
      <w:start w:val="1"/>
      <w:numFmt w:val="decimal"/>
      <w:lvlText w:val="%4."/>
      <w:lvlJc w:val="left"/>
      <w:pPr>
        <w:tabs>
          <w:tab w:val="num" w:pos="2880"/>
        </w:tabs>
        <w:ind w:left="2880" w:hanging="360"/>
      </w:pPr>
    </w:lvl>
    <w:lvl w:ilvl="4" w:tplc="14D0EA6C" w:tentative="1">
      <w:start w:val="1"/>
      <w:numFmt w:val="decimal"/>
      <w:lvlText w:val="%5."/>
      <w:lvlJc w:val="left"/>
      <w:pPr>
        <w:tabs>
          <w:tab w:val="num" w:pos="3600"/>
        </w:tabs>
        <w:ind w:left="3600" w:hanging="360"/>
      </w:pPr>
    </w:lvl>
    <w:lvl w:ilvl="5" w:tplc="D8B65A10" w:tentative="1">
      <w:start w:val="1"/>
      <w:numFmt w:val="decimal"/>
      <w:lvlText w:val="%6."/>
      <w:lvlJc w:val="left"/>
      <w:pPr>
        <w:tabs>
          <w:tab w:val="num" w:pos="4320"/>
        </w:tabs>
        <w:ind w:left="4320" w:hanging="360"/>
      </w:pPr>
    </w:lvl>
    <w:lvl w:ilvl="6" w:tplc="9EACC04A" w:tentative="1">
      <w:start w:val="1"/>
      <w:numFmt w:val="decimal"/>
      <w:lvlText w:val="%7."/>
      <w:lvlJc w:val="left"/>
      <w:pPr>
        <w:tabs>
          <w:tab w:val="num" w:pos="5040"/>
        </w:tabs>
        <w:ind w:left="5040" w:hanging="360"/>
      </w:pPr>
    </w:lvl>
    <w:lvl w:ilvl="7" w:tplc="515CC1D0" w:tentative="1">
      <w:start w:val="1"/>
      <w:numFmt w:val="decimal"/>
      <w:lvlText w:val="%8."/>
      <w:lvlJc w:val="left"/>
      <w:pPr>
        <w:tabs>
          <w:tab w:val="num" w:pos="5760"/>
        </w:tabs>
        <w:ind w:left="5760" w:hanging="360"/>
      </w:pPr>
    </w:lvl>
    <w:lvl w:ilvl="8" w:tplc="F446D634" w:tentative="1">
      <w:start w:val="1"/>
      <w:numFmt w:val="decimal"/>
      <w:lvlText w:val="%9."/>
      <w:lvlJc w:val="left"/>
      <w:pPr>
        <w:tabs>
          <w:tab w:val="num" w:pos="6480"/>
        </w:tabs>
        <w:ind w:left="6480" w:hanging="360"/>
      </w:p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14E41"/>
    <w:multiLevelType w:val="hybridMultilevel"/>
    <w:tmpl w:val="B9B259C2"/>
    <w:lvl w:ilvl="0" w:tplc="BF00D2E8">
      <w:start w:val="1"/>
      <w:numFmt w:val="bullet"/>
      <w:lvlText w:val="–"/>
      <w:lvlJc w:val="left"/>
      <w:pPr>
        <w:tabs>
          <w:tab w:val="num" w:pos="720"/>
        </w:tabs>
        <w:ind w:left="720" w:hanging="360"/>
      </w:pPr>
      <w:rPr>
        <w:rFonts w:ascii="Arial" w:hAnsi="Arial" w:hint="default"/>
      </w:rPr>
    </w:lvl>
    <w:lvl w:ilvl="1" w:tplc="91701482">
      <w:start w:val="1"/>
      <w:numFmt w:val="bullet"/>
      <w:lvlText w:val="–"/>
      <w:lvlJc w:val="left"/>
      <w:pPr>
        <w:tabs>
          <w:tab w:val="num" w:pos="1440"/>
        </w:tabs>
        <w:ind w:left="1440" w:hanging="360"/>
      </w:pPr>
      <w:rPr>
        <w:rFonts w:ascii="Arial" w:hAnsi="Arial" w:hint="default"/>
      </w:rPr>
    </w:lvl>
    <w:lvl w:ilvl="2" w:tplc="43381760" w:tentative="1">
      <w:start w:val="1"/>
      <w:numFmt w:val="bullet"/>
      <w:lvlText w:val="–"/>
      <w:lvlJc w:val="left"/>
      <w:pPr>
        <w:tabs>
          <w:tab w:val="num" w:pos="2160"/>
        </w:tabs>
        <w:ind w:left="2160" w:hanging="360"/>
      </w:pPr>
      <w:rPr>
        <w:rFonts w:ascii="Arial" w:hAnsi="Arial" w:hint="default"/>
      </w:rPr>
    </w:lvl>
    <w:lvl w:ilvl="3" w:tplc="20F48E8A" w:tentative="1">
      <w:start w:val="1"/>
      <w:numFmt w:val="bullet"/>
      <w:lvlText w:val="–"/>
      <w:lvlJc w:val="left"/>
      <w:pPr>
        <w:tabs>
          <w:tab w:val="num" w:pos="2880"/>
        </w:tabs>
        <w:ind w:left="2880" w:hanging="360"/>
      </w:pPr>
      <w:rPr>
        <w:rFonts w:ascii="Arial" w:hAnsi="Arial" w:hint="default"/>
      </w:rPr>
    </w:lvl>
    <w:lvl w:ilvl="4" w:tplc="C03C4F6A" w:tentative="1">
      <w:start w:val="1"/>
      <w:numFmt w:val="bullet"/>
      <w:lvlText w:val="–"/>
      <w:lvlJc w:val="left"/>
      <w:pPr>
        <w:tabs>
          <w:tab w:val="num" w:pos="3600"/>
        </w:tabs>
        <w:ind w:left="3600" w:hanging="360"/>
      </w:pPr>
      <w:rPr>
        <w:rFonts w:ascii="Arial" w:hAnsi="Arial" w:hint="default"/>
      </w:rPr>
    </w:lvl>
    <w:lvl w:ilvl="5" w:tplc="22C41336" w:tentative="1">
      <w:start w:val="1"/>
      <w:numFmt w:val="bullet"/>
      <w:lvlText w:val="–"/>
      <w:lvlJc w:val="left"/>
      <w:pPr>
        <w:tabs>
          <w:tab w:val="num" w:pos="4320"/>
        </w:tabs>
        <w:ind w:left="4320" w:hanging="360"/>
      </w:pPr>
      <w:rPr>
        <w:rFonts w:ascii="Arial" w:hAnsi="Arial" w:hint="default"/>
      </w:rPr>
    </w:lvl>
    <w:lvl w:ilvl="6" w:tplc="76066168" w:tentative="1">
      <w:start w:val="1"/>
      <w:numFmt w:val="bullet"/>
      <w:lvlText w:val="–"/>
      <w:lvlJc w:val="left"/>
      <w:pPr>
        <w:tabs>
          <w:tab w:val="num" w:pos="5040"/>
        </w:tabs>
        <w:ind w:left="5040" w:hanging="360"/>
      </w:pPr>
      <w:rPr>
        <w:rFonts w:ascii="Arial" w:hAnsi="Arial" w:hint="default"/>
      </w:rPr>
    </w:lvl>
    <w:lvl w:ilvl="7" w:tplc="3E70C970" w:tentative="1">
      <w:start w:val="1"/>
      <w:numFmt w:val="bullet"/>
      <w:lvlText w:val="–"/>
      <w:lvlJc w:val="left"/>
      <w:pPr>
        <w:tabs>
          <w:tab w:val="num" w:pos="5760"/>
        </w:tabs>
        <w:ind w:left="5760" w:hanging="360"/>
      </w:pPr>
      <w:rPr>
        <w:rFonts w:ascii="Arial" w:hAnsi="Arial" w:hint="default"/>
      </w:rPr>
    </w:lvl>
    <w:lvl w:ilvl="8" w:tplc="59C2D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6"/>
  </w:num>
  <w:num w:numId="36">
    <w:abstractNumId w:val="29"/>
  </w:num>
  <w:num w:numId="37">
    <w:abstractNumId w:val="24"/>
  </w:num>
  <w:num w:numId="38">
    <w:abstractNumId w:val="37"/>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6"/>
  </w:num>
  <w:num w:numId="48">
    <w:abstractNumId w:val="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3B7F"/>
    <w:rsid w:val="0010446A"/>
    <w:rsid w:val="0010792C"/>
    <w:rsid w:val="00110B13"/>
    <w:rsid w:val="001114C1"/>
    <w:rsid w:val="00112164"/>
    <w:rsid w:val="001137DA"/>
    <w:rsid w:val="0011436A"/>
    <w:rsid w:val="001147B0"/>
    <w:rsid w:val="00114995"/>
    <w:rsid w:val="00116DFF"/>
    <w:rsid w:val="001178F0"/>
    <w:rsid w:val="00117F9C"/>
    <w:rsid w:val="00123745"/>
    <w:rsid w:val="00123C5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4CA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478A0"/>
    <w:rsid w:val="0035204A"/>
    <w:rsid w:val="0036038D"/>
    <w:rsid w:val="003607C5"/>
    <w:rsid w:val="003608E0"/>
    <w:rsid w:val="003644E5"/>
    <w:rsid w:val="003660C7"/>
    <w:rsid w:val="003664A2"/>
    <w:rsid w:val="00367E6D"/>
    <w:rsid w:val="0037072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600C"/>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48DB"/>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0AAA"/>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4F69C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1572"/>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21B4"/>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60D3"/>
    <w:rsid w:val="00667A9C"/>
    <w:rsid w:val="00674D96"/>
    <w:rsid w:val="00675624"/>
    <w:rsid w:val="00680FDD"/>
    <w:rsid w:val="00681799"/>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530"/>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77904"/>
    <w:rsid w:val="007800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271"/>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57A17"/>
    <w:rsid w:val="008600AB"/>
    <w:rsid w:val="00861EA4"/>
    <w:rsid w:val="00862AFA"/>
    <w:rsid w:val="00863700"/>
    <w:rsid w:val="0086567A"/>
    <w:rsid w:val="00865D16"/>
    <w:rsid w:val="00865FD8"/>
    <w:rsid w:val="00867C2A"/>
    <w:rsid w:val="00870546"/>
    <w:rsid w:val="00870C53"/>
    <w:rsid w:val="00871558"/>
    <w:rsid w:val="00871F58"/>
    <w:rsid w:val="00872FCD"/>
    <w:rsid w:val="008731C9"/>
    <w:rsid w:val="00875139"/>
    <w:rsid w:val="0087559E"/>
    <w:rsid w:val="00875D1D"/>
    <w:rsid w:val="008779BB"/>
    <w:rsid w:val="00882425"/>
    <w:rsid w:val="00882F18"/>
    <w:rsid w:val="00887996"/>
    <w:rsid w:val="00890529"/>
    <w:rsid w:val="008919FA"/>
    <w:rsid w:val="00894205"/>
    <w:rsid w:val="008948CA"/>
    <w:rsid w:val="008966F6"/>
    <w:rsid w:val="008A4F4D"/>
    <w:rsid w:val="008A5259"/>
    <w:rsid w:val="008B0514"/>
    <w:rsid w:val="008B12D0"/>
    <w:rsid w:val="008B3E44"/>
    <w:rsid w:val="008B4257"/>
    <w:rsid w:val="008B7827"/>
    <w:rsid w:val="008B7853"/>
    <w:rsid w:val="008C1554"/>
    <w:rsid w:val="008C2395"/>
    <w:rsid w:val="008C291E"/>
    <w:rsid w:val="008C2C73"/>
    <w:rsid w:val="008C77C6"/>
    <w:rsid w:val="008D0A86"/>
    <w:rsid w:val="008D2D94"/>
    <w:rsid w:val="008D552A"/>
    <w:rsid w:val="008D6AB8"/>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64EA"/>
    <w:rsid w:val="009D713C"/>
    <w:rsid w:val="009D7EBE"/>
    <w:rsid w:val="009E49C0"/>
    <w:rsid w:val="009E4CBE"/>
    <w:rsid w:val="009E4FE7"/>
    <w:rsid w:val="009E6538"/>
    <w:rsid w:val="009E766D"/>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4DE5"/>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4638"/>
    <w:rsid w:val="00A95090"/>
    <w:rsid w:val="00A9514D"/>
    <w:rsid w:val="00A96690"/>
    <w:rsid w:val="00A97BF8"/>
    <w:rsid w:val="00AA04CC"/>
    <w:rsid w:val="00AA0D07"/>
    <w:rsid w:val="00AA0F9B"/>
    <w:rsid w:val="00AA3AF8"/>
    <w:rsid w:val="00AA66CB"/>
    <w:rsid w:val="00AA6A7A"/>
    <w:rsid w:val="00AA7167"/>
    <w:rsid w:val="00AB0D1B"/>
    <w:rsid w:val="00AB153A"/>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2B9"/>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15"/>
    <w:rsid w:val="00BB567F"/>
    <w:rsid w:val="00BB601B"/>
    <w:rsid w:val="00BB61DB"/>
    <w:rsid w:val="00BB6A4C"/>
    <w:rsid w:val="00BC0823"/>
    <w:rsid w:val="00BC0850"/>
    <w:rsid w:val="00BC08FC"/>
    <w:rsid w:val="00BD0D1A"/>
    <w:rsid w:val="00BD13E2"/>
    <w:rsid w:val="00BD347F"/>
    <w:rsid w:val="00BD4781"/>
    <w:rsid w:val="00BD55A2"/>
    <w:rsid w:val="00BD6319"/>
    <w:rsid w:val="00BD73CC"/>
    <w:rsid w:val="00BD75F1"/>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21"/>
    <w:rsid w:val="00C665B6"/>
    <w:rsid w:val="00C66AEC"/>
    <w:rsid w:val="00C67824"/>
    <w:rsid w:val="00C700CC"/>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D6DEE"/>
    <w:rsid w:val="00CE0D0F"/>
    <w:rsid w:val="00CE2567"/>
    <w:rsid w:val="00CE38FE"/>
    <w:rsid w:val="00CE6A12"/>
    <w:rsid w:val="00CE7B33"/>
    <w:rsid w:val="00CF23C9"/>
    <w:rsid w:val="00CF3ECE"/>
    <w:rsid w:val="00CF41D2"/>
    <w:rsid w:val="00D0035A"/>
    <w:rsid w:val="00D00B3C"/>
    <w:rsid w:val="00D04FCA"/>
    <w:rsid w:val="00D05BE4"/>
    <w:rsid w:val="00D071B9"/>
    <w:rsid w:val="00D10215"/>
    <w:rsid w:val="00D121AD"/>
    <w:rsid w:val="00D132ED"/>
    <w:rsid w:val="00D15EF0"/>
    <w:rsid w:val="00D1738E"/>
    <w:rsid w:val="00D176E5"/>
    <w:rsid w:val="00D20074"/>
    <w:rsid w:val="00D204DC"/>
    <w:rsid w:val="00D23A0A"/>
    <w:rsid w:val="00D23C94"/>
    <w:rsid w:val="00D24042"/>
    <w:rsid w:val="00D25BD4"/>
    <w:rsid w:val="00D27579"/>
    <w:rsid w:val="00D323E4"/>
    <w:rsid w:val="00D3301A"/>
    <w:rsid w:val="00D33E05"/>
    <w:rsid w:val="00D34A16"/>
    <w:rsid w:val="00D36BEA"/>
    <w:rsid w:val="00D4043B"/>
    <w:rsid w:val="00D424E3"/>
    <w:rsid w:val="00D42662"/>
    <w:rsid w:val="00D42AF3"/>
    <w:rsid w:val="00D4520F"/>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DF2021"/>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275CC"/>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702"/>
    <w:rsid w:val="00ED2B38"/>
    <w:rsid w:val="00ED533B"/>
    <w:rsid w:val="00ED5892"/>
    <w:rsid w:val="00ED647C"/>
    <w:rsid w:val="00EE0AC3"/>
    <w:rsid w:val="00EE17A9"/>
    <w:rsid w:val="00EE17D7"/>
    <w:rsid w:val="00EE33CE"/>
    <w:rsid w:val="00EE42C5"/>
    <w:rsid w:val="00EE4801"/>
    <w:rsid w:val="00EE49E6"/>
    <w:rsid w:val="00EE555F"/>
    <w:rsid w:val="00EE6715"/>
    <w:rsid w:val="00EF0BCA"/>
    <w:rsid w:val="00EF1BF6"/>
    <w:rsid w:val="00EF4DC8"/>
    <w:rsid w:val="00EF69C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BA7"/>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39802376">
      <w:bodyDiv w:val="1"/>
      <w:marLeft w:val="0"/>
      <w:marRight w:val="0"/>
      <w:marTop w:val="0"/>
      <w:marBottom w:val="0"/>
      <w:divBdr>
        <w:top w:val="none" w:sz="0" w:space="0" w:color="auto"/>
        <w:left w:val="none" w:sz="0" w:space="0" w:color="auto"/>
        <w:bottom w:val="none" w:sz="0" w:space="0" w:color="auto"/>
        <w:right w:val="none" w:sz="0" w:space="0" w:color="auto"/>
      </w:divBdr>
      <w:divsChild>
        <w:div w:id="747533187">
          <w:marLeft w:val="547"/>
          <w:marRight w:val="0"/>
          <w:marTop w:val="96"/>
          <w:marBottom w:val="0"/>
          <w:divBdr>
            <w:top w:val="none" w:sz="0" w:space="0" w:color="auto"/>
            <w:left w:val="none" w:sz="0" w:space="0" w:color="auto"/>
            <w:bottom w:val="none" w:sz="0" w:space="0" w:color="auto"/>
            <w:right w:val="none" w:sz="0" w:space="0" w:color="auto"/>
          </w:divBdr>
        </w:div>
        <w:div w:id="1956711874">
          <w:marLeft w:val="720"/>
          <w:marRight w:val="0"/>
          <w:marTop w:val="96"/>
          <w:marBottom w:val="0"/>
          <w:divBdr>
            <w:top w:val="none" w:sz="0" w:space="0" w:color="auto"/>
            <w:left w:val="none" w:sz="0" w:space="0" w:color="auto"/>
            <w:bottom w:val="none" w:sz="0" w:space="0" w:color="auto"/>
            <w:right w:val="none" w:sz="0" w:space="0" w:color="auto"/>
          </w:divBdr>
        </w:div>
        <w:div w:id="1310596177">
          <w:marLeft w:val="1267"/>
          <w:marRight w:val="0"/>
          <w:marTop w:val="86"/>
          <w:marBottom w:val="0"/>
          <w:divBdr>
            <w:top w:val="none" w:sz="0" w:space="0" w:color="auto"/>
            <w:left w:val="none" w:sz="0" w:space="0" w:color="auto"/>
            <w:bottom w:val="none" w:sz="0" w:space="0" w:color="auto"/>
            <w:right w:val="none" w:sz="0" w:space="0" w:color="auto"/>
          </w:divBdr>
        </w:div>
        <w:div w:id="513610452">
          <w:marLeft w:val="1267"/>
          <w:marRight w:val="0"/>
          <w:marTop w:val="86"/>
          <w:marBottom w:val="0"/>
          <w:divBdr>
            <w:top w:val="none" w:sz="0" w:space="0" w:color="auto"/>
            <w:left w:val="none" w:sz="0" w:space="0" w:color="auto"/>
            <w:bottom w:val="none" w:sz="0" w:space="0" w:color="auto"/>
            <w:right w:val="none" w:sz="0" w:space="0" w:color="auto"/>
          </w:divBdr>
        </w:div>
        <w:div w:id="1065879365">
          <w:marLeft w:val="720"/>
          <w:marRight w:val="0"/>
          <w:marTop w:val="96"/>
          <w:marBottom w:val="0"/>
          <w:divBdr>
            <w:top w:val="none" w:sz="0" w:space="0" w:color="auto"/>
            <w:left w:val="none" w:sz="0" w:space="0" w:color="auto"/>
            <w:bottom w:val="none" w:sz="0" w:space="0" w:color="auto"/>
            <w:right w:val="none" w:sz="0" w:space="0" w:color="auto"/>
          </w:divBdr>
        </w:div>
        <w:div w:id="405763871">
          <w:marLeft w:val="1354"/>
          <w:marRight w:val="0"/>
          <w:marTop w:val="77"/>
          <w:marBottom w:val="0"/>
          <w:divBdr>
            <w:top w:val="none" w:sz="0" w:space="0" w:color="auto"/>
            <w:left w:val="none" w:sz="0" w:space="0" w:color="auto"/>
            <w:bottom w:val="none" w:sz="0" w:space="0" w:color="auto"/>
            <w:right w:val="none" w:sz="0" w:space="0" w:color="auto"/>
          </w:divBdr>
        </w:div>
        <w:div w:id="1515799971">
          <w:marLeft w:val="720"/>
          <w:marRight w:val="0"/>
          <w:marTop w:val="96"/>
          <w:marBottom w:val="0"/>
          <w:divBdr>
            <w:top w:val="none" w:sz="0" w:space="0" w:color="auto"/>
            <w:left w:val="none" w:sz="0" w:space="0" w:color="auto"/>
            <w:bottom w:val="none" w:sz="0" w:space="0" w:color="auto"/>
            <w:right w:val="none" w:sz="0" w:space="0" w:color="auto"/>
          </w:divBdr>
        </w:div>
        <w:div w:id="1341928666">
          <w:marLeft w:val="1166"/>
          <w:marRight w:val="0"/>
          <w:marTop w:val="77"/>
          <w:marBottom w:val="0"/>
          <w:divBdr>
            <w:top w:val="none" w:sz="0" w:space="0" w:color="auto"/>
            <w:left w:val="none" w:sz="0" w:space="0" w:color="auto"/>
            <w:bottom w:val="none" w:sz="0" w:space="0" w:color="auto"/>
            <w:right w:val="none" w:sz="0" w:space="0" w:color="auto"/>
          </w:divBdr>
        </w:div>
        <w:div w:id="479927154">
          <w:marLeft w:val="1166"/>
          <w:marRight w:val="0"/>
          <w:marTop w:val="77"/>
          <w:marBottom w:val="0"/>
          <w:divBdr>
            <w:top w:val="none" w:sz="0" w:space="0" w:color="auto"/>
            <w:left w:val="none" w:sz="0" w:space="0" w:color="auto"/>
            <w:bottom w:val="none" w:sz="0" w:space="0" w:color="auto"/>
            <w:right w:val="none" w:sz="0" w:space="0" w:color="auto"/>
          </w:divBdr>
        </w:div>
        <w:div w:id="846823258">
          <w:marLeft w:val="1166"/>
          <w:marRight w:val="0"/>
          <w:marTop w:val="77"/>
          <w:marBottom w:val="0"/>
          <w:divBdr>
            <w:top w:val="none" w:sz="0" w:space="0" w:color="auto"/>
            <w:left w:val="none" w:sz="0" w:space="0" w:color="auto"/>
            <w:bottom w:val="none" w:sz="0" w:space="0" w:color="auto"/>
            <w:right w:val="none" w:sz="0" w:space="0" w:color="auto"/>
          </w:divBdr>
        </w:div>
        <w:div w:id="2056616490">
          <w:marLeft w:val="1166"/>
          <w:marRight w:val="0"/>
          <w:marTop w:val="77"/>
          <w:marBottom w:val="0"/>
          <w:divBdr>
            <w:top w:val="none" w:sz="0" w:space="0" w:color="auto"/>
            <w:left w:val="none" w:sz="0" w:space="0" w:color="auto"/>
            <w:bottom w:val="none" w:sz="0" w:space="0" w:color="auto"/>
            <w:right w:val="none" w:sz="0" w:space="0" w:color="auto"/>
          </w:divBdr>
        </w:div>
        <w:div w:id="206458225">
          <w:marLeft w:val="1166"/>
          <w:marRight w:val="0"/>
          <w:marTop w:val="77"/>
          <w:marBottom w:val="0"/>
          <w:divBdr>
            <w:top w:val="none" w:sz="0" w:space="0" w:color="auto"/>
            <w:left w:val="none" w:sz="0" w:space="0" w:color="auto"/>
            <w:bottom w:val="none" w:sz="0" w:space="0" w:color="auto"/>
            <w:right w:val="none" w:sz="0" w:space="0" w:color="auto"/>
          </w:divBdr>
        </w:div>
      </w:divsChild>
    </w:div>
    <w:div w:id="309941788">
      <w:bodyDiv w:val="1"/>
      <w:marLeft w:val="0"/>
      <w:marRight w:val="0"/>
      <w:marTop w:val="0"/>
      <w:marBottom w:val="0"/>
      <w:divBdr>
        <w:top w:val="none" w:sz="0" w:space="0" w:color="auto"/>
        <w:left w:val="none" w:sz="0" w:space="0" w:color="auto"/>
        <w:bottom w:val="none" w:sz="0" w:space="0" w:color="auto"/>
        <w:right w:val="none" w:sz="0" w:space="0" w:color="auto"/>
      </w:divBdr>
      <w:divsChild>
        <w:div w:id="970674943">
          <w:marLeft w:val="1166"/>
          <w:marRight w:val="0"/>
          <w:marTop w:val="115"/>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1677125">
      <w:bodyDiv w:val="1"/>
      <w:marLeft w:val="0"/>
      <w:marRight w:val="0"/>
      <w:marTop w:val="0"/>
      <w:marBottom w:val="0"/>
      <w:divBdr>
        <w:top w:val="none" w:sz="0" w:space="0" w:color="auto"/>
        <w:left w:val="none" w:sz="0" w:space="0" w:color="auto"/>
        <w:bottom w:val="none" w:sz="0" w:space="0" w:color="auto"/>
        <w:right w:val="none" w:sz="0" w:space="0" w:color="auto"/>
      </w:divBdr>
      <w:divsChild>
        <w:div w:id="1807814114">
          <w:marLeft w:val="1166"/>
          <w:marRight w:val="0"/>
          <w:marTop w:val="115"/>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590B9-C956-4935-B782-70198FCC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2998</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5</cp:revision>
  <dcterms:created xsi:type="dcterms:W3CDTF">2018-06-25T14:36:00Z</dcterms:created>
  <dcterms:modified xsi:type="dcterms:W3CDTF">2018-06-25T19:31:00Z</dcterms:modified>
  <cp:category/>
</cp:coreProperties>
</file>