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CDECA" w14:textId="042BE58A" w:rsidR="003E1A65" w:rsidRPr="00DE4417" w:rsidRDefault="003E1A65" w:rsidP="003E1A65">
      <w:pPr>
        <w:tabs>
          <w:tab w:val="center" w:pos="4153"/>
          <w:tab w:val="right" w:pos="9923"/>
        </w:tabs>
        <w:spacing w:after="120" w:line="240" w:lineRule="auto"/>
        <w:jc w:val="both"/>
        <w:rPr>
          <w:rFonts w:eastAsia="Malgun Gothic"/>
          <w:b/>
          <w:bCs/>
          <w:sz w:val="28"/>
          <w:lang w:val="en-GB" w:eastAsia="ko-KR"/>
        </w:rPr>
      </w:pPr>
      <w:r w:rsidRPr="00DE4417">
        <w:rPr>
          <w:rFonts w:eastAsia="Malgun Gothic"/>
          <w:b/>
          <w:bCs/>
          <w:sz w:val="28"/>
          <w:lang w:val="en-GB"/>
        </w:rPr>
        <w:t xml:space="preserve">3GPP TSG RAN WG4 Meeting </w:t>
      </w:r>
      <w:r w:rsidR="00ED647C">
        <w:rPr>
          <w:rFonts w:eastAsia="Malgun Gothic"/>
          <w:b/>
          <w:bCs/>
          <w:sz w:val="28"/>
          <w:lang w:val="en-GB"/>
        </w:rPr>
        <w:t>AH-1807</w:t>
      </w:r>
      <w:r w:rsidRPr="00DE4417">
        <w:rPr>
          <w:rFonts w:eastAsia="Malgun Gothic"/>
          <w:b/>
          <w:bCs/>
          <w:sz w:val="28"/>
          <w:lang w:val="en-GB" w:eastAsia="ko-KR"/>
        </w:rPr>
        <w:tab/>
      </w:r>
      <w:r w:rsidR="00E53BDD">
        <w:rPr>
          <w:rFonts w:eastAsia="Malgun Gothic"/>
          <w:b/>
          <w:bCs/>
          <w:sz w:val="28"/>
          <w:lang w:val="en-GB"/>
        </w:rPr>
        <w:t>R4-1809257</w:t>
      </w:r>
    </w:p>
    <w:p w14:paraId="50CBE1C5" w14:textId="4734E8EE" w:rsidR="003E1A65" w:rsidRPr="00DE4417" w:rsidRDefault="00ED647C" w:rsidP="003E1A65">
      <w:pPr>
        <w:pBdr>
          <w:bottom w:val="single" w:sz="6" w:space="1" w:color="auto"/>
        </w:pBdr>
        <w:tabs>
          <w:tab w:val="center" w:pos="4153"/>
          <w:tab w:val="right" w:pos="8306"/>
          <w:tab w:val="right" w:pos="9356"/>
        </w:tabs>
        <w:spacing w:after="120" w:line="240" w:lineRule="auto"/>
        <w:rPr>
          <w:rFonts w:eastAsia="Malgun Gothic"/>
          <w:b/>
          <w:bCs/>
          <w:sz w:val="28"/>
          <w:lang w:val="en-GB" w:eastAsia="ko-KR"/>
        </w:rPr>
      </w:pPr>
      <w:r>
        <w:rPr>
          <w:rFonts w:eastAsia="Malgun Gothic"/>
          <w:b/>
          <w:bCs/>
          <w:sz w:val="28"/>
          <w:lang w:val="en-GB" w:eastAsia="ko-KR"/>
        </w:rPr>
        <w:t>Montreal</w:t>
      </w:r>
      <w:r w:rsidR="003E1A65" w:rsidRPr="00DE4417">
        <w:rPr>
          <w:rFonts w:eastAsia="Malgun Gothic"/>
          <w:b/>
          <w:bCs/>
          <w:sz w:val="28"/>
          <w:lang w:val="en-GB" w:eastAsia="ko-KR"/>
        </w:rPr>
        <w:t xml:space="preserve">, </w:t>
      </w:r>
      <w:r>
        <w:rPr>
          <w:rFonts w:eastAsia="Malgun Gothic"/>
          <w:b/>
          <w:bCs/>
          <w:sz w:val="28"/>
          <w:lang w:val="en-GB" w:eastAsia="ko-KR"/>
        </w:rPr>
        <w:t>Canada,</w:t>
      </w:r>
      <w:r w:rsidR="003E1A65" w:rsidRPr="00DE4417">
        <w:rPr>
          <w:rFonts w:eastAsia="Malgun Gothic"/>
          <w:b/>
          <w:bCs/>
          <w:sz w:val="28"/>
          <w:lang w:val="en-GB" w:eastAsia="ko-KR"/>
        </w:rPr>
        <w:t xml:space="preserve"> </w:t>
      </w:r>
      <w:r>
        <w:rPr>
          <w:rFonts w:eastAsia="Malgun Gothic"/>
          <w:b/>
          <w:bCs/>
          <w:sz w:val="28"/>
          <w:lang w:val="en-GB" w:eastAsia="ko-KR"/>
        </w:rPr>
        <w:t>02 – 06</w:t>
      </w:r>
      <w:r w:rsidR="00FC5279">
        <w:rPr>
          <w:rFonts w:eastAsia="Malgun Gothic"/>
          <w:b/>
          <w:bCs/>
          <w:sz w:val="28"/>
          <w:lang w:val="en-GB" w:eastAsia="ko-KR"/>
        </w:rPr>
        <w:t xml:space="preserve"> </w:t>
      </w:r>
      <w:r>
        <w:rPr>
          <w:rFonts w:eastAsia="Malgun Gothic"/>
          <w:b/>
          <w:bCs/>
          <w:sz w:val="28"/>
          <w:lang w:val="en-GB" w:eastAsia="ko-KR"/>
        </w:rPr>
        <w:t>Jul</w:t>
      </w:r>
      <w:r w:rsidR="00B32A3F">
        <w:rPr>
          <w:rFonts w:eastAsia="Malgun Gothic"/>
          <w:b/>
          <w:bCs/>
          <w:sz w:val="28"/>
          <w:lang w:val="en-GB" w:eastAsia="ko-KR"/>
        </w:rPr>
        <w:t>y</w:t>
      </w:r>
      <w:r w:rsidR="003E1A65" w:rsidRPr="00DE4417">
        <w:rPr>
          <w:rFonts w:eastAsia="Malgun Gothic"/>
          <w:b/>
          <w:bCs/>
          <w:sz w:val="28"/>
          <w:lang w:val="en-GB" w:eastAsia="ko-KR"/>
        </w:rPr>
        <w:t xml:space="preserve"> 2018</w:t>
      </w:r>
    </w:p>
    <w:p w14:paraId="38A11C1B" w14:textId="4366E99C"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219E4D93" w:rsidR="00B81FC7" w:rsidRPr="00DE4417" w:rsidRDefault="00B81FC7" w:rsidP="008159B1">
      <w:pPr>
        <w:ind w:left="2160" w:hanging="2160"/>
        <w:rPr>
          <w:b/>
          <w:lang w:val="en-GB"/>
        </w:rPr>
      </w:pPr>
      <w:r w:rsidRPr="00DE4417">
        <w:rPr>
          <w:b/>
          <w:lang w:val="en-GB"/>
        </w:rPr>
        <w:t>Title:</w:t>
      </w:r>
      <w:r w:rsidRPr="00DE4417">
        <w:rPr>
          <w:b/>
          <w:lang w:val="en-GB"/>
        </w:rPr>
        <w:tab/>
      </w:r>
      <w:r w:rsidR="00312DDF">
        <w:rPr>
          <w:lang w:val="en-GB"/>
        </w:rPr>
        <w:t>Further discussion on channel modelling for FR2</w:t>
      </w:r>
    </w:p>
    <w:p w14:paraId="75E65FB7" w14:textId="342A1421"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E53BDD">
        <w:rPr>
          <w:lang w:val="en-GB"/>
        </w:rPr>
        <w:t>5.6.3</w:t>
      </w:r>
      <w:bookmarkStart w:id="0" w:name="_GoBack"/>
      <w:bookmarkEnd w:id="0"/>
    </w:p>
    <w:p w14:paraId="21F2DA1B" w14:textId="41DF70C9" w:rsidR="00B81FC7" w:rsidRPr="00DE4417" w:rsidRDefault="00B81FC7" w:rsidP="00B81FC7">
      <w:pPr>
        <w:rPr>
          <w:sz w:val="18"/>
          <w:szCs w:val="18"/>
          <w:lang w:val="en-GB"/>
        </w:rPr>
      </w:pPr>
      <w:r w:rsidRPr="00DE4417">
        <w:rPr>
          <w:b/>
          <w:lang w:val="en-GB"/>
        </w:rPr>
        <w:t>Document for:</w:t>
      </w:r>
      <w:r w:rsidRPr="00DE4417">
        <w:rPr>
          <w:lang w:val="en-GB"/>
        </w:rPr>
        <w:tab/>
      </w:r>
      <w:r w:rsidR="00ED647C">
        <w:rPr>
          <w:lang w:val="en-GB"/>
        </w:rPr>
        <w:t>Approval</w:t>
      </w:r>
    </w:p>
    <w:p w14:paraId="7CA60390" w14:textId="68FA0500" w:rsidR="00B81FC7" w:rsidRDefault="00B81FC7" w:rsidP="00B81FC7">
      <w:pPr>
        <w:pStyle w:val="berschrift1"/>
        <w:rPr>
          <w:rFonts w:cs="Arial"/>
        </w:rPr>
      </w:pPr>
      <w:r w:rsidRPr="00DE4417">
        <w:rPr>
          <w:rFonts w:cs="Arial"/>
        </w:rPr>
        <w:t>Introduction</w:t>
      </w:r>
    </w:p>
    <w:p w14:paraId="5A9ED0AD" w14:textId="1400C018" w:rsidR="00ED647C" w:rsidRPr="00ED647C" w:rsidRDefault="00C02628" w:rsidP="00ED647C">
      <w:pPr>
        <w:rPr>
          <w:lang w:val="en-GB" w:eastAsia="en-US"/>
        </w:rPr>
      </w:pPr>
      <w:r>
        <w:rPr>
          <w:lang w:val="en-GB" w:eastAsia="en-US"/>
        </w:rPr>
        <w:t xml:space="preserve">At the last meeting some agreements regarding channel modelling have been made </w:t>
      </w:r>
      <w:r w:rsidR="009A37B8">
        <w:rPr>
          <w:lang w:val="en-GB" w:eastAsia="en-US"/>
        </w:rPr>
        <w:t xml:space="preserve">and captured </w:t>
      </w:r>
      <w:r>
        <w:rPr>
          <w:lang w:val="en-GB" w:eastAsia="en-US"/>
        </w:rPr>
        <w:t>in [1]</w:t>
      </w:r>
      <w:r w:rsidR="009A37B8">
        <w:rPr>
          <w:lang w:val="en-GB" w:eastAsia="en-US"/>
        </w:rPr>
        <w:t xml:space="preserve"> and [2]</w:t>
      </w:r>
      <w:r>
        <w:rPr>
          <w:lang w:val="en-GB" w:eastAsia="en-US"/>
        </w:rPr>
        <w:t>. In this contribution we further discuss the emulation of the Doppler spectrum of the faded signal and how to handle multiple contiguous carriers.</w:t>
      </w:r>
    </w:p>
    <w:p w14:paraId="59D92B3E" w14:textId="41CAD6E4" w:rsidR="00FC45FA" w:rsidRDefault="002A659B" w:rsidP="00FC45FA">
      <w:pPr>
        <w:pStyle w:val="berschrift1"/>
        <w:rPr>
          <w:rFonts w:cs="Arial"/>
        </w:rPr>
      </w:pPr>
      <w:bookmarkStart w:id="1" w:name="OLE_LINK10"/>
      <w:bookmarkStart w:id="2" w:name="OLE_LINK11"/>
      <w:r w:rsidRPr="00DE4417">
        <w:rPr>
          <w:rFonts w:cs="Arial"/>
        </w:rPr>
        <w:t>Discussion</w:t>
      </w:r>
    </w:p>
    <w:p w14:paraId="6C1EA76D" w14:textId="27F6ACAC" w:rsidR="00123C55" w:rsidRDefault="00EF69C6" w:rsidP="00ED2B38">
      <w:pPr>
        <w:pStyle w:val="berschrift2"/>
        <w:rPr>
          <w:lang w:val="en-US"/>
        </w:rPr>
      </w:pPr>
      <w:r>
        <w:rPr>
          <w:lang w:val="en-US"/>
        </w:rPr>
        <w:t xml:space="preserve"> </w:t>
      </w:r>
      <w:r w:rsidR="00C02628">
        <w:rPr>
          <w:lang w:val="en-US"/>
        </w:rPr>
        <w:t>Handling of contiguous carriers</w:t>
      </w:r>
    </w:p>
    <w:p w14:paraId="3D4AFD9A" w14:textId="28B192AF" w:rsidR="00C02628" w:rsidRDefault="009A37B8" w:rsidP="00C02628">
      <w:pPr>
        <w:rPr>
          <w:lang w:eastAsia="en-US"/>
        </w:rPr>
      </w:pPr>
      <w:r>
        <w:rPr>
          <w:lang w:eastAsia="en-US"/>
        </w:rPr>
        <w:t>In the last meeting in [3</w:t>
      </w:r>
      <w:r w:rsidR="00C02628">
        <w:rPr>
          <w:lang w:eastAsia="en-US"/>
        </w:rPr>
        <w:t>] an agreement was reached on the delay spread for single carrier requirements. The case for wider bandwidth in case of contiguous CA has been left open and it has been discussed whether different resolution is needed in this case.</w:t>
      </w:r>
    </w:p>
    <w:p w14:paraId="04EE7EA1" w14:textId="6D26C599" w:rsidR="00C02628" w:rsidRDefault="00C02628" w:rsidP="00C02628">
      <w:pPr>
        <w:rPr>
          <w:lang w:eastAsia="en-US"/>
        </w:rPr>
      </w:pPr>
      <w:r>
        <w:rPr>
          <w:lang w:eastAsia="en-US"/>
        </w:rPr>
        <w:t>In LTE the fading has been applied individually for each component carrier and for NR FR1 the same seems to apply as well. For FR2 it was briefly discussed during the online discussions if the block of contiguous carriers should be faded as a whole or in the same way as before.</w:t>
      </w:r>
    </w:p>
    <w:p w14:paraId="037769CF" w14:textId="585B27E5" w:rsidR="00C02628" w:rsidRDefault="00C02628" w:rsidP="00C02628">
      <w:pPr>
        <w:rPr>
          <w:lang w:eastAsia="en-US"/>
        </w:rPr>
      </w:pPr>
      <w:r>
        <w:rPr>
          <w:lang w:eastAsia="en-US"/>
        </w:rPr>
        <w:t xml:space="preserve">In our view, contiguous carriers should be handled in the same way as before, by applying an individual Doppler spectrum to each carrier. </w:t>
      </w:r>
      <w:r w:rsidR="0094653D">
        <w:rPr>
          <w:lang w:eastAsia="en-US"/>
        </w:rPr>
        <w:t>A</w:t>
      </w:r>
      <w:r>
        <w:rPr>
          <w:lang w:eastAsia="en-US"/>
        </w:rPr>
        <w:t xml:space="preserve">pplying a single fading profile over the whole bandwidth of the contiguous carriers would lead to larger errors in the Doppler </w:t>
      </w:r>
      <w:r w:rsidR="001E259F">
        <w:rPr>
          <w:lang w:eastAsia="en-US"/>
        </w:rPr>
        <w:t xml:space="preserve">spectrum </w:t>
      </w:r>
      <w:r>
        <w:rPr>
          <w:lang w:eastAsia="en-US"/>
        </w:rPr>
        <w:t xml:space="preserve">on the band edges. Applying an individual fading on each carrier would reduce this error in Doppler </w:t>
      </w:r>
      <w:r w:rsidR="001E259F">
        <w:rPr>
          <w:lang w:eastAsia="en-US"/>
        </w:rPr>
        <w:t>spectrum</w:t>
      </w:r>
      <w:r>
        <w:rPr>
          <w:lang w:eastAsia="en-US"/>
        </w:rPr>
        <w:t>. Therefor</w:t>
      </w:r>
      <w:r w:rsidR="00514682">
        <w:rPr>
          <w:lang w:eastAsia="en-US"/>
        </w:rPr>
        <w:t>e</w:t>
      </w:r>
      <w:r>
        <w:rPr>
          <w:lang w:eastAsia="en-US"/>
        </w:rPr>
        <w:t xml:space="preserve"> </w:t>
      </w:r>
      <w:r w:rsidR="001E259F">
        <w:rPr>
          <w:lang w:eastAsia="en-US"/>
        </w:rPr>
        <w:t xml:space="preserve">it is </w:t>
      </w:r>
      <w:r>
        <w:rPr>
          <w:lang w:eastAsia="en-US"/>
        </w:rPr>
        <w:t>propos</w:t>
      </w:r>
      <w:r w:rsidR="001E259F">
        <w:rPr>
          <w:lang w:eastAsia="en-US"/>
        </w:rPr>
        <w:t>ed</w:t>
      </w:r>
      <w:r>
        <w:rPr>
          <w:lang w:eastAsia="en-US"/>
        </w:rPr>
        <w:t xml:space="preserve"> to allow </w:t>
      </w:r>
      <w:r w:rsidR="001E259F">
        <w:rPr>
          <w:lang w:eastAsia="en-US"/>
        </w:rPr>
        <w:t xml:space="preserve">the </w:t>
      </w:r>
      <w:r w:rsidR="00F14C0A">
        <w:rPr>
          <w:lang w:eastAsia="en-US"/>
        </w:rPr>
        <w:t>a</w:t>
      </w:r>
      <w:r w:rsidR="001E259F">
        <w:rPr>
          <w:lang w:eastAsia="en-US"/>
        </w:rPr>
        <w:t>pplication of</w:t>
      </w:r>
      <w:r w:rsidR="00F14C0A">
        <w:rPr>
          <w:lang w:eastAsia="en-US"/>
        </w:rPr>
        <w:t xml:space="preserve"> uncorrelated fading to </w:t>
      </w:r>
      <w:r>
        <w:rPr>
          <w:lang w:eastAsia="en-US"/>
        </w:rPr>
        <w:t>each carrier individually and</w:t>
      </w:r>
      <w:r w:rsidR="001E259F">
        <w:rPr>
          <w:lang w:eastAsia="en-US"/>
        </w:rPr>
        <w:t xml:space="preserve"> to</w:t>
      </w:r>
      <w:r>
        <w:rPr>
          <w:lang w:eastAsia="en-US"/>
        </w:rPr>
        <w:t xml:space="preserve"> apply the same delay spread resolution a</w:t>
      </w:r>
      <w:r w:rsidR="00DA3C57">
        <w:rPr>
          <w:lang w:eastAsia="en-US"/>
        </w:rPr>
        <w:t>s approved in [3] per CC.</w:t>
      </w:r>
    </w:p>
    <w:p w14:paraId="043FA6DE" w14:textId="31F8179D" w:rsidR="00DA3C57" w:rsidRDefault="00DA3C57" w:rsidP="00C02628">
      <w:pPr>
        <w:rPr>
          <w:lang w:eastAsia="en-US"/>
        </w:rPr>
      </w:pPr>
      <w:r w:rsidRPr="00DA3C57">
        <w:rPr>
          <w:b/>
          <w:lang w:eastAsia="en-US"/>
        </w:rPr>
        <w:t>Proposal 1:</w:t>
      </w:r>
      <w:r>
        <w:rPr>
          <w:lang w:eastAsia="en-US"/>
        </w:rPr>
        <w:t xml:space="preserve"> For NR FR2</w:t>
      </w:r>
      <w:r w:rsidR="00F14C0A">
        <w:rPr>
          <w:lang w:eastAsia="en-US"/>
        </w:rPr>
        <w:t xml:space="preserve"> uncorrelated fading is applied to</w:t>
      </w:r>
      <w:r>
        <w:rPr>
          <w:lang w:eastAsia="en-US"/>
        </w:rPr>
        <w:t xml:space="preserve"> each carrier individually and the same path delay grid as agreed for single carrier operation is applied to each CC.</w:t>
      </w:r>
    </w:p>
    <w:p w14:paraId="4C42A195" w14:textId="77777777" w:rsidR="00070293" w:rsidRDefault="00070293" w:rsidP="00C02628">
      <w:pPr>
        <w:rPr>
          <w:lang w:eastAsia="en-US"/>
        </w:rPr>
      </w:pPr>
    </w:p>
    <w:bookmarkEnd w:id="1"/>
    <w:bookmarkEnd w:id="2"/>
    <w:p w14:paraId="021734A6" w14:textId="2DC1BD52" w:rsidR="00DA3C57" w:rsidRDefault="00DA3C57" w:rsidP="00DA3C57">
      <w:pPr>
        <w:pStyle w:val="berschrift2"/>
        <w:rPr>
          <w:lang w:val="en-US"/>
        </w:rPr>
      </w:pPr>
      <w:r>
        <w:rPr>
          <w:lang w:val="en-US"/>
        </w:rPr>
        <w:t xml:space="preserve"> Channel modelling considerations</w:t>
      </w:r>
    </w:p>
    <w:p w14:paraId="7C88B253" w14:textId="62A90AC6" w:rsidR="00DA3C57" w:rsidRDefault="00CB6F69" w:rsidP="00DA3C57">
      <w:pPr>
        <w:rPr>
          <w:lang w:eastAsia="en-US"/>
        </w:rPr>
      </w:pPr>
      <w:r>
        <w:rPr>
          <w:lang w:eastAsia="en-US"/>
        </w:rPr>
        <w:t xml:space="preserve">In the last meeting the discussion on feasibility of channel modelling </w:t>
      </w:r>
      <w:r w:rsidR="003E0009">
        <w:rPr>
          <w:lang w:eastAsia="en-US"/>
        </w:rPr>
        <w:t>options 1 and 2 according to [4</w:t>
      </w:r>
      <w:r>
        <w:rPr>
          <w:lang w:eastAsia="en-US"/>
        </w:rPr>
        <w:t>] took place and both options were seen as feasible from a TE vendor point of view.</w:t>
      </w:r>
    </w:p>
    <w:p w14:paraId="115AEC75" w14:textId="6F557403" w:rsidR="00166C6A" w:rsidRDefault="00166C6A" w:rsidP="00DA3C57">
      <w:pPr>
        <w:rPr>
          <w:lang w:eastAsia="en-US"/>
        </w:rPr>
      </w:pPr>
      <w:r>
        <w:rPr>
          <w:lang w:eastAsia="en-US"/>
        </w:rPr>
        <w:t xml:space="preserve">During the discussions on demodulation testing for FR2 it was discussed </w:t>
      </w:r>
      <w:r w:rsidR="00DE18B2">
        <w:rPr>
          <w:lang w:eastAsia="en-US"/>
        </w:rPr>
        <w:t>to define the delay profile of the channel model independently of the correlation between the faded channels</w:t>
      </w:r>
      <w:r>
        <w:rPr>
          <w:lang w:eastAsia="en-US"/>
        </w:rPr>
        <w:t xml:space="preserve"> </w:t>
      </w:r>
      <w:r w:rsidR="00283439">
        <w:rPr>
          <w:lang w:eastAsia="en-US"/>
        </w:rPr>
        <w:t>[5]</w:t>
      </w:r>
      <w:r>
        <w:rPr>
          <w:lang w:eastAsia="en-US"/>
        </w:rPr>
        <w:t xml:space="preserve">. </w:t>
      </w:r>
      <w:r w:rsidR="00DE18B2">
        <w:rPr>
          <w:lang w:eastAsia="en-US"/>
        </w:rPr>
        <w:t>As already discussed in the last meeting and pointed out in TR 38.810, t</w:t>
      </w:r>
      <w:r>
        <w:rPr>
          <w:lang w:eastAsia="en-US"/>
        </w:rPr>
        <w:t xml:space="preserve">his is not feasible by using </w:t>
      </w:r>
      <w:r>
        <w:rPr>
          <w:lang w:eastAsia="en-US"/>
        </w:rPr>
        <w:lastRenderedPageBreak/>
        <w:t>the current approach defined for Option 2 in TR 38.810. Here the correlation is implicitly defined by selecting the parameters of the channel model.</w:t>
      </w:r>
    </w:p>
    <w:p w14:paraId="7F03D345" w14:textId="6D30116D" w:rsidR="003E0009" w:rsidRDefault="00166C6A" w:rsidP="00DA3C57">
      <w:pPr>
        <w:rPr>
          <w:lang w:eastAsia="en-US"/>
        </w:rPr>
      </w:pPr>
      <w:r>
        <w:rPr>
          <w:lang w:eastAsia="en-US"/>
        </w:rPr>
        <w:t xml:space="preserve">A different option would be </w:t>
      </w:r>
      <w:r w:rsidR="0094653D">
        <w:rPr>
          <w:lang w:eastAsia="en-US"/>
        </w:rPr>
        <w:t xml:space="preserve">to </w:t>
      </w:r>
      <w:r>
        <w:rPr>
          <w:lang w:eastAsia="en-US"/>
        </w:rPr>
        <w:t xml:space="preserve">consider to model </w:t>
      </w:r>
      <w:r w:rsidR="00393909">
        <w:rPr>
          <w:lang w:eastAsia="en-US"/>
        </w:rPr>
        <w:t>the fading and Doppler spectrum for Option 2 by using a Filtered Noise approach as already briefly discussed in [</w:t>
      </w:r>
      <w:r w:rsidR="00283439">
        <w:rPr>
          <w:lang w:eastAsia="en-US"/>
        </w:rPr>
        <w:t>6</w:t>
      </w:r>
      <w:r w:rsidR="00393909">
        <w:rPr>
          <w:lang w:eastAsia="en-US"/>
        </w:rPr>
        <w:t xml:space="preserve">]. </w:t>
      </w:r>
    </w:p>
    <w:p w14:paraId="5ECFE880" w14:textId="4EE4A55D" w:rsidR="00393909" w:rsidRDefault="00166C6A" w:rsidP="00DA3C57">
      <w:pPr>
        <w:rPr>
          <w:lang w:eastAsia="en-US"/>
        </w:rPr>
      </w:pPr>
      <w:r>
        <w:rPr>
          <w:lang w:eastAsia="en-US"/>
        </w:rPr>
        <w:t>In this case</w:t>
      </w:r>
      <w:r w:rsidR="003E0009">
        <w:rPr>
          <w:lang w:eastAsia="en-US"/>
        </w:rPr>
        <w:t xml:space="preserve"> </w:t>
      </w:r>
      <w:r w:rsidR="00393909">
        <w:rPr>
          <w:lang w:eastAsia="en-US"/>
        </w:rPr>
        <w:t xml:space="preserve">it would be possible to set the correlation between the faded channels as required per test case, by using correlation </w:t>
      </w:r>
      <w:r w:rsidR="0094653D">
        <w:rPr>
          <w:lang w:eastAsia="en-US"/>
        </w:rPr>
        <w:t>matrices</w:t>
      </w:r>
      <w:r w:rsidR="00393909">
        <w:rPr>
          <w:lang w:eastAsia="en-US"/>
        </w:rPr>
        <w:t xml:space="preserve"> that are independent from the fading itself. This would </w:t>
      </w:r>
      <w:r w:rsidR="003E0009">
        <w:rPr>
          <w:lang w:eastAsia="en-US"/>
        </w:rPr>
        <w:t>result in</w:t>
      </w:r>
      <w:r w:rsidR="00393909">
        <w:rPr>
          <w:lang w:eastAsia="en-US"/>
        </w:rPr>
        <w:t xml:space="preserve"> a similar approach as for LTE today.</w:t>
      </w:r>
    </w:p>
    <w:p w14:paraId="34B77B0E" w14:textId="50BFE9D9" w:rsidR="00393909" w:rsidRDefault="00166C6A" w:rsidP="00DA3C57">
      <w:pPr>
        <w:rPr>
          <w:lang w:eastAsia="en-US"/>
        </w:rPr>
      </w:pPr>
      <w:r>
        <w:rPr>
          <w:lang w:eastAsia="en-US"/>
        </w:rPr>
        <w:t>The n</w:t>
      </w:r>
      <w:r w:rsidR="00393909">
        <w:rPr>
          <w:lang w:eastAsia="en-US"/>
        </w:rPr>
        <w:t xml:space="preserve">ecessary filter coefficients </w:t>
      </w:r>
      <w:r>
        <w:rPr>
          <w:lang w:eastAsia="en-US"/>
        </w:rPr>
        <w:t xml:space="preserve">can be derived </w:t>
      </w:r>
      <w:r w:rsidR="00393909">
        <w:rPr>
          <w:lang w:eastAsia="en-US"/>
        </w:rPr>
        <w:t>from the equations in 38.901 for Option 2</w:t>
      </w:r>
      <w:r>
        <w:rPr>
          <w:lang w:eastAsia="en-US"/>
        </w:rPr>
        <w:t>, so that</w:t>
      </w:r>
      <w:r w:rsidR="00393909">
        <w:rPr>
          <w:lang w:eastAsia="en-US"/>
        </w:rPr>
        <w:t xml:space="preserve"> it can be guaranteed that the fading model will </w:t>
      </w:r>
      <w:r w:rsidR="004E7D27">
        <w:rPr>
          <w:lang w:eastAsia="en-US"/>
        </w:rPr>
        <w:t>use</w:t>
      </w:r>
      <w:r w:rsidR="00393909">
        <w:rPr>
          <w:lang w:eastAsia="en-US"/>
        </w:rPr>
        <w:t xml:space="preserve"> the correct Doppler Spectrum</w:t>
      </w:r>
      <w:r>
        <w:rPr>
          <w:lang w:eastAsia="en-US"/>
        </w:rPr>
        <w:t>.</w:t>
      </w:r>
    </w:p>
    <w:p w14:paraId="18AFA5FE" w14:textId="5D11B516" w:rsidR="00393909" w:rsidRDefault="00166C6A" w:rsidP="00DA3C57">
      <w:pPr>
        <w:rPr>
          <w:lang w:eastAsia="en-US"/>
        </w:rPr>
      </w:pPr>
      <w:r>
        <w:rPr>
          <w:lang w:eastAsia="en-US"/>
        </w:rPr>
        <w:t xml:space="preserve">Another benefit </w:t>
      </w:r>
      <w:r w:rsidR="0094653D">
        <w:rPr>
          <w:lang w:eastAsia="en-US"/>
        </w:rPr>
        <w:t xml:space="preserve">of this approach </w:t>
      </w:r>
      <w:r>
        <w:rPr>
          <w:lang w:eastAsia="en-US"/>
        </w:rPr>
        <w:t>would</w:t>
      </w:r>
      <w:r w:rsidR="00393909">
        <w:rPr>
          <w:lang w:eastAsia="en-US"/>
        </w:rPr>
        <w:t xml:space="preserve"> be </w:t>
      </w:r>
      <w:r>
        <w:rPr>
          <w:lang w:eastAsia="en-US"/>
        </w:rPr>
        <w:t xml:space="preserve">that it would be </w:t>
      </w:r>
      <w:r w:rsidR="00393909">
        <w:rPr>
          <w:lang w:eastAsia="en-US"/>
        </w:rPr>
        <w:t>much easier to compare the implementations of the fading between different test setups/vendors and thus guarantee a correct impl</w:t>
      </w:r>
      <w:r>
        <w:rPr>
          <w:lang w:eastAsia="en-US"/>
        </w:rPr>
        <w:t>ementation of the fading models.</w:t>
      </w:r>
    </w:p>
    <w:p w14:paraId="085DC3BA" w14:textId="2A7A9E7D" w:rsidR="00393909" w:rsidRPr="00DA3C57" w:rsidRDefault="00393909" w:rsidP="00DA3C57">
      <w:pPr>
        <w:rPr>
          <w:lang w:eastAsia="en-US"/>
        </w:rPr>
      </w:pPr>
      <w:r>
        <w:rPr>
          <w:b/>
          <w:lang w:eastAsia="en-US"/>
        </w:rPr>
        <w:t>Proposal 2</w:t>
      </w:r>
      <w:r w:rsidRPr="00DA3C57">
        <w:rPr>
          <w:b/>
          <w:lang w:eastAsia="en-US"/>
        </w:rPr>
        <w:t>:</w:t>
      </w:r>
      <w:r w:rsidR="00514682">
        <w:rPr>
          <w:lang w:eastAsia="en-US"/>
        </w:rPr>
        <w:t xml:space="preserve"> RAN4 agrees </w:t>
      </w:r>
      <w:r w:rsidR="00480086">
        <w:rPr>
          <w:lang w:eastAsia="en-US"/>
        </w:rPr>
        <w:t xml:space="preserve">on </w:t>
      </w:r>
      <w:r>
        <w:rPr>
          <w:lang w:eastAsia="en-US"/>
        </w:rPr>
        <w:t>a filtered noise approach for the fading models according to Option 2.</w:t>
      </w:r>
    </w:p>
    <w:p w14:paraId="6A30F3C3" w14:textId="637B0F47" w:rsidR="00EE0AC3" w:rsidRDefault="00502F88" w:rsidP="00DA3C57">
      <w:pPr>
        <w:pStyle w:val="berschrift1"/>
        <w:rPr>
          <w:rFonts w:cs="Arial"/>
        </w:rPr>
      </w:pPr>
      <w:r>
        <w:rPr>
          <w:rFonts w:cs="Arial"/>
        </w:rPr>
        <w:t>Conclusions</w:t>
      </w:r>
    </w:p>
    <w:p w14:paraId="05A05D04" w14:textId="0BDC4B55" w:rsidR="00340854" w:rsidRDefault="00F14C0A" w:rsidP="00ED647C">
      <w:pPr>
        <w:rPr>
          <w:lang w:val="en-GB" w:eastAsia="en-US"/>
        </w:rPr>
      </w:pPr>
      <w:r>
        <w:rPr>
          <w:lang w:val="en-GB" w:eastAsia="en-US"/>
        </w:rPr>
        <w:t xml:space="preserve">In this paper we discussed the channel modelling for NR FR2. </w:t>
      </w:r>
      <w:r w:rsidR="00340854">
        <w:rPr>
          <w:lang w:val="en-GB" w:eastAsia="en-US"/>
        </w:rPr>
        <w:t>Based on the discussion we make the following proposals.</w:t>
      </w:r>
    </w:p>
    <w:p w14:paraId="1D42BF64" w14:textId="2806C85D" w:rsidR="00340854" w:rsidRPr="00340854" w:rsidRDefault="00340854" w:rsidP="00ED647C">
      <w:pPr>
        <w:rPr>
          <w:lang w:val="en-GB" w:eastAsia="en-US"/>
        </w:rPr>
      </w:pPr>
      <w:r w:rsidRPr="00DA3C57">
        <w:rPr>
          <w:b/>
          <w:lang w:eastAsia="en-US"/>
        </w:rPr>
        <w:t>Proposal 1:</w:t>
      </w:r>
      <w:r>
        <w:rPr>
          <w:lang w:eastAsia="en-US"/>
        </w:rPr>
        <w:t xml:space="preserve"> For NR FR2 uncorrelated fading is applied to each carrier is individually and the same path delay grid as agreed for single carrier operation is applied to each CC.</w:t>
      </w:r>
    </w:p>
    <w:p w14:paraId="5DFD80B3" w14:textId="54F8D2DA" w:rsidR="00340854" w:rsidRPr="00340854" w:rsidRDefault="00340854" w:rsidP="00ED647C">
      <w:pPr>
        <w:rPr>
          <w:lang w:val="en-GB" w:eastAsia="en-US"/>
        </w:rPr>
      </w:pPr>
      <w:r>
        <w:rPr>
          <w:b/>
          <w:lang w:eastAsia="en-US"/>
        </w:rPr>
        <w:t>Proposal 2</w:t>
      </w:r>
      <w:r w:rsidRPr="00DA3C57">
        <w:rPr>
          <w:b/>
          <w:lang w:eastAsia="en-US"/>
        </w:rPr>
        <w:t>:</w:t>
      </w:r>
      <w:r>
        <w:rPr>
          <w:lang w:eastAsia="en-US"/>
        </w:rPr>
        <w:t xml:space="preserve"> RAN4 agrees on a filtered noise approach for the fading models according to Option 2.</w:t>
      </w:r>
    </w:p>
    <w:p w14:paraId="1559997D" w14:textId="4AF64BAF" w:rsidR="00030A7F" w:rsidRPr="00DE4417" w:rsidRDefault="00030A7F" w:rsidP="00711530">
      <w:pPr>
        <w:pStyle w:val="berschrift1"/>
        <w:numPr>
          <w:ilvl w:val="0"/>
          <w:numId w:val="0"/>
        </w:numPr>
        <w:rPr>
          <w:rFonts w:cs="Arial"/>
        </w:rPr>
      </w:pPr>
      <w:bookmarkStart w:id="3" w:name="_Ref473660868"/>
      <w:bookmarkStart w:id="4" w:name="_Ref473660708"/>
      <w:bookmarkStart w:id="5" w:name="OLE_LINK6"/>
      <w:bookmarkStart w:id="6" w:name="OLE_LINK7"/>
      <w:r w:rsidRPr="00DE4417">
        <w:rPr>
          <w:rFonts w:cs="Arial"/>
        </w:rPr>
        <w:t>References</w:t>
      </w:r>
    </w:p>
    <w:bookmarkEnd w:id="3"/>
    <w:bookmarkEnd w:id="4"/>
    <w:bookmarkEnd w:id="5"/>
    <w:bookmarkEnd w:id="6"/>
    <w:p w14:paraId="092B39A6" w14:textId="39C32D6B" w:rsidR="009A37B8" w:rsidRDefault="009A37B8" w:rsidP="009A37B8">
      <w:pPr>
        <w:pStyle w:val="Listenabsatz"/>
        <w:numPr>
          <w:ilvl w:val="0"/>
          <w:numId w:val="46"/>
        </w:numPr>
        <w:spacing w:after="0" w:line="240" w:lineRule="auto"/>
        <w:rPr>
          <w:lang w:val="en-GB"/>
        </w:rPr>
      </w:pPr>
      <w:r w:rsidRPr="009A37B8">
        <w:rPr>
          <w:lang w:val="en-GB"/>
        </w:rPr>
        <w:t>R4-180</w:t>
      </w:r>
      <w:r w:rsidR="00DA3C57">
        <w:rPr>
          <w:lang w:val="en-GB"/>
        </w:rPr>
        <w:t>8541</w:t>
      </w:r>
      <w:r w:rsidRPr="009A37B8">
        <w:rPr>
          <w:lang w:val="en-GB"/>
        </w:rPr>
        <w:t>:</w:t>
      </w:r>
      <w:r w:rsidRPr="009A37B8">
        <w:rPr>
          <w:lang w:val="en-US"/>
        </w:rPr>
        <w:t xml:space="preserve"> </w:t>
      </w:r>
      <w:r w:rsidRPr="009A37B8">
        <w:rPr>
          <w:lang w:val="en-GB"/>
        </w:rPr>
        <w:t>Way Forward on Concluding the NR Test Methods SI</w:t>
      </w:r>
      <w:r>
        <w:rPr>
          <w:lang w:val="en-GB"/>
        </w:rPr>
        <w:t xml:space="preserve">; </w:t>
      </w:r>
      <w:r w:rsidRPr="009A37B8">
        <w:rPr>
          <w:lang w:val="en-GB"/>
        </w:rPr>
        <w:t>Intel, CATR, Rohde &amp; Schwarz, Anritsu, Spir</w:t>
      </w:r>
      <w:r>
        <w:rPr>
          <w:lang w:val="en-GB"/>
        </w:rPr>
        <w:t xml:space="preserve">ent; </w:t>
      </w:r>
      <w:r w:rsidRPr="009A37B8">
        <w:rPr>
          <w:lang w:val="en-GB"/>
        </w:rPr>
        <w:t xml:space="preserve">RAN4 #87; </w:t>
      </w:r>
      <w:r>
        <w:rPr>
          <w:lang w:val="en-GB"/>
        </w:rPr>
        <w:t>Busan May 2018</w:t>
      </w:r>
    </w:p>
    <w:p w14:paraId="0F9B3F6C" w14:textId="75D013CA" w:rsidR="009A37B8" w:rsidRPr="009A37B8" w:rsidRDefault="009A37B8" w:rsidP="00DA3C57">
      <w:pPr>
        <w:pStyle w:val="Listenabsatz"/>
        <w:numPr>
          <w:ilvl w:val="0"/>
          <w:numId w:val="46"/>
        </w:numPr>
        <w:spacing w:after="0" w:line="240" w:lineRule="auto"/>
        <w:rPr>
          <w:lang w:val="en-GB"/>
        </w:rPr>
      </w:pPr>
      <w:r w:rsidRPr="009A37B8">
        <w:rPr>
          <w:lang w:val="en-GB"/>
        </w:rPr>
        <w:t>R4-180</w:t>
      </w:r>
      <w:r w:rsidR="00DA3C57">
        <w:rPr>
          <w:lang w:val="en-GB"/>
        </w:rPr>
        <w:t>8400</w:t>
      </w:r>
      <w:r w:rsidRPr="009A37B8">
        <w:rPr>
          <w:lang w:val="en-GB"/>
        </w:rPr>
        <w:t>:</w:t>
      </w:r>
      <w:r w:rsidRPr="009A37B8">
        <w:rPr>
          <w:lang w:val="en-US"/>
        </w:rPr>
        <w:t xml:space="preserve"> </w:t>
      </w:r>
      <w:r w:rsidR="00DA3C57" w:rsidRPr="00DA3C57">
        <w:rPr>
          <w:lang w:val="en-GB"/>
        </w:rPr>
        <w:t>NR Test Methods SI ad-hoc meeting notes</w:t>
      </w:r>
      <w:r w:rsidRPr="009A37B8">
        <w:rPr>
          <w:lang w:val="en-GB"/>
        </w:rPr>
        <w:t xml:space="preserve">; </w:t>
      </w:r>
      <w:r w:rsidR="00DA3C57">
        <w:rPr>
          <w:lang w:val="en-GB"/>
        </w:rPr>
        <w:t>Intel Corporation</w:t>
      </w:r>
      <w:r w:rsidRPr="009A37B8">
        <w:rPr>
          <w:lang w:val="en-GB"/>
        </w:rPr>
        <w:t xml:space="preserve">; RAN4 #87; </w:t>
      </w:r>
      <w:r>
        <w:rPr>
          <w:lang w:val="en-GB"/>
        </w:rPr>
        <w:t>Busan May 2018</w:t>
      </w:r>
    </w:p>
    <w:p w14:paraId="5EE539ED" w14:textId="079E63C4" w:rsidR="00C02628" w:rsidRDefault="00C02628" w:rsidP="00857BA8">
      <w:pPr>
        <w:pStyle w:val="Listenabsatz"/>
        <w:numPr>
          <w:ilvl w:val="0"/>
          <w:numId w:val="46"/>
        </w:numPr>
        <w:spacing w:after="0" w:line="240" w:lineRule="auto"/>
        <w:rPr>
          <w:lang w:val="en-GB"/>
        </w:rPr>
      </w:pPr>
      <w:r w:rsidRPr="009A37B8">
        <w:rPr>
          <w:lang w:val="en-GB"/>
        </w:rPr>
        <w:t>R4-1808407:</w:t>
      </w:r>
      <w:r w:rsidRPr="009A37B8">
        <w:rPr>
          <w:lang w:val="en-US"/>
        </w:rPr>
        <w:t xml:space="preserve"> </w:t>
      </w:r>
      <w:r w:rsidRPr="009A37B8">
        <w:rPr>
          <w:lang w:val="en-GB"/>
        </w:rPr>
        <w:t>TP on path delay grid for channel models</w:t>
      </w:r>
      <w:r w:rsidR="009A37B8" w:rsidRPr="009A37B8">
        <w:rPr>
          <w:lang w:val="en-GB"/>
        </w:rPr>
        <w:t xml:space="preserve">; Rohde &amp; Schwarz; RAN4 #87; </w:t>
      </w:r>
      <w:r w:rsidR="009A37B8">
        <w:rPr>
          <w:lang w:val="en-GB"/>
        </w:rPr>
        <w:t>Busan May 2018</w:t>
      </w:r>
    </w:p>
    <w:p w14:paraId="62660A80" w14:textId="3616DFCC" w:rsidR="00393909" w:rsidRDefault="00393909" w:rsidP="00337A72">
      <w:pPr>
        <w:pStyle w:val="Listenabsatz"/>
        <w:numPr>
          <w:ilvl w:val="0"/>
          <w:numId w:val="46"/>
        </w:numPr>
        <w:spacing w:after="0" w:line="240" w:lineRule="auto"/>
        <w:rPr>
          <w:lang w:val="en-GB"/>
        </w:rPr>
      </w:pPr>
      <w:r>
        <w:rPr>
          <w:lang w:val="en-GB"/>
        </w:rPr>
        <w:t>R4-</w:t>
      </w:r>
      <w:r w:rsidR="00337A72">
        <w:rPr>
          <w:lang w:val="en-GB"/>
        </w:rPr>
        <w:t xml:space="preserve">1805895: </w:t>
      </w:r>
      <w:r w:rsidR="00337A72" w:rsidRPr="00337A72">
        <w:rPr>
          <w:lang w:val="en-GB"/>
        </w:rPr>
        <w:t>WF on Channel model for Demodulation for FR2</w:t>
      </w:r>
      <w:r w:rsidR="00337A72">
        <w:rPr>
          <w:lang w:val="en-GB"/>
        </w:rPr>
        <w:t xml:space="preserve">; Qualcomm, </w:t>
      </w:r>
      <w:proofErr w:type="spellStart"/>
      <w:r w:rsidR="00337A72">
        <w:rPr>
          <w:lang w:val="en-GB"/>
        </w:rPr>
        <w:t>Keysight</w:t>
      </w:r>
      <w:proofErr w:type="spellEnd"/>
      <w:r w:rsidR="00337A72">
        <w:rPr>
          <w:lang w:val="en-GB"/>
        </w:rPr>
        <w:t xml:space="preserve"> Technologies, Spirent; </w:t>
      </w:r>
      <w:r w:rsidR="00337A72" w:rsidRPr="009A37B8">
        <w:rPr>
          <w:lang w:val="en-GB"/>
        </w:rPr>
        <w:t xml:space="preserve">RAN4 </w:t>
      </w:r>
      <w:r w:rsidR="00337A72">
        <w:rPr>
          <w:lang w:val="en-GB"/>
        </w:rPr>
        <w:t>#86bis</w:t>
      </w:r>
      <w:r w:rsidR="00337A72" w:rsidRPr="009A37B8">
        <w:rPr>
          <w:lang w:val="en-GB"/>
        </w:rPr>
        <w:t xml:space="preserve">; </w:t>
      </w:r>
      <w:r w:rsidR="00337A72">
        <w:rPr>
          <w:lang w:val="en-GB"/>
        </w:rPr>
        <w:t>Melbourne April 2018</w:t>
      </w:r>
    </w:p>
    <w:p w14:paraId="269477F1" w14:textId="2219CB23" w:rsidR="00283439" w:rsidRPr="00283439" w:rsidRDefault="00283439" w:rsidP="00283439">
      <w:pPr>
        <w:pStyle w:val="Listenabsatz"/>
        <w:numPr>
          <w:ilvl w:val="0"/>
          <w:numId w:val="46"/>
        </w:numPr>
        <w:spacing w:after="0" w:line="240" w:lineRule="auto"/>
        <w:rPr>
          <w:lang w:val="en-GB"/>
        </w:rPr>
      </w:pPr>
      <w:r>
        <w:rPr>
          <w:lang w:val="en-GB"/>
        </w:rPr>
        <w:t xml:space="preserve">Ra-1805315: </w:t>
      </w:r>
      <w:r w:rsidRPr="00283439">
        <w:rPr>
          <w:lang w:val="en-GB"/>
        </w:rPr>
        <w:t>Discussion on NR channel models for performance requirements</w:t>
      </w:r>
      <w:r>
        <w:rPr>
          <w:lang w:val="en-GB"/>
        </w:rPr>
        <w:t xml:space="preserve">; </w:t>
      </w:r>
      <w:r w:rsidRPr="00283439">
        <w:rPr>
          <w:lang w:val="en-GB"/>
        </w:rPr>
        <w:t xml:space="preserve">Huawei, </w:t>
      </w:r>
      <w:proofErr w:type="spellStart"/>
      <w:r w:rsidRPr="00283439">
        <w:rPr>
          <w:lang w:val="en-GB"/>
        </w:rPr>
        <w:t>HiSilicon</w:t>
      </w:r>
      <w:proofErr w:type="spellEnd"/>
      <w:r>
        <w:rPr>
          <w:lang w:val="en-GB"/>
        </w:rPr>
        <w:t xml:space="preserve">; </w:t>
      </w:r>
      <w:r w:rsidRPr="009A37B8">
        <w:rPr>
          <w:lang w:val="en-GB"/>
        </w:rPr>
        <w:t xml:space="preserve">RAN4 </w:t>
      </w:r>
      <w:r>
        <w:rPr>
          <w:lang w:val="en-GB"/>
        </w:rPr>
        <w:t>#86bis</w:t>
      </w:r>
      <w:r w:rsidRPr="009A37B8">
        <w:rPr>
          <w:lang w:val="en-GB"/>
        </w:rPr>
        <w:t xml:space="preserve">; </w:t>
      </w:r>
      <w:r>
        <w:rPr>
          <w:lang w:val="en-GB"/>
        </w:rPr>
        <w:t>Melbourne April 2018</w:t>
      </w:r>
      <w:r w:rsidRPr="00283439">
        <w:rPr>
          <w:lang w:val="en-GB"/>
        </w:rPr>
        <w:t xml:space="preserve"> </w:t>
      </w:r>
    </w:p>
    <w:p w14:paraId="18435E94" w14:textId="3FB7E064" w:rsidR="00393909" w:rsidRPr="00DE4417" w:rsidRDefault="00393909" w:rsidP="003E0009">
      <w:pPr>
        <w:pStyle w:val="Listenabsatz"/>
        <w:numPr>
          <w:ilvl w:val="0"/>
          <w:numId w:val="46"/>
        </w:numPr>
        <w:spacing w:after="0" w:line="240" w:lineRule="auto"/>
        <w:rPr>
          <w:lang w:val="en-GB"/>
        </w:rPr>
      </w:pPr>
      <w:r>
        <w:rPr>
          <w:lang w:val="en-GB"/>
        </w:rPr>
        <w:t xml:space="preserve">R4-1807850: </w:t>
      </w:r>
      <w:r w:rsidR="003E0009" w:rsidRPr="003E0009">
        <w:rPr>
          <w:lang w:val="en-GB"/>
        </w:rPr>
        <w:t xml:space="preserve">TDL Channel Model Considerations for </w:t>
      </w:r>
      <w:proofErr w:type="spellStart"/>
      <w:r w:rsidR="003E0009" w:rsidRPr="003E0009">
        <w:rPr>
          <w:lang w:val="en-GB"/>
        </w:rPr>
        <w:t>Demod</w:t>
      </w:r>
      <w:proofErr w:type="spellEnd"/>
      <w:r w:rsidR="003E0009" w:rsidRPr="003E0009">
        <w:rPr>
          <w:lang w:val="en-GB"/>
        </w:rPr>
        <w:t xml:space="preserve"> Testing</w:t>
      </w:r>
      <w:r w:rsidR="003E0009">
        <w:rPr>
          <w:lang w:val="en-GB"/>
        </w:rPr>
        <w:t xml:space="preserve">; </w:t>
      </w:r>
      <w:proofErr w:type="spellStart"/>
      <w:r w:rsidR="003E0009">
        <w:rPr>
          <w:lang w:val="en-GB"/>
        </w:rPr>
        <w:t>Keysight</w:t>
      </w:r>
      <w:proofErr w:type="spellEnd"/>
      <w:r w:rsidR="003E0009">
        <w:rPr>
          <w:lang w:val="en-GB"/>
        </w:rPr>
        <w:t xml:space="preserve">; </w:t>
      </w:r>
      <w:r w:rsidR="003E0009" w:rsidRPr="009A37B8">
        <w:rPr>
          <w:lang w:val="en-GB"/>
        </w:rPr>
        <w:t xml:space="preserve">RAN4 #87; </w:t>
      </w:r>
      <w:r w:rsidR="003E0009">
        <w:rPr>
          <w:lang w:val="en-GB"/>
        </w:rPr>
        <w:t>Busan May 2018</w:t>
      </w:r>
    </w:p>
    <w:sectPr w:rsidR="00393909" w:rsidRPr="00DE4417"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96F2DA" w14:textId="77777777" w:rsidR="00A536E3" w:rsidRDefault="00A536E3" w:rsidP="00371D7D">
      <w:r>
        <w:separator/>
      </w:r>
    </w:p>
  </w:endnote>
  <w:endnote w:type="continuationSeparator" w:id="0">
    <w:p w14:paraId="720DFA43" w14:textId="77777777" w:rsidR="00A536E3" w:rsidRDefault="00A536E3"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0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3C721797"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E53BDD">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158A12" w14:textId="77777777" w:rsidR="00A536E3" w:rsidRDefault="00A536E3" w:rsidP="00371D7D">
      <w:r>
        <w:separator/>
      </w:r>
    </w:p>
  </w:footnote>
  <w:footnote w:type="continuationSeparator" w:id="0">
    <w:p w14:paraId="57654D9A" w14:textId="77777777" w:rsidR="00A536E3" w:rsidRDefault="00A536E3"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4454636"/>
    <w:multiLevelType w:val="hybridMultilevel"/>
    <w:tmpl w:val="8DF46C2E"/>
    <w:lvl w:ilvl="0" w:tplc="AA3A0CA0">
      <w:start w:val="1"/>
      <w:numFmt w:val="bullet"/>
      <w:lvlText w:val="–"/>
      <w:lvlJc w:val="left"/>
      <w:pPr>
        <w:tabs>
          <w:tab w:val="num" w:pos="720"/>
        </w:tabs>
        <w:ind w:left="720" w:hanging="360"/>
      </w:pPr>
      <w:rPr>
        <w:rFonts w:ascii="Arial" w:hAnsi="Arial" w:hint="default"/>
      </w:rPr>
    </w:lvl>
    <w:lvl w:ilvl="1" w:tplc="ACB8984A">
      <w:start w:val="1"/>
      <w:numFmt w:val="bullet"/>
      <w:lvlText w:val="–"/>
      <w:lvlJc w:val="left"/>
      <w:pPr>
        <w:tabs>
          <w:tab w:val="num" w:pos="1440"/>
        </w:tabs>
        <w:ind w:left="1440" w:hanging="360"/>
      </w:pPr>
      <w:rPr>
        <w:rFonts w:ascii="Arial" w:hAnsi="Arial" w:hint="default"/>
      </w:rPr>
    </w:lvl>
    <w:lvl w:ilvl="2" w:tplc="FDAEC096" w:tentative="1">
      <w:start w:val="1"/>
      <w:numFmt w:val="bullet"/>
      <w:lvlText w:val="–"/>
      <w:lvlJc w:val="left"/>
      <w:pPr>
        <w:tabs>
          <w:tab w:val="num" w:pos="2160"/>
        </w:tabs>
        <w:ind w:left="2160" w:hanging="360"/>
      </w:pPr>
      <w:rPr>
        <w:rFonts w:ascii="Arial" w:hAnsi="Arial" w:hint="default"/>
      </w:rPr>
    </w:lvl>
    <w:lvl w:ilvl="3" w:tplc="E47AC7DC" w:tentative="1">
      <w:start w:val="1"/>
      <w:numFmt w:val="bullet"/>
      <w:lvlText w:val="–"/>
      <w:lvlJc w:val="left"/>
      <w:pPr>
        <w:tabs>
          <w:tab w:val="num" w:pos="2880"/>
        </w:tabs>
        <w:ind w:left="2880" w:hanging="360"/>
      </w:pPr>
      <w:rPr>
        <w:rFonts w:ascii="Arial" w:hAnsi="Arial" w:hint="default"/>
      </w:rPr>
    </w:lvl>
    <w:lvl w:ilvl="4" w:tplc="B50C218E" w:tentative="1">
      <w:start w:val="1"/>
      <w:numFmt w:val="bullet"/>
      <w:lvlText w:val="–"/>
      <w:lvlJc w:val="left"/>
      <w:pPr>
        <w:tabs>
          <w:tab w:val="num" w:pos="3600"/>
        </w:tabs>
        <w:ind w:left="3600" w:hanging="360"/>
      </w:pPr>
      <w:rPr>
        <w:rFonts w:ascii="Arial" w:hAnsi="Arial" w:hint="default"/>
      </w:rPr>
    </w:lvl>
    <w:lvl w:ilvl="5" w:tplc="AE661036" w:tentative="1">
      <w:start w:val="1"/>
      <w:numFmt w:val="bullet"/>
      <w:lvlText w:val="–"/>
      <w:lvlJc w:val="left"/>
      <w:pPr>
        <w:tabs>
          <w:tab w:val="num" w:pos="4320"/>
        </w:tabs>
        <w:ind w:left="4320" w:hanging="360"/>
      </w:pPr>
      <w:rPr>
        <w:rFonts w:ascii="Arial" w:hAnsi="Arial" w:hint="default"/>
      </w:rPr>
    </w:lvl>
    <w:lvl w:ilvl="6" w:tplc="66B6CCFC" w:tentative="1">
      <w:start w:val="1"/>
      <w:numFmt w:val="bullet"/>
      <w:lvlText w:val="–"/>
      <w:lvlJc w:val="left"/>
      <w:pPr>
        <w:tabs>
          <w:tab w:val="num" w:pos="5040"/>
        </w:tabs>
        <w:ind w:left="5040" w:hanging="360"/>
      </w:pPr>
      <w:rPr>
        <w:rFonts w:ascii="Arial" w:hAnsi="Arial" w:hint="default"/>
      </w:rPr>
    </w:lvl>
    <w:lvl w:ilvl="7" w:tplc="933292C0" w:tentative="1">
      <w:start w:val="1"/>
      <w:numFmt w:val="bullet"/>
      <w:lvlText w:val="–"/>
      <w:lvlJc w:val="left"/>
      <w:pPr>
        <w:tabs>
          <w:tab w:val="num" w:pos="5760"/>
        </w:tabs>
        <w:ind w:left="5760" w:hanging="360"/>
      </w:pPr>
      <w:rPr>
        <w:rFonts w:ascii="Arial" w:hAnsi="Arial" w:hint="default"/>
      </w:rPr>
    </w:lvl>
    <w:lvl w:ilvl="8" w:tplc="73920F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DF7B3E"/>
    <w:multiLevelType w:val="hybridMultilevel"/>
    <w:tmpl w:val="AE884E2E"/>
    <w:lvl w:ilvl="0" w:tplc="A49C8EDE">
      <w:start w:val="1"/>
      <w:numFmt w:val="decimal"/>
      <w:lvlText w:val="%1."/>
      <w:lvlJc w:val="left"/>
      <w:pPr>
        <w:tabs>
          <w:tab w:val="num" w:pos="720"/>
        </w:tabs>
        <w:ind w:left="720" w:hanging="360"/>
      </w:pPr>
    </w:lvl>
    <w:lvl w:ilvl="1" w:tplc="41A2582E">
      <w:start w:val="1"/>
      <w:numFmt w:val="decimal"/>
      <w:lvlText w:val="%2."/>
      <w:lvlJc w:val="left"/>
      <w:pPr>
        <w:tabs>
          <w:tab w:val="num" w:pos="1440"/>
        </w:tabs>
        <w:ind w:left="1440" w:hanging="360"/>
      </w:pPr>
    </w:lvl>
    <w:lvl w:ilvl="2" w:tplc="623C093C" w:tentative="1">
      <w:start w:val="1"/>
      <w:numFmt w:val="decimal"/>
      <w:lvlText w:val="%3."/>
      <w:lvlJc w:val="left"/>
      <w:pPr>
        <w:tabs>
          <w:tab w:val="num" w:pos="2160"/>
        </w:tabs>
        <w:ind w:left="2160" w:hanging="360"/>
      </w:pPr>
    </w:lvl>
    <w:lvl w:ilvl="3" w:tplc="C098223E" w:tentative="1">
      <w:start w:val="1"/>
      <w:numFmt w:val="decimal"/>
      <w:lvlText w:val="%4."/>
      <w:lvlJc w:val="left"/>
      <w:pPr>
        <w:tabs>
          <w:tab w:val="num" w:pos="2880"/>
        </w:tabs>
        <w:ind w:left="2880" w:hanging="360"/>
      </w:pPr>
    </w:lvl>
    <w:lvl w:ilvl="4" w:tplc="14D0EA6C" w:tentative="1">
      <w:start w:val="1"/>
      <w:numFmt w:val="decimal"/>
      <w:lvlText w:val="%5."/>
      <w:lvlJc w:val="left"/>
      <w:pPr>
        <w:tabs>
          <w:tab w:val="num" w:pos="3600"/>
        </w:tabs>
        <w:ind w:left="3600" w:hanging="360"/>
      </w:pPr>
    </w:lvl>
    <w:lvl w:ilvl="5" w:tplc="D8B65A10" w:tentative="1">
      <w:start w:val="1"/>
      <w:numFmt w:val="decimal"/>
      <w:lvlText w:val="%6."/>
      <w:lvlJc w:val="left"/>
      <w:pPr>
        <w:tabs>
          <w:tab w:val="num" w:pos="4320"/>
        </w:tabs>
        <w:ind w:left="4320" w:hanging="360"/>
      </w:pPr>
    </w:lvl>
    <w:lvl w:ilvl="6" w:tplc="9EACC04A" w:tentative="1">
      <w:start w:val="1"/>
      <w:numFmt w:val="decimal"/>
      <w:lvlText w:val="%7."/>
      <w:lvlJc w:val="left"/>
      <w:pPr>
        <w:tabs>
          <w:tab w:val="num" w:pos="5040"/>
        </w:tabs>
        <w:ind w:left="5040" w:hanging="360"/>
      </w:pPr>
    </w:lvl>
    <w:lvl w:ilvl="7" w:tplc="515CC1D0" w:tentative="1">
      <w:start w:val="1"/>
      <w:numFmt w:val="decimal"/>
      <w:lvlText w:val="%8."/>
      <w:lvlJc w:val="left"/>
      <w:pPr>
        <w:tabs>
          <w:tab w:val="num" w:pos="5760"/>
        </w:tabs>
        <w:ind w:left="5760" w:hanging="360"/>
      </w:pPr>
    </w:lvl>
    <w:lvl w:ilvl="8" w:tplc="F446D634" w:tentative="1">
      <w:start w:val="1"/>
      <w:numFmt w:val="decimal"/>
      <w:lvlText w:val="%9."/>
      <w:lvlJc w:val="left"/>
      <w:pPr>
        <w:tabs>
          <w:tab w:val="num" w:pos="6480"/>
        </w:tabs>
        <w:ind w:left="6480" w:hanging="360"/>
      </w:pPr>
    </w:lvl>
  </w:abstractNum>
  <w:abstractNum w:abstractNumId="12"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1"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5"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014E41"/>
    <w:multiLevelType w:val="hybridMultilevel"/>
    <w:tmpl w:val="B9B259C2"/>
    <w:lvl w:ilvl="0" w:tplc="BF00D2E8">
      <w:start w:val="1"/>
      <w:numFmt w:val="bullet"/>
      <w:lvlText w:val="–"/>
      <w:lvlJc w:val="left"/>
      <w:pPr>
        <w:tabs>
          <w:tab w:val="num" w:pos="720"/>
        </w:tabs>
        <w:ind w:left="720" w:hanging="360"/>
      </w:pPr>
      <w:rPr>
        <w:rFonts w:ascii="Arial" w:hAnsi="Arial" w:hint="default"/>
      </w:rPr>
    </w:lvl>
    <w:lvl w:ilvl="1" w:tplc="91701482">
      <w:start w:val="1"/>
      <w:numFmt w:val="bullet"/>
      <w:lvlText w:val="–"/>
      <w:lvlJc w:val="left"/>
      <w:pPr>
        <w:tabs>
          <w:tab w:val="num" w:pos="1440"/>
        </w:tabs>
        <w:ind w:left="1440" w:hanging="360"/>
      </w:pPr>
      <w:rPr>
        <w:rFonts w:ascii="Arial" w:hAnsi="Arial" w:hint="default"/>
      </w:rPr>
    </w:lvl>
    <w:lvl w:ilvl="2" w:tplc="43381760" w:tentative="1">
      <w:start w:val="1"/>
      <w:numFmt w:val="bullet"/>
      <w:lvlText w:val="–"/>
      <w:lvlJc w:val="left"/>
      <w:pPr>
        <w:tabs>
          <w:tab w:val="num" w:pos="2160"/>
        </w:tabs>
        <w:ind w:left="2160" w:hanging="360"/>
      </w:pPr>
      <w:rPr>
        <w:rFonts w:ascii="Arial" w:hAnsi="Arial" w:hint="default"/>
      </w:rPr>
    </w:lvl>
    <w:lvl w:ilvl="3" w:tplc="20F48E8A" w:tentative="1">
      <w:start w:val="1"/>
      <w:numFmt w:val="bullet"/>
      <w:lvlText w:val="–"/>
      <w:lvlJc w:val="left"/>
      <w:pPr>
        <w:tabs>
          <w:tab w:val="num" w:pos="2880"/>
        </w:tabs>
        <w:ind w:left="2880" w:hanging="360"/>
      </w:pPr>
      <w:rPr>
        <w:rFonts w:ascii="Arial" w:hAnsi="Arial" w:hint="default"/>
      </w:rPr>
    </w:lvl>
    <w:lvl w:ilvl="4" w:tplc="C03C4F6A" w:tentative="1">
      <w:start w:val="1"/>
      <w:numFmt w:val="bullet"/>
      <w:lvlText w:val="–"/>
      <w:lvlJc w:val="left"/>
      <w:pPr>
        <w:tabs>
          <w:tab w:val="num" w:pos="3600"/>
        </w:tabs>
        <w:ind w:left="3600" w:hanging="360"/>
      </w:pPr>
      <w:rPr>
        <w:rFonts w:ascii="Arial" w:hAnsi="Arial" w:hint="default"/>
      </w:rPr>
    </w:lvl>
    <w:lvl w:ilvl="5" w:tplc="22C41336" w:tentative="1">
      <w:start w:val="1"/>
      <w:numFmt w:val="bullet"/>
      <w:lvlText w:val="–"/>
      <w:lvlJc w:val="left"/>
      <w:pPr>
        <w:tabs>
          <w:tab w:val="num" w:pos="4320"/>
        </w:tabs>
        <w:ind w:left="4320" w:hanging="360"/>
      </w:pPr>
      <w:rPr>
        <w:rFonts w:ascii="Arial" w:hAnsi="Arial" w:hint="default"/>
      </w:rPr>
    </w:lvl>
    <w:lvl w:ilvl="6" w:tplc="76066168" w:tentative="1">
      <w:start w:val="1"/>
      <w:numFmt w:val="bullet"/>
      <w:lvlText w:val="–"/>
      <w:lvlJc w:val="left"/>
      <w:pPr>
        <w:tabs>
          <w:tab w:val="num" w:pos="5040"/>
        </w:tabs>
        <w:ind w:left="5040" w:hanging="360"/>
      </w:pPr>
      <w:rPr>
        <w:rFonts w:ascii="Arial" w:hAnsi="Arial" w:hint="default"/>
      </w:rPr>
    </w:lvl>
    <w:lvl w:ilvl="7" w:tplc="3E70C970" w:tentative="1">
      <w:start w:val="1"/>
      <w:numFmt w:val="bullet"/>
      <w:lvlText w:val="–"/>
      <w:lvlJc w:val="left"/>
      <w:pPr>
        <w:tabs>
          <w:tab w:val="num" w:pos="5760"/>
        </w:tabs>
        <w:ind w:left="5760" w:hanging="360"/>
      </w:pPr>
      <w:rPr>
        <w:rFonts w:ascii="Arial" w:hAnsi="Arial" w:hint="default"/>
      </w:rPr>
    </w:lvl>
    <w:lvl w:ilvl="8" w:tplc="59C2D5D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5"/>
  </w:num>
  <w:num w:numId="3">
    <w:abstractNumId w:val="20"/>
  </w:num>
  <w:num w:numId="4">
    <w:abstractNumId w:val="32"/>
  </w:num>
  <w:num w:numId="5">
    <w:abstractNumId w:val="20"/>
  </w:num>
  <w:num w:numId="6">
    <w:abstractNumId w:val="20"/>
  </w:num>
  <w:num w:numId="7">
    <w:abstractNumId w:val="20"/>
  </w:num>
  <w:num w:numId="8">
    <w:abstractNumId w:val="20"/>
  </w:num>
  <w:num w:numId="9">
    <w:abstractNumId w:val="19"/>
  </w:num>
  <w:num w:numId="10">
    <w:abstractNumId w:val="21"/>
  </w:num>
  <w:num w:numId="11">
    <w:abstractNumId w:val="18"/>
  </w:num>
  <w:num w:numId="12">
    <w:abstractNumId w:val="17"/>
  </w:num>
  <w:num w:numId="13">
    <w:abstractNumId w:val="35"/>
  </w:num>
  <w:num w:numId="14">
    <w:abstractNumId w:val="20"/>
  </w:num>
  <w:num w:numId="15">
    <w:abstractNumId w:val="28"/>
  </w:num>
  <w:num w:numId="16">
    <w:abstractNumId w:val="14"/>
  </w:num>
  <w:num w:numId="17">
    <w:abstractNumId w:val="10"/>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3"/>
  </w:num>
  <w:num w:numId="23">
    <w:abstractNumId w:val="20"/>
  </w:num>
  <w:num w:numId="24">
    <w:abstractNumId w:val="12"/>
  </w:num>
  <w:num w:numId="25">
    <w:abstractNumId w:val="13"/>
  </w:num>
  <w:num w:numId="26">
    <w:abstractNumId w:val="20"/>
  </w:num>
  <w:num w:numId="27">
    <w:abstractNumId w:val="22"/>
  </w:num>
  <w:num w:numId="28">
    <w:abstractNumId w:val="4"/>
  </w:num>
  <w:num w:numId="29">
    <w:abstractNumId w:val="26"/>
  </w:num>
  <w:num w:numId="30">
    <w:abstractNumId w:val="31"/>
  </w:num>
  <w:num w:numId="31">
    <w:abstractNumId w:val="30"/>
  </w:num>
  <w:num w:numId="32">
    <w:abstractNumId w:val="8"/>
  </w:num>
  <w:num w:numId="33">
    <w:abstractNumId w:val="38"/>
  </w:num>
  <w:num w:numId="34">
    <w:abstractNumId w:val="3"/>
  </w:num>
  <w:num w:numId="35">
    <w:abstractNumId w:val="16"/>
  </w:num>
  <w:num w:numId="36">
    <w:abstractNumId w:val="29"/>
  </w:num>
  <w:num w:numId="37">
    <w:abstractNumId w:val="24"/>
  </w:num>
  <w:num w:numId="38">
    <w:abstractNumId w:val="37"/>
  </w:num>
  <w:num w:numId="39">
    <w:abstractNumId w:val="27"/>
  </w:num>
  <w:num w:numId="40">
    <w:abstractNumId w:val="34"/>
  </w:num>
  <w:num w:numId="41">
    <w:abstractNumId w:val="25"/>
  </w:num>
  <w:num w:numId="42">
    <w:abstractNumId w:val="20"/>
  </w:num>
  <w:num w:numId="43">
    <w:abstractNumId w:val="20"/>
  </w:num>
  <w:num w:numId="44">
    <w:abstractNumId w:val="2"/>
  </w:num>
  <w:num w:numId="45">
    <w:abstractNumId w:val="7"/>
  </w:num>
  <w:num w:numId="46">
    <w:abstractNumId w:val="9"/>
  </w:num>
  <w:num w:numId="47">
    <w:abstractNumId w:val="36"/>
  </w:num>
  <w:num w:numId="48">
    <w:abstractNumId w:val="1"/>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6221F"/>
    <w:rsid w:val="00063C4D"/>
    <w:rsid w:val="000652BE"/>
    <w:rsid w:val="0006555A"/>
    <w:rsid w:val="00070293"/>
    <w:rsid w:val="00072CF5"/>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663A"/>
    <w:rsid w:val="000B7FC7"/>
    <w:rsid w:val="000C194F"/>
    <w:rsid w:val="000C2BDD"/>
    <w:rsid w:val="000C3BA5"/>
    <w:rsid w:val="000C4F6E"/>
    <w:rsid w:val="000C7078"/>
    <w:rsid w:val="000C7318"/>
    <w:rsid w:val="000C7565"/>
    <w:rsid w:val="000D0908"/>
    <w:rsid w:val="000D0E8E"/>
    <w:rsid w:val="000D0EAF"/>
    <w:rsid w:val="000D347D"/>
    <w:rsid w:val="000D68AB"/>
    <w:rsid w:val="000D79F1"/>
    <w:rsid w:val="000E00AB"/>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F9C"/>
    <w:rsid w:val="00123745"/>
    <w:rsid w:val="00123C55"/>
    <w:rsid w:val="00126CE6"/>
    <w:rsid w:val="00132BDD"/>
    <w:rsid w:val="001339FF"/>
    <w:rsid w:val="001378A7"/>
    <w:rsid w:val="0015068F"/>
    <w:rsid w:val="001530C0"/>
    <w:rsid w:val="00153604"/>
    <w:rsid w:val="001553DE"/>
    <w:rsid w:val="0015692F"/>
    <w:rsid w:val="0016379A"/>
    <w:rsid w:val="00164040"/>
    <w:rsid w:val="00166C6A"/>
    <w:rsid w:val="00167CAD"/>
    <w:rsid w:val="00167FB4"/>
    <w:rsid w:val="0017275D"/>
    <w:rsid w:val="00172D17"/>
    <w:rsid w:val="001747B0"/>
    <w:rsid w:val="00174ED5"/>
    <w:rsid w:val="00176658"/>
    <w:rsid w:val="00176791"/>
    <w:rsid w:val="00180494"/>
    <w:rsid w:val="001810A2"/>
    <w:rsid w:val="00184003"/>
    <w:rsid w:val="00193A3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259F"/>
    <w:rsid w:val="001E4CA3"/>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5CC4"/>
    <w:rsid w:val="00216449"/>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3439"/>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2DDF"/>
    <w:rsid w:val="00315F9F"/>
    <w:rsid w:val="00316376"/>
    <w:rsid w:val="00316F3F"/>
    <w:rsid w:val="003200D8"/>
    <w:rsid w:val="0032672D"/>
    <w:rsid w:val="003300C3"/>
    <w:rsid w:val="00330686"/>
    <w:rsid w:val="003321C2"/>
    <w:rsid w:val="00332D69"/>
    <w:rsid w:val="003344C4"/>
    <w:rsid w:val="00334F04"/>
    <w:rsid w:val="00337A72"/>
    <w:rsid w:val="00340854"/>
    <w:rsid w:val="003417B5"/>
    <w:rsid w:val="003434B3"/>
    <w:rsid w:val="00344B2B"/>
    <w:rsid w:val="003478A0"/>
    <w:rsid w:val="0035204A"/>
    <w:rsid w:val="0036038D"/>
    <w:rsid w:val="003607C5"/>
    <w:rsid w:val="003608E0"/>
    <w:rsid w:val="003660C7"/>
    <w:rsid w:val="003664A2"/>
    <w:rsid w:val="00367E6D"/>
    <w:rsid w:val="0037072D"/>
    <w:rsid w:val="00371D7D"/>
    <w:rsid w:val="003722DF"/>
    <w:rsid w:val="00372474"/>
    <w:rsid w:val="003728C6"/>
    <w:rsid w:val="00372DAC"/>
    <w:rsid w:val="003750AC"/>
    <w:rsid w:val="00377106"/>
    <w:rsid w:val="003812CA"/>
    <w:rsid w:val="003838EA"/>
    <w:rsid w:val="00384B70"/>
    <w:rsid w:val="0038590F"/>
    <w:rsid w:val="00393909"/>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0009"/>
    <w:rsid w:val="003E12B0"/>
    <w:rsid w:val="003E1A65"/>
    <w:rsid w:val="003E2565"/>
    <w:rsid w:val="003E5779"/>
    <w:rsid w:val="003F0E6E"/>
    <w:rsid w:val="003F1A78"/>
    <w:rsid w:val="003F426A"/>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4736"/>
    <w:rsid w:val="00465DA7"/>
    <w:rsid w:val="0046755F"/>
    <w:rsid w:val="00470182"/>
    <w:rsid w:val="00473048"/>
    <w:rsid w:val="00474149"/>
    <w:rsid w:val="00475793"/>
    <w:rsid w:val="00477362"/>
    <w:rsid w:val="00477BB8"/>
    <w:rsid w:val="00480086"/>
    <w:rsid w:val="00480E62"/>
    <w:rsid w:val="00481B3C"/>
    <w:rsid w:val="004858E1"/>
    <w:rsid w:val="0048673D"/>
    <w:rsid w:val="00487FC3"/>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74F3"/>
    <w:rsid w:val="004E1ED2"/>
    <w:rsid w:val="004E2925"/>
    <w:rsid w:val="004E3358"/>
    <w:rsid w:val="004E3BCC"/>
    <w:rsid w:val="004E4907"/>
    <w:rsid w:val="004E7D27"/>
    <w:rsid w:val="004F0412"/>
    <w:rsid w:val="004F17EE"/>
    <w:rsid w:val="004F27A7"/>
    <w:rsid w:val="004F36A7"/>
    <w:rsid w:val="004F4D21"/>
    <w:rsid w:val="004F593F"/>
    <w:rsid w:val="004F697D"/>
    <w:rsid w:val="00502740"/>
    <w:rsid w:val="00502B4D"/>
    <w:rsid w:val="00502F88"/>
    <w:rsid w:val="00510F85"/>
    <w:rsid w:val="00514682"/>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1E93"/>
    <w:rsid w:val="00581946"/>
    <w:rsid w:val="005823BA"/>
    <w:rsid w:val="00583905"/>
    <w:rsid w:val="00586465"/>
    <w:rsid w:val="00590023"/>
    <w:rsid w:val="00594B54"/>
    <w:rsid w:val="005964E4"/>
    <w:rsid w:val="005A04AB"/>
    <w:rsid w:val="005C1279"/>
    <w:rsid w:val="005C1572"/>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54178"/>
    <w:rsid w:val="0066196E"/>
    <w:rsid w:val="00664F1A"/>
    <w:rsid w:val="00667A9C"/>
    <w:rsid w:val="00674D96"/>
    <w:rsid w:val="00675624"/>
    <w:rsid w:val="00680FDD"/>
    <w:rsid w:val="00681799"/>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0690"/>
    <w:rsid w:val="0070104D"/>
    <w:rsid w:val="00706CB9"/>
    <w:rsid w:val="00707FFC"/>
    <w:rsid w:val="00711530"/>
    <w:rsid w:val="00712BF6"/>
    <w:rsid w:val="007138CB"/>
    <w:rsid w:val="007174F8"/>
    <w:rsid w:val="00720003"/>
    <w:rsid w:val="00720FB7"/>
    <w:rsid w:val="00724558"/>
    <w:rsid w:val="007246E4"/>
    <w:rsid w:val="00731B27"/>
    <w:rsid w:val="007327DA"/>
    <w:rsid w:val="00733D87"/>
    <w:rsid w:val="00735D1F"/>
    <w:rsid w:val="0073610E"/>
    <w:rsid w:val="00736A55"/>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0057"/>
    <w:rsid w:val="007827F7"/>
    <w:rsid w:val="007842C7"/>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4D3E"/>
    <w:rsid w:val="008064E5"/>
    <w:rsid w:val="00811A7C"/>
    <w:rsid w:val="00814716"/>
    <w:rsid w:val="00815718"/>
    <w:rsid w:val="008159B1"/>
    <w:rsid w:val="008211B6"/>
    <w:rsid w:val="008222DF"/>
    <w:rsid w:val="00825E45"/>
    <w:rsid w:val="00831E58"/>
    <w:rsid w:val="0083554F"/>
    <w:rsid w:val="00836315"/>
    <w:rsid w:val="00837DB8"/>
    <w:rsid w:val="00844428"/>
    <w:rsid w:val="00846CB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B0514"/>
    <w:rsid w:val="008B12D0"/>
    <w:rsid w:val="008B3E44"/>
    <w:rsid w:val="008B4257"/>
    <w:rsid w:val="008B7827"/>
    <w:rsid w:val="008B7853"/>
    <w:rsid w:val="008C2395"/>
    <w:rsid w:val="008C291E"/>
    <w:rsid w:val="008C2C73"/>
    <w:rsid w:val="008C77C6"/>
    <w:rsid w:val="008D0A86"/>
    <w:rsid w:val="008D2D94"/>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53D"/>
    <w:rsid w:val="00946BBC"/>
    <w:rsid w:val="00950962"/>
    <w:rsid w:val="00952B8A"/>
    <w:rsid w:val="0095468A"/>
    <w:rsid w:val="0095562A"/>
    <w:rsid w:val="00962E59"/>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A37B8"/>
    <w:rsid w:val="009B1044"/>
    <w:rsid w:val="009C0CB9"/>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4150"/>
    <w:rsid w:val="00A32070"/>
    <w:rsid w:val="00A33D3A"/>
    <w:rsid w:val="00A34DE5"/>
    <w:rsid w:val="00A353DC"/>
    <w:rsid w:val="00A40BA0"/>
    <w:rsid w:val="00A42596"/>
    <w:rsid w:val="00A43DCF"/>
    <w:rsid w:val="00A44C02"/>
    <w:rsid w:val="00A4537F"/>
    <w:rsid w:val="00A536E3"/>
    <w:rsid w:val="00A55AF2"/>
    <w:rsid w:val="00A57C7C"/>
    <w:rsid w:val="00A60934"/>
    <w:rsid w:val="00A62362"/>
    <w:rsid w:val="00A63A28"/>
    <w:rsid w:val="00A64C86"/>
    <w:rsid w:val="00A67985"/>
    <w:rsid w:val="00A6798F"/>
    <w:rsid w:val="00A72583"/>
    <w:rsid w:val="00A7325E"/>
    <w:rsid w:val="00A76DBE"/>
    <w:rsid w:val="00A777EC"/>
    <w:rsid w:val="00A8311E"/>
    <w:rsid w:val="00A86604"/>
    <w:rsid w:val="00A87C7B"/>
    <w:rsid w:val="00A95090"/>
    <w:rsid w:val="00A9514D"/>
    <w:rsid w:val="00A96690"/>
    <w:rsid w:val="00A97BF8"/>
    <w:rsid w:val="00AA04CC"/>
    <w:rsid w:val="00AA0D07"/>
    <w:rsid w:val="00AA0F9B"/>
    <w:rsid w:val="00AA3AF8"/>
    <w:rsid w:val="00AA66CB"/>
    <w:rsid w:val="00AA7167"/>
    <w:rsid w:val="00AB0D1B"/>
    <w:rsid w:val="00AB153A"/>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2A3F"/>
    <w:rsid w:val="00B337D5"/>
    <w:rsid w:val="00B35629"/>
    <w:rsid w:val="00B37C19"/>
    <w:rsid w:val="00B413A7"/>
    <w:rsid w:val="00B42131"/>
    <w:rsid w:val="00B50A51"/>
    <w:rsid w:val="00B548F0"/>
    <w:rsid w:val="00B57FE5"/>
    <w:rsid w:val="00B60110"/>
    <w:rsid w:val="00B61206"/>
    <w:rsid w:val="00B618F7"/>
    <w:rsid w:val="00B65660"/>
    <w:rsid w:val="00B65E1E"/>
    <w:rsid w:val="00B67FA8"/>
    <w:rsid w:val="00B73093"/>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7A2F"/>
    <w:rsid w:val="00BF7C2D"/>
    <w:rsid w:val="00C0043D"/>
    <w:rsid w:val="00C006B0"/>
    <w:rsid w:val="00C0127E"/>
    <w:rsid w:val="00C02628"/>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0CC"/>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2954"/>
    <w:rsid w:val="00CA42E6"/>
    <w:rsid w:val="00CA4CB3"/>
    <w:rsid w:val="00CA5316"/>
    <w:rsid w:val="00CB0D44"/>
    <w:rsid w:val="00CB415C"/>
    <w:rsid w:val="00CB63DF"/>
    <w:rsid w:val="00CB6C80"/>
    <w:rsid w:val="00CB6F69"/>
    <w:rsid w:val="00CC40C2"/>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0B3C"/>
    <w:rsid w:val="00D04FCA"/>
    <w:rsid w:val="00D05BE4"/>
    <w:rsid w:val="00D071B9"/>
    <w:rsid w:val="00D121AD"/>
    <w:rsid w:val="00D132ED"/>
    <w:rsid w:val="00D15EF0"/>
    <w:rsid w:val="00D1738E"/>
    <w:rsid w:val="00D176E5"/>
    <w:rsid w:val="00D20074"/>
    <w:rsid w:val="00D204DC"/>
    <w:rsid w:val="00D23A0A"/>
    <w:rsid w:val="00D23C94"/>
    <w:rsid w:val="00D24042"/>
    <w:rsid w:val="00D25BD4"/>
    <w:rsid w:val="00D27579"/>
    <w:rsid w:val="00D323E4"/>
    <w:rsid w:val="00D3301A"/>
    <w:rsid w:val="00D33E05"/>
    <w:rsid w:val="00D34A16"/>
    <w:rsid w:val="00D36BEA"/>
    <w:rsid w:val="00D4043B"/>
    <w:rsid w:val="00D424E3"/>
    <w:rsid w:val="00D42662"/>
    <w:rsid w:val="00D42AF3"/>
    <w:rsid w:val="00D512B6"/>
    <w:rsid w:val="00D52C2F"/>
    <w:rsid w:val="00D60B40"/>
    <w:rsid w:val="00D6276B"/>
    <w:rsid w:val="00D63D63"/>
    <w:rsid w:val="00D66E80"/>
    <w:rsid w:val="00D674F3"/>
    <w:rsid w:val="00D6756B"/>
    <w:rsid w:val="00D701BC"/>
    <w:rsid w:val="00D71543"/>
    <w:rsid w:val="00D75F8F"/>
    <w:rsid w:val="00D76632"/>
    <w:rsid w:val="00D7749F"/>
    <w:rsid w:val="00D77AE7"/>
    <w:rsid w:val="00D8000F"/>
    <w:rsid w:val="00D80716"/>
    <w:rsid w:val="00D81F96"/>
    <w:rsid w:val="00D821C8"/>
    <w:rsid w:val="00D83973"/>
    <w:rsid w:val="00D858B7"/>
    <w:rsid w:val="00D930F3"/>
    <w:rsid w:val="00D9321A"/>
    <w:rsid w:val="00D97826"/>
    <w:rsid w:val="00DA1520"/>
    <w:rsid w:val="00DA326D"/>
    <w:rsid w:val="00DA3C57"/>
    <w:rsid w:val="00DA613F"/>
    <w:rsid w:val="00DB1476"/>
    <w:rsid w:val="00DB18A0"/>
    <w:rsid w:val="00DB29DE"/>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44FC"/>
    <w:rsid w:val="00DD6E41"/>
    <w:rsid w:val="00DD74FF"/>
    <w:rsid w:val="00DE1186"/>
    <w:rsid w:val="00DE18B2"/>
    <w:rsid w:val="00DE3025"/>
    <w:rsid w:val="00DE4417"/>
    <w:rsid w:val="00DE4E25"/>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275CC"/>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3BDD"/>
    <w:rsid w:val="00E5457D"/>
    <w:rsid w:val="00E617F3"/>
    <w:rsid w:val="00E61903"/>
    <w:rsid w:val="00E66596"/>
    <w:rsid w:val="00E736DC"/>
    <w:rsid w:val="00E740C8"/>
    <w:rsid w:val="00E74332"/>
    <w:rsid w:val="00E74BB0"/>
    <w:rsid w:val="00E74BBE"/>
    <w:rsid w:val="00E76211"/>
    <w:rsid w:val="00E80403"/>
    <w:rsid w:val="00E80CFB"/>
    <w:rsid w:val="00E8179E"/>
    <w:rsid w:val="00E84BDC"/>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2B38"/>
    <w:rsid w:val="00ED533B"/>
    <w:rsid w:val="00ED5892"/>
    <w:rsid w:val="00ED647C"/>
    <w:rsid w:val="00EE0AC3"/>
    <w:rsid w:val="00EE17A9"/>
    <w:rsid w:val="00EE17D7"/>
    <w:rsid w:val="00EE33CE"/>
    <w:rsid w:val="00EE42C5"/>
    <w:rsid w:val="00EE4801"/>
    <w:rsid w:val="00EE49E6"/>
    <w:rsid w:val="00EE555F"/>
    <w:rsid w:val="00EE6715"/>
    <w:rsid w:val="00EF0BCA"/>
    <w:rsid w:val="00EF1BF6"/>
    <w:rsid w:val="00EF69C6"/>
    <w:rsid w:val="00F012A7"/>
    <w:rsid w:val="00F02B93"/>
    <w:rsid w:val="00F0327E"/>
    <w:rsid w:val="00F06974"/>
    <w:rsid w:val="00F07012"/>
    <w:rsid w:val="00F0740A"/>
    <w:rsid w:val="00F12AF0"/>
    <w:rsid w:val="00F14C0A"/>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1AA3"/>
    <w:rsid w:val="00FC26EF"/>
    <w:rsid w:val="00FC27B2"/>
    <w:rsid w:val="00FC27FA"/>
    <w:rsid w:val="00FC45FA"/>
    <w:rsid w:val="00FC50C3"/>
    <w:rsid w:val="00FC5257"/>
    <w:rsid w:val="00FC5279"/>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D81CACEA-4F21-4166-A68F-159B397AC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39802376">
      <w:bodyDiv w:val="1"/>
      <w:marLeft w:val="0"/>
      <w:marRight w:val="0"/>
      <w:marTop w:val="0"/>
      <w:marBottom w:val="0"/>
      <w:divBdr>
        <w:top w:val="none" w:sz="0" w:space="0" w:color="auto"/>
        <w:left w:val="none" w:sz="0" w:space="0" w:color="auto"/>
        <w:bottom w:val="none" w:sz="0" w:space="0" w:color="auto"/>
        <w:right w:val="none" w:sz="0" w:space="0" w:color="auto"/>
      </w:divBdr>
      <w:divsChild>
        <w:div w:id="747533187">
          <w:marLeft w:val="547"/>
          <w:marRight w:val="0"/>
          <w:marTop w:val="96"/>
          <w:marBottom w:val="0"/>
          <w:divBdr>
            <w:top w:val="none" w:sz="0" w:space="0" w:color="auto"/>
            <w:left w:val="none" w:sz="0" w:space="0" w:color="auto"/>
            <w:bottom w:val="none" w:sz="0" w:space="0" w:color="auto"/>
            <w:right w:val="none" w:sz="0" w:space="0" w:color="auto"/>
          </w:divBdr>
        </w:div>
        <w:div w:id="1956711874">
          <w:marLeft w:val="720"/>
          <w:marRight w:val="0"/>
          <w:marTop w:val="96"/>
          <w:marBottom w:val="0"/>
          <w:divBdr>
            <w:top w:val="none" w:sz="0" w:space="0" w:color="auto"/>
            <w:left w:val="none" w:sz="0" w:space="0" w:color="auto"/>
            <w:bottom w:val="none" w:sz="0" w:space="0" w:color="auto"/>
            <w:right w:val="none" w:sz="0" w:space="0" w:color="auto"/>
          </w:divBdr>
        </w:div>
        <w:div w:id="1310596177">
          <w:marLeft w:val="1267"/>
          <w:marRight w:val="0"/>
          <w:marTop w:val="86"/>
          <w:marBottom w:val="0"/>
          <w:divBdr>
            <w:top w:val="none" w:sz="0" w:space="0" w:color="auto"/>
            <w:left w:val="none" w:sz="0" w:space="0" w:color="auto"/>
            <w:bottom w:val="none" w:sz="0" w:space="0" w:color="auto"/>
            <w:right w:val="none" w:sz="0" w:space="0" w:color="auto"/>
          </w:divBdr>
        </w:div>
        <w:div w:id="513610452">
          <w:marLeft w:val="1267"/>
          <w:marRight w:val="0"/>
          <w:marTop w:val="86"/>
          <w:marBottom w:val="0"/>
          <w:divBdr>
            <w:top w:val="none" w:sz="0" w:space="0" w:color="auto"/>
            <w:left w:val="none" w:sz="0" w:space="0" w:color="auto"/>
            <w:bottom w:val="none" w:sz="0" w:space="0" w:color="auto"/>
            <w:right w:val="none" w:sz="0" w:space="0" w:color="auto"/>
          </w:divBdr>
        </w:div>
        <w:div w:id="1065879365">
          <w:marLeft w:val="720"/>
          <w:marRight w:val="0"/>
          <w:marTop w:val="96"/>
          <w:marBottom w:val="0"/>
          <w:divBdr>
            <w:top w:val="none" w:sz="0" w:space="0" w:color="auto"/>
            <w:left w:val="none" w:sz="0" w:space="0" w:color="auto"/>
            <w:bottom w:val="none" w:sz="0" w:space="0" w:color="auto"/>
            <w:right w:val="none" w:sz="0" w:space="0" w:color="auto"/>
          </w:divBdr>
        </w:div>
        <w:div w:id="405763871">
          <w:marLeft w:val="1354"/>
          <w:marRight w:val="0"/>
          <w:marTop w:val="77"/>
          <w:marBottom w:val="0"/>
          <w:divBdr>
            <w:top w:val="none" w:sz="0" w:space="0" w:color="auto"/>
            <w:left w:val="none" w:sz="0" w:space="0" w:color="auto"/>
            <w:bottom w:val="none" w:sz="0" w:space="0" w:color="auto"/>
            <w:right w:val="none" w:sz="0" w:space="0" w:color="auto"/>
          </w:divBdr>
        </w:div>
        <w:div w:id="1515799971">
          <w:marLeft w:val="720"/>
          <w:marRight w:val="0"/>
          <w:marTop w:val="96"/>
          <w:marBottom w:val="0"/>
          <w:divBdr>
            <w:top w:val="none" w:sz="0" w:space="0" w:color="auto"/>
            <w:left w:val="none" w:sz="0" w:space="0" w:color="auto"/>
            <w:bottom w:val="none" w:sz="0" w:space="0" w:color="auto"/>
            <w:right w:val="none" w:sz="0" w:space="0" w:color="auto"/>
          </w:divBdr>
        </w:div>
        <w:div w:id="1341928666">
          <w:marLeft w:val="1166"/>
          <w:marRight w:val="0"/>
          <w:marTop w:val="77"/>
          <w:marBottom w:val="0"/>
          <w:divBdr>
            <w:top w:val="none" w:sz="0" w:space="0" w:color="auto"/>
            <w:left w:val="none" w:sz="0" w:space="0" w:color="auto"/>
            <w:bottom w:val="none" w:sz="0" w:space="0" w:color="auto"/>
            <w:right w:val="none" w:sz="0" w:space="0" w:color="auto"/>
          </w:divBdr>
        </w:div>
        <w:div w:id="479927154">
          <w:marLeft w:val="1166"/>
          <w:marRight w:val="0"/>
          <w:marTop w:val="77"/>
          <w:marBottom w:val="0"/>
          <w:divBdr>
            <w:top w:val="none" w:sz="0" w:space="0" w:color="auto"/>
            <w:left w:val="none" w:sz="0" w:space="0" w:color="auto"/>
            <w:bottom w:val="none" w:sz="0" w:space="0" w:color="auto"/>
            <w:right w:val="none" w:sz="0" w:space="0" w:color="auto"/>
          </w:divBdr>
        </w:div>
        <w:div w:id="846823258">
          <w:marLeft w:val="1166"/>
          <w:marRight w:val="0"/>
          <w:marTop w:val="77"/>
          <w:marBottom w:val="0"/>
          <w:divBdr>
            <w:top w:val="none" w:sz="0" w:space="0" w:color="auto"/>
            <w:left w:val="none" w:sz="0" w:space="0" w:color="auto"/>
            <w:bottom w:val="none" w:sz="0" w:space="0" w:color="auto"/>
            <w:right w:val="none" w:sz="0" w:space="0" w:color="auto"/>
          </w:divBdr>
        </w:div>
        <w:div w:id="2056616490">
          <w:marLeft w:val="1166"/>
          <w:marRight w:val="0"/>
          <w:marTop w:val="77"/>
          <w:marBottom w:val="0"/>
          <w:divBdr>
            <w:top w:val="none" w:sz="0" w:space="0" w:color="auto"/>
            <w:left w:val="none" w:sz="0" w:space="0" w:color="auto"/>
            <w:bottom w:val="none" w:sz="0" w:space="0" w:color="auto"/>
            <w:right w:val="none" w:sz="0" w:space="0" w:color="auto"/>
          </w:divBdr>
        </w:div>
        <w:div w:id="206458225">
          <w:marLeft w:val="1166"/>
          <w:marRight w:val="0"/>
          <w:marTop w:val="77"/>
          <w:marBottom w:val="0"/>
          <w:divBdr>
            <w:top w:val="none" w:sz="0" w:space="0" w:color="auto"/>
            <w:left w:val="none" w:sz="0" w:space="0" w:color="auto"/>
            <w:bottom w:val="none" w:sz="0" w:space="0" w:color="auto"/>
            <w:right w:val="none" w:sz="0" w:space="0" w:color="auto"/>
          </w:divBdr>
        </w:div>
      </w:divsChild>
    </w:div>
    <w:div w:id="309941788">
      <w:bodyDiv w:val="1"/>
      <w:marLeft w:val="0"/>
      <w:marRight w:val="0"/>
      <w:marTop w:val="0"/>
      <w:marBottom w:val="0"/>
      <w:divBdr>
        <w:top w:val="none" w:sz="0" w:space="0" w:color="auto"/>
        <w:left w:val="none" w:sz="0" w:space="0" w:color="auto"/>
        <w:bottom w:val="none" w:sz="0" w:space="0" w:color="auto"/>
        <w:right w:val="none" w:sz="0" w:space="0" w:color="auto"/>
      </w:divBdr>
      <w:divsChild>
        <w:div w:id="970674943">
          <w:marLeft w:val="1166"/>
          <w:marRight w:val="0"/>
          <w:marTop w:val="115"/>
          <w:marBottom w:val="0"/>
          <w:divBdr>
            <w:top w:val="none" w:sz="0" w:space="0" w:color="auto"/>
            <w:left w:val="none" w:sz="0" w:space="0" w:color="auto"/>
            <w:bottom w:val="none" w:sz="0" w:space="0" w:color="auto"/>
            <w:right w:val="none" w:sz="0" w:space="0" w:color="auto"/>
          </w:divBdr>
        </w:div>
      </w:divsChild>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791677125">
      <w:bodyDiv w:val="1"/>
      <w:marLeft w:val="0"/>
      <w:marRight w:val="0"/>
      <w:marTop w:val="0"/>
      <w:marBottom w:val="0"/>
      <w:divBdr>
        <w:top w:val="none" w:sz="0" w:space="0" w:color="auto"/>
        <w:left w:val="none" w:sz="0" w:space="0" w:color="auto"/>
        <w:bottom w:val="none" w:sz="0" w:space="0" w:color="auto"/>
        <w:right w:val="none" w:sz="0" w:space="0" w:color="auto"/>
      </w:divBdr>
      <w:divsChild>
        <w:div w:id="1807814114">
          <w:marLeft w:val="1166"/>
          <w:marRight w:val="0"/>
          <w:marTop w:val="115"/>
          <w:marBottom w:val="0"/>
          <w:divBdr>
            <w:top w:val="none" w:sz="0" w:space="0" w:color="auto"/>
            <w:left w:val="none" w:sz="0" w:space="0" w:color="auto"/>
            <w:bottom w:val="none" w:sz="0" w:space="0" w:color="auto"/>
            <w:right w:val="none" w:sz="0" w:space="0" w:color="auto"/>
          </w:divBdr>
        </w:div>
      </w:divsChild>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6CDA1-E64A-435E-8EC4-DC9E8AB51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610</Words>
  <Characters>3847</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4449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Rohde &amp; Schwarz</cp:lastModifiedBy>
  <cp:revision>10</cp:revision>
  <dcterms:created xsi:type="dcterms:W3CDTF">2018-06-25T07:58:00Z</dcterms:created>
  <dcterms:modified xsi:type="dcterms:W3CDTF">2018-06-25T19:30:00Z</dcterms:modified>
  <cp:category/>
</cp:coreProperties>
</file>