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C"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277620" w:rsidRPr="00277620">
        <w:rPr>
          <w:rFonts w:ascii="Arial" w:eastAsia="宋体" w:hAnsi="Arial" w:cs="Times New Roman"/>
          <w:b/>
          <w:bCs/>
          <w:sz w:val="24"/>
          <w:szCs w:val="20"/>
          <w:lang w:val="en-GB" w:eastAsia="ja-JP"/>
        </w:rPr>
        <w:t>R4-1808790</w:t>
      </w:r>
      <w:bookmarkStart w:id="3" w:name="_GoBack"/>
      <w:bookmarkEnd w:id="3"/>
    </w:p>
    <w:p w:rsidR="00841BCD"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B3FE5" w:rsidRPr="00DB3FE5">
        <w:rPr>
          <w:rFonts w:ascii="Arial" w:eastAsia="Calibri" w:hAnsi="Arial" w:cs="Arial"/>
          <w:b/>
          <w:bCs/>
          <w:sz w:val="24"/>
          <w:lang w:val="en-GB"/>
        </w:rPr>
        <w:t>Discussion on RRM measurement accuracy</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54AAA">
        <w:rPr>
          <w:rFonts w:ascii="Arial" w:eastAsia="MS Mincho" w:hAnsi="Arial" w:cs="Arial"/>
          <w:b/>
          <w:bCs/>
          <w:sz w:val="24"/>
          <w:szCs w:val="20"/>
          <w:lang w:val="en-GB"/>
        </w:rPr>
        <w:t>5.</w:t>
      </w:r>
      <w:r w:rsidR="00DB3FE5">
        <w:rPr>
          <w:rFonts w:ascii="Arial" w:eastAsia="MS Mincho" w:hAnsi="Arial" w:cs="Arial"/>
          <w:b/>
          <w:bCs/>
          <w:sz w:val="24"/>
          <w:szCs w:val="20"/>
          <w:lang w:val="en-GB"/>
        </w:rPr>
        <w:t>3.1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013516" w:rsidRDefault="00013516" w:rsidP="00013516">
      <w:pPr>
        <w:ind w:right="-23"/>
        <w:rPr>
          <w:rFonts w:eastAsia="Calibri" w:cs="Times New Roman"/>
          <w:szCs w:val="20"/>
        </w:rPr>
      </w:pPr>
      <w:bookmarkStart w:id="4" w:name="_Hlk513205245"/>
      <w:bookmarkStart w:id="5" w:name="_Hlk513205847"/>
      <w:r w:rsidRPr="00013516">
        <w:rPr>
          <w:rFonts w:eastAsia="Calibri" w:cs="Times New Roman"/>
          <w:szCs w:val="20"/>
        </w:rPr>
        <w:t xml:space="preserve">RAN4 has </w:t>
      </w:r>
      <w:r w:rsidR="008713DC">
        <w:rPr>
          <w:rFonts w:eastAsia="Calibri" w:cs="Times New Roman"/>
          <w:szCs w:val="20"/>
        </w:rPr>
        <w:t>discussed the RRM measurement accuracy for NR in RAN4#87</w:t>
      </w:r>
      <w:r w:rsidRPr="00013516">
        <w:rPr>
          <w:rFonts w:eastAsia="Calibri" w:cs="Times New Roman"/>
          <w:szCs w:val="20"/>
        </w:rPr>
        <w:t>.</w:t>
      </w:r>
      <w:r w:rsidR="008713DC">
        <w:rPr>
          <w:rFonts w:eastAsia="Calibri" w:cs="Times New Roman"/>
          <w:szCs w:val="20"/>
        </w:rPr>
        <w:t xml:space="preserve"> </w:t>
      </w:r>
      <w:r w:rsidR="00612ABF">
        <w:rPr>
          <w:rFonts w:eastAsia="Calibri" w:cs="Times New Roman"/>
          <w:szCs w:val="20"/>
        </w:rPr>
        <w:t>In particular, the accuracy requirements for below cases are agreed</w:t>
      </w:r>
      <w:r w:rsidR="00612ABF" w:rsidRPr="00612ABF">
        <w:rPr>
          <w:rFonts w:eastAsia="Calibri" w:cs="Times New Roman"/>
          <w:szCs w:val="20"/>
        </w:rPr>
        <w:t xml:space="preserve"> </w:t>
      </w:r>
      <w:r w:rsidR="00612ABF">
        <w:rPr>
          <w:rFonts w:eastAsia="Calibri" w:cs="Times New Roman"/>
          <w:szCs w:val="20"/>
        </w:rPr>
        <w:t>(LTE accuracy requirements are re-used):</w:t>
      </w:r>
    </w:p>
    <w:p w:rsidR="00612ABF" w:rsidRDefault="00DB7CD9" w:rsidP="00612ABF">
      <w:pPr>
        <w:pStyle w:val="ListParagraph"/>
        <w:numPr>
          <w:ilvl w:val="0"/>
          <w:numId w:val="49"/>
        </w:numPr>
        <w:ind w:right="-23"/>
        <w:rPr>
          <w:rFonts w:eastAsia="Calibri" w:cs="Times New Roman"/>
          <w:szCs w:val="20"/>
        </w:rPr>
      </w:pPr>
      <w:r>
        <w:rPr>
          <w:rFonts w:eastAsia="Calibri" w:cs="Times New Roman"/>
          <w:szCs w:val="20"/>
        </w:rPr>
        <w:t xml:space="preserve">FR1 </w:t>
      </w:r>
      <w:r w:rsidR="00612ABF" w:rsidRPr="00612ABF">
        <w:rPr>
          <w:rFonts w:eastAsia="Calibri" w:cs="Times New Roman"/>
          <w:szCs w:val="20"/>
        </w:rPr>
        <w:t>SS RSRP Intra-frequency absolute accuracy</w:t>
      </w:r>
    </w:p>
    <w:p w:rsidR="00612ABF" w:rsidRDefault="00DB7CD9" w:rsidP="00612ABF">
      <w:pPr>
        <w:pStyle w:val="ListParagraph"/>
        <w:numPr>
          <w:ilvl w:val="0"/>
          <w:numId w:val="49"/>
        </w:numPr>
        <w:ind w:right="-23"/>
        <w:rPr>
          <w:rFonts w:eastAsia="Calibri" w:cs="Times New Roman"/>
          <w:szCs w:val="20"/>
        </w:rPr>
      </w:pPr>
      <w:r>
        <w:rPr>
          <w:rFonts w:eastAsia="Calibri" w:cs="Times New Roman"/>
          <w:szCs w:val="20"/>
        </w:rPr>
        <w:t xml:space="preserve">FR1 </w:t>
      </w:r>
      <w:r w:rsidR="00612ABF">
        <w:rPr>
          <w:rFonts w:eastAsia="Calibri" w:cs="Times New Roman"/>
          <w:szCs w:val="20"/>
        </w:rPr>
        <w:t>SS RSRP I</w:t>
      </w:r>
      <w:r w:rsidR="00612ABF" w:rsidRPr="00612ABF">
        <w:rPr>
          <w:rFonts w:eastAsia="Calibri" w:cs="Times New Roman"/>
          <w:szCs w:val="20"/>
        </w:rPr>
        <w:t>ntra-frequency relative accuracy</w:t>
      </w:r>
    </w:p>
    <w:p w:rsidR="00612ABF" w:rsidRDefault="00DB7CD9" w:rsidP="00612ABF">
      <w:pPr>
        <w:pStyle w:val="ListParagraph"/>
        <w:numPr>
          <w:ilvl w:val="0"/>
          <w:numId w:val="49"/>
        </w:numPr>
        <w:ind w:right="-23"/>
        <w:rPr>
          <w:rFonts w:eastAsia="Calibri" w:cs="Times New Roman"/>
          <w:szCs w:val="20"/>
        </w:rPr>
      </w:pPr>
      <w:r>
        <w:rPr>
          <w:rFonts w:eastAsia="Calibri" w:cs="Times New Roman"/>
          <w:szCs w:val="20"/>
        </w:rPr>
        <w:t xml:space="preserve">FR1 </w:t>
      </w:r>
      <w:r w:rsidR="00612ABF" w:rsidRPr="00612ABF">
        <w:rPr>
          <w:rFonts w:eastAsia="Calibri" w:cs="Times New Roman"/>
          <w:szCs w:val="20"/>
        </w:rPr>
        <w:t>SS RSRP Inter-frequency absolute accuracy</w:t>
      </w:r>
    </w:p>
    <w:p w:rsidR="00612ABF" w:rsidRPr="00612ABF" w:rsidRDefault="00DB7CD9" w:rsidP="00612ABF">
      <w:pPr>
        <w:pStyle w:val="ListParagraph"/>
        <w:numPr>
          <w:ilvl w:val="0"/>
          <w:numId w:val="49"/>
        </w:numPr>
        <w:ind w:right="-23"/>
        <w:rPr>
          <w:rFonts w:eastAsia="Calibri" w:cs="Times New Roman"/>
          <w:szCs w:val="20"/>
        </w:rPr>
      </w:pPr>
      <w:r>
        <w:rPr>
          <w:rFonts w:eastAsia="Calibri" w:cs="Times New Roman"/>
          <w:szCs w:val="20"/>
        </w:rPr>
        <w:t xml:space="preserve">FR1 </w:t>
      </w:r>
      <w:r w:rsidR="00612ABF" w:rsidRPr="00612ABF">
        <w:rPr>
          <w:rFonts w:eastAsia="Calibri" w:cs="Times New Roman"/>
          <w:szCs w:val="20"/>
        </w:rPr>
        <w:t>SS RSRP Inter-frequency relative accuracy:</w:t>
      </w:r>
    </w:p>
    <w:bookmarkEnd w:id="4"/>
    <w:p w:rsidR="00612ABF" w:rsidRDefault="00612ABF" w:rsidP="00013516">
      <w:pPr>
        <w:ind w:right="-23"/>
        <w:rPr>
          <w:rFonts w:eastAsia="Calibri" w:cs="Times New Roman"/>
          <w:szCs w:val="20"/>
        </w:rPr>
      </w:pPr>
      <w:r>
        <w:rPr>
          <w:rFonts w:eastAsia="Calibri" w:cs="Times New Roman"/>
          <w:szCs w:val="20"/>
        </w:rPr>
        <w:t>In our view, in order to complete the accuracy part, RAN4 needs to further discuss</w:t>
      </w:r>
    </w:p>
    <w:p w:rsidR="00612ABF" w:rsidRDefault="00695872" w:rsidP="00612ABF">
      <w:pPr>
        <w:pStyle w:val="ListParagraph"/>
        <w:numPr>
          <w:ilvl w:val="0"/>
          <w:numId w:val="49"/>
        </w:numPr>
        <w:ind w:right="-23"/>
        <w:rPr>
          <w:rFonts w:eastAsia="Calibri" w:cs="Times New Roman"/>
          <w:szCs w:val="20"/>
        </w:rPr>
      </w:pPr>
      <w:r>
        <w:rPr>
          <w:rFonts w:eastAsia="Calibri" w:cs="Times New Roman"/>
          <w:szCs w:val="20"/>
        </w:rPr>
        <w:t xml:space="preserve">The list of accuracy requirements </w:t>
      </w:r>
      <w:r w:rsidR="00DB7CD9">
        <w:rPr>
          <w:rFonts w:eastAsia="Calibri" w:cs="Times New Roman"/>
          <w:szCs w:val="20"/>
        </w:rPr>
        <w:t>that need to be included in Rel-15</w:t>
      </w:r>
    </w:p>
    <w:p w:rsidR="00DB7CD9" w:rsidRDefault="00DB7CD9" w:rsidP="00612ABF">
      <w:pPr>
        <w:pStyle w:val="ListParagraph"/>
        <w:numPr>
          <w:ilvl w:val="0"/>
          <w:numId w:val="49"/>
        </w:numPr>
        <w:ind w:right="-23"/>
        <w:rPr>
          <w:rFonts w:eastAsia="Calibri" w:cs="Times New Roman"/>
          <w:szCs w:val="20"/>
        </w:rPr>
      </w:pPr>
      <w:r>
        <w:rPr>
          <w:rFonts w:eastAsia="Calibri" w:cs="Times New Roman"/>
          <w:szCs w:val="20"/>
        </w:rPr>
        <w:t>RF margin for FR2</w:t>
      </w:r>
    </w:p>
    <w:p w:rsidR="00DB7CD9" w:rsidRDefault="00DB7CD9" w:rsidP="00612ABF">
      <w:pPr>
        <w:pStyle w:val="ListParagraph"/>
        <w:numPr>
          <w:ilvl w:val="0"/>
          <w:numId w:val="49"/>
        </w:numPr>
        <w:ind w:right="-23"/>
        <w:rPr>
          <w:rFonts w:eastAsia="Calibri" w:cs="Times New Roman"/>
          <w:szCs w:val="20"/>
        </w:rPr>
      </w:pPr>
      <w:r>
        <w:rPr>
          <w:rFonts w:eastAsia="Calibri" w:cs="Times New Roman"/>
          <w:szCs w:val="20"/>
        </w:rPr>
        <w:t>Accuracy of RSRQ and RS-SINR</w:t>
      </w:r>
    </w:p>
    <w:p w:rsidR="00DB7CD9" w:rsidRPr="00612ABF" w:rsidRDefault="00DB7CD9" w:rsidP="00612ABF">
      <w:pPr>
        <w:pStyle w:val="ListParagraph"/>
        <w:numPr>
          <w:ilvl w:val="0"/>
          <w:numId w:val="49"/>
        </w:numPr>
        <w:ind w:right="-23"/>
        <w:rPr>
          <w:rFonts w:eastAsia="Calibri" w:cs="Times New Roman"/>
          <w:szCs w:val="20"/>
        </w:rPr>
      </w:pPr>
      <w:r>
        <w:rPr>
          <w:rFonts w:eastAsia="Calibri" w:cs="Times New Roman"/>
          <w:szCs w:val="20"/>
        </w:rPr>
        <w:t xml:space="preserve">Side conditions of the accuracy requirements </w:t>
      </w:r>
    </w:p>
    <w:p w:rsidR="00126990" w:rsidRPr="00126990" w:rsidRDefault="00013516" w:rsidP="00C74935">
      <w:pPr>
        <w:ind w:right="-23"/>
        <w:rPr>
          <w:rFonts w:eastAsia="Calibri" w:cs="Times New Roman"/>
          <w:szCs w:val="20"/>
        </w:rPr>
      </w:pPr>
      <w:r w:rsidRPr="00013516">
        <w:rPr>
          <w:rFonts w:eastAsia="Calibri" w:cs="Times New Roman"/>
          <w:szCs w:val="20"/>
        </w:rPr>
        <w:t xml:space="preserve">In this paper, we will provide our </w:t>
      </w:r>
      <w:r w:rsidR="00DB7CD9">
        <w:rPr>
          <w:rFonts w:eastAsia="Calibri" w:cs="Times New Roman"/>
          <w:szCs w:val="20"/>
        </w:rPr>
        <w:t>initial views on RRM accuracy requirements for NR</w:t>
      </w:r>
      <w:r w:rsidRPr="00013516">
        <w:rPr>
          <w:rFonts w:eastAsia="Calibri" w:cs="Times New Roman"/>
          <w:szCs w:val="20"/>
        </w:rPr>
        <w:t xml:space="preserve">. </w:t>
      </w:r>
    </w:p>
    <w:bookmarkEnd w:id="5"/>
    <w:p w:rsidR="003B659E" w:rsidRDefault="003B659E" w:rsidP="00AE56B1">
      <w:pPr>
        <w:pStyle w:val="RAN4H1"/>
      </w:pPr>
      <w:r w:rsidRPr="00AE56B1">
        <w:t>Discussion</w:t>
      </w:r>
    </w:p>
    <w:p w:rsidR="00D84EFD" w:rsidRDefault="00C93484" w:rsidP="001625F8">
      <w:pPr>
        <w:ind w:right="-23"/>
        <w:rPr>
          <w:rFonts w:eastAsia="Calibri" w:cs="Times New Roman"/>
          <w:szCs w:val="20"/>
        </w:rPr>
      </w:pPr>
      <w:r>
        <w:rPr>
          <w:rFonts w:eastAsia="Calibri" w:cs="Times New Roman"/>
          <w:szCs w:val="20"/>
        </w:rPr>
        <w:t xml:space="preserve">In current 38.133, </w:t>
      </w:r>
      <w:r w:rsidR="00D84EFD">
        <w:rPr>
          <w:rFonts w:eastAsia="Calibri" w:cs="Times New Roman"/>
          <w:szCs w:val="20"/>
        </w:rPr>
        <w:t xml:space="preserve">sections </w:t>
      </w:r>
      <w:r w:rsidR="001B0911">
        <w:rPr>
          <w:rFonts w:eastAsia="Calibri" w:cs="Times New Roman"/>
          <w:szCs w:val="20"/>
        </w:rPr>
        <w:t xml:space="preserve">for </w:t>
      </w:r>
      <w:r>
        <w:rPr>
          <w:rFonts w:eastAsia="Calibri" w:cs="Times New Roman"/>
          <w:szCs w:val="20"/>
        </w:rPr>
        <w:t xml:space="preserve">below </w:t>
      </w:r>
      <w:r w:rsidR="00D84EFD">
        <w:rPr>
          <w:rFonts w:eastAsia="Calibri" w:cs="Times New Roman"/>
          <w:szCs w:val="20"/>
        </w:rPr>
        <w:t xml:space="preserve">requirements </w:t>
      </w:r>
      <w:r w:rsidR="00C0293E">
        <w:rPr>
          <w:rFonts w:eastAsia="Calibri" w:cs="Times New Roman"/>
          <w:szCs w:val="20"/>
        </w:rPr>
        <w:t>exist:</w:t>
      </w:r>
    </w:p>
    <w:p w:rsidR="00C0293E" w:rsidRDefault="00C0293E" w:rsidP="00C0293E">
      <w:pPr>
        <w:pStyle w:val="ListParagraph"/>
        <w:numPr>
          <w:ilvl w:val="0"/>
          <w:numId w:val="49"/>
        </w:numPr>
        <w:ind w:right="-23"/>
        <w:rPr>
          <w:rFonts w:eastAsia="Calibri" w:cs="Times New Roman"/>
          <w:szCs w:val="20"/>
        </w:rPr>
      </w:pPr>
      <w:r>
        <w:rPr>
          <w:rFonts w:eastAsia="Calibri" w:cs="Times New Roman"/>
          <w:szCs w:val="20"/>
        </w:rPr>
        <w:t>Intra-frequency RSRP (FR1 and FR2)</w:t>
      </w:r>
    </w:p>
    <w:p w:rsidR="00C0293E" w:rsidRPr="00C0293E" w:rsidRDefault="00C0293E" w:rsidP="00C0293E">
      <w:pPr>
        <w:pStyle w:val="ListParagraph"/>
        <w:numPr>
          <w:ilvl w:val="0"/>
          <w:numId w:val="49"/>
        </w:numPr>
        <w:rPr>
          <w:rFonts w:eastAsia="Calibri" w:cs="Times New Roman"/>
          <w:szCs w:val="20"/>
        </w:rPr>
      </w:pPr>
      <w:r>
        <w:rPr>
          <w:rFonts w:eastAsia="Calibri" w:cs="Times New Roman"/>
          <w:szCs w:val="20"/>
        </w:rPr>
        <w:t>Inter-frequency RSRP</w:t>
      </w:r>
      <w:r w:rsidRPr="00C0293E">
        <w:rPr>
          <w:rFonts w:eastAsia="Calibri" w:cs="Times New Roman"/>
          <w:szCs w:val="20"/>
        </w:rPr>
        <w:t xml:space="preserve"> (FR1 and FR2)</w:t>
      </w:r>
    </w:p>
    <w:p w:rsidR="00C0293E" w:rsidRPr="00C0293E" w:rsidRDefault="00C0293E" w:rsidP="00C0293E">
      <w:pPr>
        <w:pStyle w:val="ListParagraph"/>
        <w:numPr>
          <w:ilvl w:val="0"/>
          <w:numId w:val="49"/>
        </w:numPr>
        <w:rPr>
          <w:rFonts w:eastAsia="Calibri" w:cs="Times New Roman"/>
          <w:szCs w:val="20"/>
        </w:rPr>
      </w:pPr>
      <w:r w:rsidRPr="00C0293E">
        <w:rPr>
          <w:rFonts w:eastAsia="Calibri" w:cs="Times New Roman"/>
          <w:szCs w:val="20"/>
        </w:rPr>
        <w:t>Int</w:t>
      </w:r>
      <w:r>
        <w:rPr>
          <w:rFonts w:eastAsia="Calibri" w:cs="Times New Roman"/>
          <w:szCs w:val="20"/>
        </w:rPr>
        <w:t>ra</w:t>
      </w:r>
      <w:r w:rsidRPr="00C0293E">
        <w:rPr>
          <w:rFonts w:eastAsia="Calibri" w:cs="Times New Roman"/>
          <w:szCs w:val="20"/>
        </w:rPr>
        <w:t>-frequency RSR</w:t>
      </w:r>
      <w:r>
        <w:rPr>
          <w:rFonts w:eastAsia="Calibri" w:cs="Times New Roman"/>
          <w:szCs w:val="20"/>
        </w:rPr>
        <w:t>Q</w:t>
      </w:r>
      <w:r w:rsidRPr="00C0293E">
        <w:rPr>
          <w:rFonts w:eastAsia="Calibri" w:cs="Times New Roman"/>
          <w:szCs w:val="20"/>
        </w:rPr>
        <w:t xml:space="preserve"> (FR1 and FR2)</w:t>
      </w:r>
    </w:p>
    <w:p w:rsidR="00C0293E" w:rsidRDefault="00C0293E" w:rsidP="00C0293E">
      <w:pPr>
        <w:pStyle w:val="ListParagraph"/>
        <w:numPr>
          <w:ilvl w:val="0"/>
          <w:numId w:val="49"/>
        </w:numPr>
        <w:ind w:right="-23"/>
        <w:rPr>
          <w:rFonts w:eastAsia="Calibri" w:cs="Times New Roman"/>
          <w:szCs w:val="20"/>
        </w:rPr>
      </w:pPr>
      <w:r>
        <w:rPr>
          <w:rFonts w:eastAsia="Calibri" w:cs="Times New Roman"/>
          <w:szCs w:val="20"/>
        </w:rPr>
        <w:t>Inter</w:t>
      </w:r>
      <w:r w:rsidRPr="00C0293E">
        <w:rPr>
          <w:rFonts w:eastAsia="Calibri" w:cs="Times New Roman"/>
          <w:szCs w:val="20"/>
        </w:rPr>
        <w:t>-frequency RSRQ (FR1 and FR2)</w:t>
      </w:r>
    </w:p>
    <w:p w:rsidR="002E1CEE" w:rsidRDefault="002E1CEE" w:rsidP="00C0293E">
      <w:pPr>
        <w:pStyle w:val="ListParagraph"/>
        <w:numPr>
          <w:ilvl w:val="0"/>
          <w:numId w:val="49"/>
        </w:numPr>
        <w:ind w:right="-23"/>
        <w:rPr>
          <w:rFonts w:eastAsia="Calibri" w:cs="Times New Roman"/>
          <w:szCs w:val="20"/>
        </w:rPr>
      </w:pPr>
      <w:r>
        <w:rPr>
          <w:rFonts w:eastAsia="Calibri" w:cs="Times New Roman"/>
          <w:szCs w:val="20"/>
        </w:rPr>
        <w:t>PHR</w:t>
      </w:r>
    </w:p>
    <w:p w:rsidR="002E1CEE" w:rsidRDefault="002E1CEE" w:rsidP="002E1CEE">
      <w:pPr>
        <w:ind w:right="-23"/>
        <w:rPr>
          <w:rFonts w:eastAsia="Calibri" w:cs="Times New Roman"/>
          <w:szCs w:val="20"/>
        </w:rPr>
      </w:pPr>
      <w:r>
        <w:rPr>
          <w:rFonts w:eastAsia="Calibri" w:cs="Times New Roman"/>
          <w:szCs w:val="20"/>
        </w:rPr>
        <w:t>Compared with 36.133, and considering the scope of Rel-15, the following requirements are still missing</w:t>
      </w:r>
    </w:p>
    <w:p w:rsidR="002E1CEE" w:rsidRDefault="002E1CEE" w:rsidP="002E1CEE">
      <w:pPr>
        <w:pStyle w:val="ListParagraph"/>
        <w:numPr>
          <w:ilvl w:val="0"/>
          <w:numId w:val="49"/>
        </w:numPr>
        <w:ind w:right="-23"/>
        <w:rPr>
          <w:rFonts w:eastAsia="Calibri" w:cs="Times New Roman"/>
          <w:szCs w:val="20"/>
        </w:rPr>
      </w:pPr>
      <w:bookmarkStart w:id="6" w:name="_Hlk517704425"/>
      <w:r>
        <w:rPr>
          <w:rFonts w:eastAsia="Calibri" w:cs="Times New Roman"/>
          <w:szCs w:val="20"/>
        </w:rPr>
        <w:t xml:space="preserve">RSRP measurement report mapping </w:t>
      </w:r>
    </w:p>
    <w:p w:rsidR="002E1CEE" w:rsidRDefault="002E1CEE" w:rsidP="002E1CEE">
      <w:pPr>
        <w:pStyle w:val="ListParagraph"/>
        <w:numPr>
          <w:ilvl w:val="0"/>
          <w:numId w:val="49"/>
        </w:numPr>
        <w:ind w:right="-23"/>
        <w:rPr>
          <w:rFonts w:eastAsia="Calibri" w:cs="Times New Roman"/>
          <w:szCs w:val="20"/>
        </w:rPr>
      </w:pPr>
      <w:r>
        <w:rPr>
          <w:rFonts w:eastAsia="Calibri" w:cs="Times New Roman"/>
          <w:szCs w:val="20"/>
        </w:rPr>
        <w:t>RSRQ measurement report mapping</w:t>
      </w:r>
    </w:p>
    <w:p w:rsidR="002E1CEE" w:rsidRDefault="002E1CEE" w:rsidP="002E1CEE">
      <w:pPr>
        <w:pStyle w:val="ListParagraph"/>
        <w:numPr>
          <w:ilvl w:val="0"/>
          <w:numId w:val="49"/>
        </w:numPr>
        <w:ind w:right="-23"/>
        <w:rPr>
          <w:rFonts w:eastAsia="Calibri" w:cs="Times New Roman"/>
          <w:szCs w:val="20"/>
        </w:rPr>
      </w:pPr>
      <w:r>
        <w:rPr>
          <w:rFonts w:eastAsia="Calibri" w:cs="Times New Roman"/>
          <w:szCs w:val="20"/>
        </w:rPr>
        <w:t>CA measurement accuracy</w:t>
      </w:r>
    </w:p>
    <w:p w:rsidR="002E1CEE" w:rsidRDefault="002E1CEE" w:rsidP="002E1CEE">
      <w:pPr>
        <w:pStyle w:val="ListParagraph"/>
        <w:numPr>
          <w:ilvl w:val="0"/>
          <w:numId w:val="49"/>
        </w:numPr>
        <w:ind w:right="-23"/>
        <w:rPr>
          <w:rFonts w:eastAsia="Calibri" w:cs="Times New Roman"/>
          <w:szCs w:val="20"/>
        </w:rPr>
      </w:pPr>
      <w:r>
        <w:rPr>
          <w:rFonts w:eastAsia="Calibri" w:cs="Times New Roman"/>
          <w:szCs w:val="20"/>
        </w:rPr>
        <w:t>RS-SINR measurement accuracy</w:t>
      </w:r>
      <w:r w:rsidR="004D4626">
        <w:rPr>
          <w:rFonts w:eastAsia="Calibri" w:cs="Times New Roman"/>
          <w:szCs w:val="20"/>
        </w:rPr>
        <w:t xml:space="preserve"> and report mapping</w:t>
      </w:r>
    </w:p>
    <w:p w:rsidR="002E1CEE" w:rsidRDefault="002E1CEE" w:rsidP="002E1CEE">
      <w:pPr>
        <w:pStyle w:val="ListParagraph"/>
        <w:numPr>
          <w:ilvl w:val="0"/>
          <w:numId w:val="49"/>
        </w:numPr>
        <w:ind w:right="-23"/>
        <w:rPr>
          <w:rFonts w:eastAsia="Calibri" w:cs="Times New Roman"/>
          <w:szCs w:val="20"/>
        </w:rPr>
      </w:pPr>
      <w:r>
        <w:rPr>
          <w:rFonts w:eastAsia="Calibri" w:cs="Times New Roman"/>
          <w:szCs w:val="20"/>
        </w:rPr>
        <w:t>SFTD measurement accuracy, if defined for option 4 in late drop</w:t>
      </w:r>
    </w:p>
    <w:p w:rsidR="00D84EFD" w:rsidRDefault="002E1CEE" w:rsidP="002E1CEE">
      <w:pPr>
        <w:pStyle w:val="RAN4proposal"/>
      </w:pPr>
      <w:bookmarkStart w:id="7" w:name="_Ref517720604"/>
      <w:bookmarkEnd w:id="6"/>
      <w:r>
        <w:t>Subsections should be added to section 10.1 of 38.133 for</w:t>
      </w:r>
      <w:bookmarkEnd w:id="7"/>
      <w:r>
        <w:t xml:space="preserve"> </w:t>
      </w:r>
    </w:p>
    <w:p w:rsidR="002E1CEE" w:rsidRPr="002E1CEE" w:rsidRDefault="002E1CEE" w:rsidP="002E1CEE">
      <w:pPr>
        <w:numPr>
          <w:ilvl w:val="0"/>
          <w:numId w:val="49"/>
        </w:numPr>
        <w:ind w:right="-23"/>
        <w:contextualSpacing/>
        <w:rPr>
          <w:rFonts w:eastAsia="Calibri" w:cs="Times New Roman"/>
          <w:b/>
          <w:szCs w:val="20"/>
        </w:rPr>
      </w:pPr>
      <w:bookmarkStart w:id="8" w:name="_Hlk517720639"/>
      <w:r w:rsidRPr="002E1CEE">
        <w:rPr>
          <w:rFonts w:eastAsia="Calibri" w:cs="Times New Roman"/>
          <w:b/>
          <w:szCs w:val="20"/>
        </w:rPr>
        <w:t xml:space="preserve">RSRP measurement report mapping </w:t>
      </w:r>
    </w:p>
    <w:p w:rsidR="002E1CEE" w:rsidRPr="002E1CEE" w:rsidRDefault="002E1CEE" w:rsidP="002E1CEE">
      <w:pPr>
        <w:numPr>
          <w:ilvl w:val="0"/>
          <w:numId w:val="49"/>
        </w:numPr>
        <w:ind w:right="-23"/>
        <w:contextualSpacing/>
        <w:rPr>
          <w:rFonts w:eastAsia="Calibri" w:cs="Times New Roman"/>
          <w:b/>
          <w:szCs w:val="20"/>
        </w:rPr>
      </w:pPr>
      <w:r w:rsidRPr="002E1CEE">
        <w:rPr>
          <w:rFonts w:eastAsia="Calibri" w:cs="Times New Roman"/>
          <w:b/>
          <w:szCs w:val="20"/>
        </w:rPr>
        <w:t>RSRQ measurement report mapping</w:t>
      </w:r>
    </w:p>
    <w:p w:rsidR="002E1CEE" w:rsidRPr="002E1CEE" w:rsidRDefault="002E1CEE" w:rsidP="002E1CEE">
      <w:pPr>
        <w:numPr>
          <w:ilvl w:val="0"/>
          <w:numId w:val="49"/>
        </w:numPr>
        <w:ind w:right="-23"/>
        <w:contextualSpacing/>
        <w:rPr>
          <w:rFonts w:eastAsia="Calibri" w:cs="Times New Roman"/>
          <w:b/>
          <w:szCs w:val="20"/>
        </w:rPr>
      </w:pPr>
      <w:r w:rsidRPr="002E1CEE">
        <w:rPr>
          <w:rFonts w:eastAsia="Calibri" w:cs="Times New Roman"/>
          <w:b/>
          <w:szCs w:val="20"/>
        </w:rPr>
        <w:t>CA measurement accuracy</w:t>
      </w:r>
    </w:p>
    <w:p w:rsidR="002E1CEE" w:rsidRPr="002E1CEE" w:rsidRDefault="002E1CEE" w:rsidP="004D4626">
      <w:pPr>
        <w:numPr>
          <w:ilvl w:val="0"/>
          <w:numId w:val="49"/>
        </w:numPr>
        <w:ind w:right="-23"/>
        <w:contextualSpacing/>
        <w:rPr>
          <w:rFonts w:eastAsia="Calibri" w:cs="Times New Roman"/>
          <w:b/>
          <w:szCs w:val="20"/>
        </w:rPr>
      </w:pPr>
      <w:r w:rsidRPr="002E1CEE">
        <w:rPr>
          <w:rFonts w:eastAsia="Calibri" w:cs="Times New Roman"/>
          <w:b/>
          <w:szCs w:val="20"/>
        </w:rPr>
        <w:t>RS-SINR measurement accuracy</w:t>
      </w:r>
      <w:r w:rsidR="004D4626" w:rsidRPr="004D4626">
        <w:t xml:space="preserve"> </w:t>
      </w:r>
      <w:r w:rsidR="004D4626" w:rsidRPr="004D4626">
        <w:rPr>
          <w:rFonts w:eastAsia="Calibri" w:cs="Times New Roman"/>
          <w:b/>
          <w:szCs w:val="20"/>
        </w:rPr>
        <w:t>and report mapping</w:t>
      </w:r>
    </w:p>
    <w:p w:rsidR="002E1CEE" w:rsidRDefault="002E1CEE" w:rsidP="002E1CEE">
      <w:pPr>
        <w:numPr>
          <w:ilvl w:val="0"/>
          <w:numId w:val="49"/>
        </w:numPr>
        <w:ind w:right="-23"/>
        <w:contextualSpacing/>
        <w:rPr>
          <w:rFonts w:eastAsia="Calibri" w:cs="Times New Roman"/>
          <w:b/>
          <w:szCs w:val="20"/>
        </w:rPr>
      </w:pPr>
      <w:r w:rsidRPr="002E1CEE">
        <w:rPr>
          <w:rFonts w:eastAsia="Calibri" w:cs="Times New Roman"/>
          <w:b/>
          <w:szCs w:val="20"/>
        </w:rPr>
        <w:t>SFTD measurement accuracy, if defined for option 4 in late drop</w:t>
      </w:r>
    </w:p>
    <w:bookmarkEnd w:id="8"/>
    <w:p w:rsidR="004D4626" w:rsidRPr="002E1CEE" w:rsidRDefault="004D4626" w:rsidP="004D4626">
      <w:pPr>
        <w:ind w:right="-23"/>
        <w:contextualSpacing/>
        <w:rPr>
          <w:rFonts w:eastAsia="Calibri" w:cs="Times New Roman"/>
          <w:b/>
          <w:szCs w:val="20"/>
        </w:rPr>
      </w:pPr>
    </w:p>
    <w:p w:rsidR="00D84EFD" w:rsidRDefault="005E1400" w:rsidP="001625F8">
      <w:pPr>
        <w:ind w:right="-23"/>
        <w:rPr>
          <w:rFonts w:eastAsia="Calibri" w:cs="Times New Roman"/>
          <w:szCs w:val="20"/>
        </w:rPr>
      </w:pPr>
      <w:r>
        <w:rPr>
          <w:rFonts w:eastAsia="Calibri" w:cs="Times New Roman"/>
          <w:szCs w:val="20"/>
        </w:rPr>
        <w:t xml:space="preserve">In RAN4#87, the FR1 RSRP accuracy requirements are agreed by re-using the LTE requirements, since it’s believed that both baseband accuracy (2dB) and RF margin (2.5dB) can be considered to be same as in LTE in FR1. For FR2, </w:t>
      </w:r>
      <w:r>
        <w:rPr>
          <w:rFonts w:eastAsia="Calibri" w:cs="Times New Roman"/>
          <w:szCs w:val="20"/>
        </w:rPr>
        <w:lastRenderedPageBreak/>
        <w:t xml:space="preserve">when deriving the core requirements on measurement period, the same baseband accuracy (2dB) is also considered, so the only open issue in deriving the FR2 RSRP accuracy is the RF margin. </w:t>
      </w:r>
    </w:p>
    <w:p w:rsidR="005E1400" w:rsidRDefault="005E1400" w:rsidP="001625F8">
      <w:pPr>
        <w:ind w:right="-23"/>
        <w:rPr>
          <w:rFonts w:eastAsia="Calibri" w:cs="Times New Roman"/>
          <w:szCs w:val="20"/>
        </w:rPr>
      </w:pPr>
      <w:r>
        <w:rPr>
          <w:rFonts w:eastAsia="Calibri" w:cs="Times New Roman"/>
          <w:szCs w:val="20"/>
        </w:rPr>
        <w:t xml:space="preserve">In RAN4#87, some companies propose 4dB as the RF margin for FR2 </w:t>
      </w:r>
      <w:r>
        <w:rPr>
          <w:rFonts w:eastAsia="Calibri" w:cs="Times New Roman"/>
          <w:szCs w:val="20"/>
        </w:rPr>
        <w:fldChar w:fldCharType="begin"/>
      </w:r>
      <w:r>
        <w:rPr>
          <w:rFonts w:eastAsia="Calibri" w:cs="Times New Roman"/>
          <w:szCs w:val="20"/>
        </w:rPr>
        <w:instrText xml:space="preserve"> REF _Ref517705282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w:t>
      </w:r>
      <w:r w:rsidR="002237A8">
        <w:rPr>
          <w:rFonts w:eastAsia="Calibri" w:cs="Times New Roman"/>
          <w:szCs w:val="20"/>
        </w:rPr>
        <w:t xml:space="preserve">This number is more up to UE vendors to propose based on their implementations, but in our view 4dB is </w:t>
      </w:r>
      <w:r>
        <w:rPr>
          <w:rFonts w:eastAsia="Calibri" w:cs="Times New Roman"/>
          <w:szCs w:val="20"/>
        </w:rPr>
        <w:t>a reasonable number</w:t>
      </w:r>
      <w:r w:rsidR="002237A8">
        <w:rPr>
          <w:rFonts w:eastAsia="Calibri" w:cs="Times New Roman"/>
          <w:szCs w:val="20"/>
        </w:rPr>
        <w:t xml:space="preserve"> to account for the difference between FR1 and FR2 RF implementations. </w:t>
      </w:r>
      <w:r>
        <w:rPr>
          <w:rFonts w:eastAsia="Calibri" w:cs="Times New Roman"/>
          <w:szCs w:val="20"/>
        </w:rPr>
        <w:t>It should be noted that the RF margin is</w:t>
      </w:r>
      <w:r w:rsidR="002237A8">
        <w:rPr>
          <w:rFonts w:eastAsia="Calibri" w:cs="Times New Roman"/>
          <w:szCs w:val="20"/>
        </w:rPr>
        <w:t xml:space="preserve"> accounting for the imperfections in RF calibration, but not for the uncertainty in Rx beamforming. How to account for </w:t>
      </w:r>
      <w:r w:rsidR="002237A8" w:rsidRPr="002237A8">
        <w:rPr>
          <w:rFonts w:eastAsia="Calibri" w:cs="Times New Roman"/>
          <w:szCs w:val="20"/>
        </w:rPr>
        <w:t>the uncertainty in Rx beamforming</w:t>
      </w:r>
      <w:r w:rsidR="002237A8">
        <w:rPr>
          <w:rFonts w:eastAsia="Calibri" w:cs="Times New Roman"/>
          <w:szCs w:val="20"/>
        </w:rPr>
        <w:t xml:space="preserve"> including different Rx beamforming gain should be up to the Testability SI.</w:t>
      </w:r>
    </w:p>
    <w:p w:rsidR="00D84EFD" w:rsidRDefault="002237A8" w:rsidP="002237A8">
      <w:pPr>
        <w:pStyle w:val="RAN4proposal"/>
      </w:pPr>
      <w:bookmarkStart w:id="9" w:name="_Ref517720606"/>
      <w:r>
        <w:t>4dB RF margin is assumed for FR2 accuracy requirements, including intra-frequency absolute accuracy, inter-frequency absolute and relative accuracy.</w:t>
      </w:r>
      <w:bookmarkEnd w:id="9"/>
      <w:r>
        <w:t xml:space="preserve"> </w:t>
      </w:r>
    </w:p>
    <w:p w:rsidR="00D84EFD" w:rsidRDefault="004D4626" w:rsidP="001625F8">
      <w:pPr>
        <w:ind w:right="-23"/>
        <w:rPr>
          <w:rFonts w:eastAsia="Calibri" w:cs="Times New Roman"/>
          <w:szCs w:val="20"/>
        </w:rPr>
      </w:pPr>
      <w:r>
        <w:rPr>
          <w:rFonts w:eastAsia="Calibri" w:cs="Times New Roman"/>
          <w:szCs w:val="20"/>
        </w:rPr>
        <w:t xml:space="preserve">For RSRQ and RS-SINR accuracy, the uncertainty is mainly given by the RSRP measurement. Our earlier simulation results for RSRP measurement accuracy is given in </w:t>
      </w:r>
      <w:r>
        <w:rPr>
          <w:rFonts w:eastAsia="Calibri" w:cs="Times New Roman"/>
          <w:szCs w:val="20"/>
        </w:rPr>
        <w:fldChar w:fldCharType="begin"/>
      </w:r>
      <w:r>
        <w:rPr>
          <w:rFonts w:eastAsia="Calibri" w:cs="Times New Roman"/>
          <w:szCs w:val="20"/>
        </w:rPr>
        <w:instrText xml:space="preserve"> REF _Ref517706287 \r \h </w:instrText>
      </w:r>
      <w:r>
        <w:rPr>
          <w:rFonts w:eastAsia="Calibri" w:cs="Times New Roman"/>
          <w:szCs w:val="20"/>
        </w:rPr>
      </w:r>
      <w:r>
        <w:rPr>
          <w:rFonts w:eastAsia="Calibri" w:cs="Times New Roman"/>
          <w:szCs w:val="20"/>
        </w:rPr>
        <w:fldChar w:fldCharType="separate"/>
      </w:r>
      <w:r>
        <w:rPr>
          <w:rFonts w:eastAsia="Calibri" w:cs="Times New Roman"/>
          <w:szCs w:val="20"/>
        </w:rPr>
        <w:t>[2]</w:t>
      </w:r>
      <w:r>
        <w:rPr>
          <w:rFonts w:eastAsia="Calibri" w:cs="Times New Roman"/>
          <w:szCs w:val="20"/>
        </w:rPr>
        <w:fldChar w:fldCharType="end"/>
      </w:r>
      <w:r>
        <w:rPr>
          <w:rFonts w:eastAsia="Calibri" w:cs="Times New Roman"/>
          <w:szCs w:val="20"/>
        </w:rPr>
        <w:t>. From the results it can be observed that the RSRP measurement error with 5 samples and -6dB side condition is within 2dB. Similar baseband error can be assumed for RSRQ and RS-SINR, although it is subject to confirmation with simulations.</w:t>
      </w:r>
    </w:p>
    <w:p w:rsidR="00D84EFD" w:rsidRDefault="00220F23" w:rsidP="001625F8">
      <w:pPr>
        <w:ind w:right="-23"/>
        <w:rPr>
          <w:rFonts w:eastAsia="Calibri" w:cs="Times New Roman"/>
          <w:szCs w:val="20"/>
        </w:rPr>
      </w:pPr>
      <w:r>
        <w:rPr>
          <w:rFonts w:eastAsia="Calibri" w:cs="Times New Roman"/>
          <w:szCs w:val="20"/>
        </w:rPr>
        <w:t xml:space="preserve">On the exact accuracy requirements </w:t>
      </w:r>
      <w:r w:rsidR="00ED037A">
        <w:rPr>
          <w:rFonts w:eastAsia="Calibri" w:cs="Times New Roman"/>
          <w:szCs w:val="20"/>
        </w:rPr>
        <w:t xml:space="preserve">for RSRQ and RS-SINR, </w:t>
      </w:r>
      <w:r w:rsidR="002878EC">
        <w:rPr>
          <w:rFonts w:eastAsia="Calibri" w:cs="Times New Roman"/>
          <w:szCs w:val="20"/>
        </w:rPr>
        <w:t xml:space="preserve">our suggestion is to re-use the same requirements as in LTE </w:t>
      </w:r>
      <w:r w:rsidR="008A482C">
        <w:rPr>
          <w:rFonts w:eastAsia="Calibri" w:cs="Times New Roman"/>
          <w:szCs w:val="20"/>
        </w:rPr>
        <w:t xml:space="preserve">for both FR1 and FR2. </w:t>
      </w:r>
      <w:r w:rsidR="00987E7A">
        <w:rPr>
          <w:rFonts w:eastAsia="Calibri" w:cs="Times New Roman"/>
          <w:szCs w:val="20"/>
        </w:rPr>
        <w:t xml:space="preserve">As the RF margin for calibration is not included in any RSRQ or RS-SINR accuracy, there is no need to define different requirements for FR1 and FR2. </w:t>
      </w:r>
    </w:p>
    <w:p w:rsidR="00987E7A" w:rsidRDefault="00987E7A" w:rsidP="001625F8">
      <w:pPr>
        <w:ind w:right="-23"/>
        <w:rPr>
          <w:rFonts w:eastAsia="Calibri" w:cs="Times New Roman"/>
          <w:szCs w:val="20"/>
        </w:rPr>
      </w:pPr>
      <w:r>
        <w:rPr>
          <w:rFonts w:eastAsia="Calibri" w:cs="Times New Roman"/>
          <w:szCs w:val="20"/>
        </w:rPr>
        <w:t xml:space="preserve">Another issue is the RSSI measurement symbol for RSRQ. In NR the symbols on which UE measures </w:t>
      </w:r>
      <w:r w:rsidR="00F544A5">
        <w:rPr>
          <w:rFonts w:eastAsia="Calibri" w:cs="Times New Roman"/>
          <w:szCs w:val="20"/>
        </w:rPr>
        <w:t>RSSI</w:t>
      </w:r>
      <w:r>
        <w:rPr>
          <w:rFonts w:eastAsia="Calibri" w:cs="Times New Roman"/>
          <w:szCs w:val="20"/>
        </w:rPr>
        <w:t xml:space="preserve"> is network configurable, </w:t>
      </w:r>
      <w:r w:rsidR="00F544A5">
        <w:rPr>
          <w:rFonts w:eastAsia="Calibri" w:cs="Times New Roman"/>
          <w:szCs w:val="20"/>
        </w:rPr>
        <w:t>and it is a question whether it will impact the accuracy requirements. In our view, it will not as the measurement error is mainly coming from RSRP part. Also in LTE we have RSRQ with RSSI measured in CRS symbols and RSRQ with RSSI measured in all OFDM symbols, and the same accuracy requirements apply for the two types of RSRQ.</w:t>
      </w:r>
    </w:p>
    <w:p w:rsidR="00F544A5" w:rsidRDefault="00F544A5" w:rsidP="00F544A5">
      <w:pPr>
        <w:pStyle w:val="RAN4proposal"/>
      </w:pPr>
      <w:bookmarkStart w:id="10" w:name="_Ref517720607"/>
      <w:r>
        <w:t>R</w:t>
      </w:r>
      <w:r w:rsidRPr="00F544A5">
        <w:t>e-use the same requirements</w:t>
      </w:r>
      <w:r>
        <w:t xml:space="preserve"> for RSRQ and RS-SINR</w:t>
      </w:r>
      <w:r w:rsidRPr="00F544A5">
        <w:t xml:space="preserve"> as in LTE for both FR1 and FR2</w:t>
      </w:r>
      <w:r>
        <w:t>.</w:t>
      </w:r>
      <w:bookmarkEnd w:id="10"/>
    </w:p>
    <w:p w:rsidR="00F544A5" w:rsidRDefault="00F544A5" w:rsidP="00F544A5">
      <w:r>
        <w:t xml:space="preserve">As to the side condition of RRM accuracy requirements, the band group and related Io conditions should be decided based on RF agreements on UE REFSENSE. In RAN4#87, some companies discuss the application of side condition in FR2 </w:t>
      </w:r>
      <w:r>
        <w:fldChar w:fldCharType="begin"/>
      </w:r>
      <w:r>
        <w:instrText xml:space="preserve"> REF _Ref517720158 \r \h </w:instrText>
      </w:r>
      <w:r>
        <w:fldChar w:fldCharType="separate"/>
      </w:r>
      <w:r>
        <w:t>[3]</w:t>
      </w:r>
      <w:r>
        <w:fldChar w:fldCharType="end"/>
      </w:r>
      <w:r>
        <w:t xml:space="preserve">. We share the view that the side conditions on RSRP or SINR should be interpreted as baseband condition after Rx beamforming, and how they should be modeled in the testing is up to Testability SI. On the other hand, </w:t>
      </w:r>
      <w:r w:rsidR="008A142C">
        <w:fldChar w:fldCharType="begin"/>
      </w:r>
      <w:r w:rsidR="008A142C">
        <w:instrText xml:space="preserve"> REF _Ref517720158 \r \h </w:instrText>
      </w:r>
      <w:r w:rsidR="008A142C">
        <w:fldChar w:fldCharType="separate"/>
      </w:r>
      <w:r w:rsidR="008A142C">
        <w:t>[3]</w:t>
      </w:r>
      <w:r w:rsidR="008A142C">
        <w:fldChar w:fldCharType="end"/>
      </w:r>
      <w:r w:rsidR="008A142C">
        <w:t xml:space="preserve"> also proposes to consider the spatial conditions like EIS over </w:t>
      </w:r>
      <w:r w:rsidR="008A142C" w:rsidRPr="008A142C">
        <w:t>certain percentage of the sphere</w:t>
      </w:r>
      <w:r w:rsidR="008A142C">
        <w:t xml:space="preserve">. In our understanding, what will impact the accuracy and will be tested is the SINR under which the requirements are defined, and on which percentage of the sphere is the SINR achieved would not impact the performance. If spatial conditions are to be considered in accuracy requirements, its impact to the measurement performance should be clarified. </w:t>
      </w:r>
    </w:p>
    <w:p w:rsidR="008A142C" w:rsidRPr="00F544A5" w:rsidRDefault="008A142C" w:rsidP="008A142C">
      <w:pPr>
        <w:pStyle w:val="RAN4proposal"/>
      </w:pPr>
      <w:bookmarkStart w:id="11" w:name="_Ref517720608"/>
      <w:r>
        <w:t xml:space="preserve">Side conditions for accuracy requirement should be decided based on RESENSE in RF and conclusion from Testability SI. </w:t>
      </w:r>
      <w:r w:rsidRPr="008A142C">
        <w:t>If spatial conditions are to be considered in accuracy requirements, its impact to the measurement performance should be clarified.</w:t>
      </w:r>
      <w:bookmarkEnd w:id="11"/>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w:t>
      </w:r>
      <w:r w:rsidR="008A142C" w:rsidRPr="008A142C">
        <w:rPr>
          <w:lang w:val="en-GB"/>
        </w:rPr>
        <w:t>our initial views on RRM accuracy requirements for NR.</w:t>
      </w:r>
    </w:p>
    <w:p w:rsidR="008A142C" w:rsidRPr="008A142C" w:rsidRDefault="008A142C" w:rsidP="004F3D3B">
      <w:pPr>
        <w:rPr>
          <w:b/>
          <w:lang w:val="en-GB"/>
        </w:rPr>
      </w:pPr>
      <w:r w:rsidRPr="008A142C">
        <w:rPr>
          <w:b/>
          <w:lang w:val="en-GB"/>
        </w:rPr>
        <w:fldChar w:fldCharType="begin"/>
      </w:r>
      <w:r w:rsidRPr="008A142C">
        <w:rPr>
          <w:b/>
          <w:lang w:val="en-GB"/>
        </w:rPr>
        <w:instrText xml:space="preserve"> REF _Ref517720604 \r \h </w:instrText>
      </w:r>
      <w:r>
        <w:rPr>
          <w:b/>
          <w:lang w:val="en-GB"/>
        </w:rPr>
        <w:instrText xml:space="preserve"> \* MERGEFORMAT </w:instrText>
      </w:r>
      <w:r w:rsidRPr="008A142C">
        <w:rPr>
          <w:b/>
          <w:lang w:val="en-GB"/>
        </w:rPr>
      </w:r>
      <w:r w:rsidRPr="008A142C">
        <w:rPr>
          <w:b/>
          <w:lang w:val="en-GB"/>
        </w:rPr>
        <w:fldChar w:fldCharType="separate"/>
      </w:r>
      <w:r w:rsidRPr="008A142C">
        <w:rPr>
          <w:b/>
          <w:lang w:val="en-GB"/>
        </w:rPr>
        <w:t>Proposal 1:</w:t>
      </w:r>
      <w:r w:rsidRPr="008A142C">
        <w:rPr>
          <w:b/>
          <w:lang w:val="en-GB"/>
        </w:rPr>
        <w:fldChar w:fldCharType="end"/>
      </w:r>
      <w:r w:rsidRPr="008A142C">
        <w:rPr>
          <w:b/>
          <w:lang w:val="en-GB"/>
        </w:rPr>
        <w:t xml:space="preserve"> </w:t>
      </w:r>
      <w:r w:rsidRPr="008A142C">
        <w:rPr>
          <w:b/>
          <w:lang w:val="en-GB"/>
        </w:rPr>
        <w:fldChar w:fldCharType="begin"/>
      </w:r>
      <w:r w:rsidRPr="008A142C">
        <w:rPr>
          <w:b/>
          <w:lang w:val="en-GB"/>
        </w:rPr>
        <w:instrText xml:space="preserve"> REF _Ref517720604 \h </w:instrText>
      </w:r>
      <w:r>
        <w:rPr>
          <w:b/>
          <w:lang w:val="en-GB"/>
        </w:rPr>
        <w:instrText xml:space="preserve"> \* MERGEFORMAT </w:instrText>
      </w:r>
      <w:r w:rsidRPr="008A142C">
        <w:rPr>
          <w:b/>
          <w:lang w:val="en-GB"/>
        </w:rPr>
      </w:r>
      <w:r w:rsidRPr="008A142C">
        <w:rPr>
          <w:b/>
          <w:lang w:val="en-GB"/>
        </w:rPr>
        <w:fldChar w:fldCharType="separate"/>
      </w:r>
      <w:r w:rsidRPr="008A142C">
        <w:rPr>
          <w:b/>
        </w:rPr>
        <w:t>Subsections should be added to section 10.1 of 38.133 for</w:t>
      </w:r>
      <w:r w:rsidRPr="008A142C">
        <w:rPr>
          <w:b/>
          <w:lang w:val="en-GB"/>
        </w:rPr>
        <w:fldChar w:fldCharType="end"/>
      </w:r>
    </w:p>
    <w:p w:rsidR="008A142C" w:rsidRPr="008A142C" w:rsidRDefault="008A142C" w:rsidP="008A142C">
      <w:pPr>
        <w:numPr>
          <w:ilvl w:val="0"/>
          <w:numId w:val="49"/>
        </w:numPr>
        <w:ind w:right="-23"/>
        <w:contextualSpacing/>
        <w:rPr>
          <w:rFonts w:eastAsia="Calibri" w:cs="Times New Roman"/>
          <w:b/>
          <w:szCs w:val="20"/>
        </w:rPr>
      </w:pPr>
      <w:r w:rsidRPr="008A142C">
        <w:rPr>
          <w:rFonts w:eastAsia="Calibri" w:cs="Times New Roman"/>
          <w:b/>
          <w:szCs w:val="20"/>
        </w:rPr>
        <w:t xml:space="preserve">RSRP measurement report mapping </w:t>
      </w:r>
    </w:p>
    <w:p w:rsidR="008A142C" w:rsidRPr="008A142C" w:rsidRDefault="008A142C" w:rsidP="008A142C">
      <w:pPr>
        <w:numPr>
          <w:ilvl w:val="0"/>
          <w:numId w:val="49"/>
        </w:numPr>
        <w:ind w:right="-23"/>
        <w:contextualSpacing/>
        <w:rPr>
          <w:rFonts w:eastAsia="Calibri" w:cs="Times New Roman"/>
          <w:b/>
          <w:szCs w:val="20"/>
        </w:rPr>
      </w:pPr>
      <w:r w:rsidRPr="008A142C">
        <w:rPr>
          <w:rFonts w:eastAsia="Calibri" w:cs="Times New Roman"/>
          <w:b/>
          <w:szCs w:val="20"/>
        </w:rPr>
        <w:t>RSRQ measurement report mapping</w:t>
      </w:r>
    </w:p>
    <w:p w:rsidR="008A142C" w:rsidRPr="008A142C" w:rsidRDefault="008A142C" w:rsidP="008A142C">
      <w:pPr>
        <w:numPr>
          <w:ilvl w:val="0"/>
          <w:numId w:val="49"/>
        </w:numPr>
        <w:ind w:right="-23"/>
        <w:contextualSpacing/>
        <w:rPr>
          <w:rFonts w:eastAsia="Calibri" w:cs="Times New Roman"/>
          <w:b/>
          <w:szCs w:val="20"/>
        </w:rPr>
      </w:pPr>
      <w:r w:rsidRPr="008A142C">
        <w:rPr>
          <w:rFonts w:eastAsia="Calibri" w:cs="Times New Roman"/>
          <w:b/>
          <w:szCs w:val="20"/>
        </w:rPr>
        <w:t>CA measurement accuracy</w:t>
      </w:r>
    </w:p>
    <w:p w:rsidR="008A142C" w:rsidRPr="008A142C" w:rsidRDefault="008A142C" w:rsidP="008A142C">
      <w:pPr>
        <w:numPr>
          <w:ilvl w:val="0"/>
          <w:numId w:val="49"/>
        </w:numPr>
        <w:ind w:right="-23"/>
        <w:contextualSpacing/>
        <w:rPr>
          <w:rFonts w:eastAsia="Calibri" w:cs="Times New Roman"/>
          <w:b/>
          <w:szCs w:val="20"/>
        </w:rPr>
      </w:pPr>
      <w:r w:rsidRPr="008A142C">
        <w:rPr>
          <w:rFonts w:eastAsia="Calibri" w:cs="Times New Roman"/>
          <w:b/>
          <w:szCs w:val="20"/>
        </w:rPr>
        <w:t>RS-SINR measurement accuracy</w:t>
      </w:r>
      <w:r w:rsidRPr="008A142C">
        <w:rPr>
          <w:b/>
        </w:rPr>
        <w:t xml:space="preserve"> </w:t>
      </w:r>
      <w:r w:rsidRPr="008A142C">
        <w:rPr>
          <w:rFonts w:eastAsia="Calibri" w:cs="Times New Roman"/>
          <w:b/>
          <w:szCs w:val="20"/>
        </w:rPr>
        <w:t>and report mapping</w:t>
      </w:r>
    </w:p>
    <w:p w:rsidR="008A142C" w:rsidRPr="008A142C" w:rsidRDefault="008A142C" w:rsidP="008A142C">
      <w:pPr>
        <w:numPr>
          <w:ilvl w:val="0"/>
          <w:numId w:val="49"/>
        </w:numPr>
        <w:ind w:right="-23"/>
        <w:contextualSpacing/>
        <w:rPr>
          <w:rFonts w:eastAsia="Calibri" w:cs="Times New Roman"/>
          <w:b/>
          <w:szCs w:val="20"/>
        </w:rPr>
      </w:pPr>
      <w:r w:rsidRPr="008A142C">
        <w:rPr>
          <w:rFonts w:eastAsia="Calibri" w:cs="Times New Roman"/>
          <w:b/>
          <w:szCs w:val="20"/>
        </w:rPr>
        <w:t>SFTD measurement accuracy, if defined for option 4 in late drop</w:t>
      </w:r>
    </w:p>
    <w:p w:rsidR="008A142C" w:rsidRPr="008A142C" w:rsidRDefault="008A142C" w:rsidP="004F3D3B">
      <w:pPr>
        <w:rPr>
          <w:b/>
          <w:lang w:val="en-GB"/>
        </w:rPr>
      </w:pPr>
      <w:r w:rsidRPr="008A142C">
        <w:rPr>
          <w:b/>
          <w:lang w:val="en-GB"/>
        </w:rPr>
        <w:fldChar w:fldCharType="begin"/>
      </w:r>
      <w:r w:rsidRPr="008A142C">
        <w:rPr>
          <w:b/>
          <w:lang w:val="en-GB"/>
        </w:rPr>
        <w:instrText xml:space="preserve"> REF _Ref517720606 \r \h </w:instrText>
      </w:r>
      <w:r>
        <w:rPr>
          <w:b/>
          <w:lang w:val="en-GB"/>
        </w:rPr>
        <w:instrText xml:space="preserve"> \* MERGEFORMAT </w:instrText>
      </w:r>
      <w:r w:rsidRPr="008A142C">
        <w:rPr>
          <w:b/>
          <w:lang w:val="en-GB"/>
        </w:rPr>
      </w:r>
      <w:r w:rsidRPr="008A142C">
        <w:rPr>
          <w:b/>
          <w:lang w:val="en-GB"/>
        </w:rPr>
        <w:fldChar w:fldCharType="separate"/>
      </w:r>
      <w:r w:rsidRPr="008A142C">
        <w:rPr>
          <w:b/>
          <w:lang w:val="en-GB"/>
        </w:rPr>
        <w:t>Proposal 2:</w:t>
      </w:r>
      <w:r w:rsidRPr="008A142C">
        <w:rPr>
          <w:b/>
          <w:lang w:val="en-GB"/>
        </w:rPr>
        <w:fldChar w:fldCharType="end"/>
      </w:r>
      <w:r w:rsidRPr="008A142C">
        <w:rPr>
          <w:b/>
          <w:lang w:val="en-GB"/>
        </w:rPr>
        <w:t xml:space="preserve"> </w:t>
      </w:r>
      <w:r w:rsidRPr="008A142C">
        <w:rPr>
          <w:b/>
          <w:lang w:val="en-GB"/>
        </w:rPr>
        <w:fldChar w:fldCharType="begin"/>
      </w:r>
      <w:r w:rsidRPr="008A142C">
        <w:rPr>
          <w:b/>
          <w:lang w:val="en-GB"/>
        </w:rPr>
        <w:instrText xml:space="preserve"> REF _Ref517720606 \h </w:instrText>
      </w:r>
      <w:r>
        <w:rPr>
          <w:b/>
          <w:lang w:val="en-GB"/>
        </w:rPr>
        <w:instrText xml:space="preserve"> \* MERGEFORMAT </w:instrText>
      </w:r>
      <w:r w:rsidRPr="008A142C">
        <w:rPr>
          <w:b/>
          <w:lang w:val="en-GB"/>
        </w:rPr>
      </w:r>
      <w:r w:rsidRPr="008A142C">
        <w:rPr>
          <w:b/>
          <w:lang w:val="en-GB"/>
        </w:rPr>
        <w:fldChar w:fldCharType="separate"/>
      </w:r>
      <w:r w:rsidRPr="008A142C">
        <w:rPr>
          <w:b/>
        </w:rPr>
        <w:t>4dB RF margin is assumed for FR2 accuracy requirements, including intra-frequency absolute accuracy, inter-frequency absolute and relative accuracy.</w:t>
      </w:r>
      <w:r w:rsidRPr="008A142C">
        <w:rPr>
          <w:b/>
          <w:lang w:val="en-GB"/>
        </w:rPr>
        <w:fldChar w:fldCharType="end"/>
      </w:r>
    </w:p>
    <w:p w:rsidR="008A142C" w:rsidRPr="008A142C" w:rsidRDefault="008A142C" w:rsidP="004F3D3B">
      <w:pPr>
        <w:rPr>
          <w:b/>
          <w:lang w:val="en-GB"/>
        </w:rPr>
      </w:pPr>
      <w:r w:rsidRPr="008A142C">
        <w:rPr>
          <w:b/>
          <w:lang w:val="en-GB"/>
        </w:rPr>
        <w:fldChar w:fldCharType="begin"/>
      </w:r>
      <w:r w:rsidRPr="008A142C">
        <w:rPr>
          <w:b/>
          <w:lang w:val="en-GB"/>
        </w:rPr>
        <w:instrText xml:space="preserve"> REF _Ref517720607 \r \h </w:instrText>
      </w:r>
      <w:r>
        <w:rPr>
          <w:b/>
          <w:lang w:val="en-GB"/>
        </w:rPr>
        <w:instrText xml:space="preserve"> \* MERGEFORMAT </w:instrText>
      </w:r>
      <w:r w:rsidRPr="008A142C">
        <w:rPr>
          <w:b/>
          <w:lang w:val="en-GB"/>
        </w:rPr>
      </w:r>
      <w:r w:rsidRPr="008A142C">
        <w:rPr>
          <w:b/>
          <w:lang w:val="en-GB"/>
        </w:rPr>
        <w:fldChar w:fldCharType="separate"/>
      </w:r>
      <w:r w:rsidRPr="008A142C">
        <w:rPr>
          <w:b/>
          <w:lang w:val="en-GB"/>
        </w:rPr>
        <w:t>Proposal 3:</w:t>
      </w:r>
      <w:r w:rsidRPr="008A142C">
        <w:rPr>
          <w:b/>
          <w:lang w:val="en-GB"/>
        </w:rPr>
        <w:fldChar w:fldCharType="end"/>
      </w:r>
      <w:r w:rsidRPr="008A142C">
        <w:rPr>
          <w:b/>
          <w:lang w:val="en-GB"/>
        </w:rPr>
        <w:t xml:space="preserve"> </w:t>
      </w:r>
      <w:r w:rsidRPr="008A142C">
        <w:rPr>
          <w:b/>
          <w:lang w:val="en-GB"/>
        </w:rPr>
        <w:fldChar w:fldCharType="begin"/>
      </w:r>
      <w:r w:rsidRPr="008A142C">
        <w:rPr>
          <w:b/>
          <w:lang w:val="en-GB"/>
        </w:rPr>
        <w:instrText xml:space="preserve"> REF _Ref517720607 \h </w:instrText>
      </w:r>
      <w:r>
        <w:rPr>
          <w:b/>
          <w:lang w:val="en-GB"/>
        </w:rPr>
        <w:instrText xml:space="preserve"> \* MERGEFORMAT </w:instrText>
      </w:r>
      <w:r w:rsidRPr="008A142C">
        <w:rPr>
          <w:b/>
          <w:lang w:val="en-GB"/>
        </w:rPr>
      </w:r>
      <w:r w:rsidRPr="008A142C">
        <w:rPr>
          <w:b/>
          <w:lang w:val="en-GB"/>
        </w:rPr>
        <w:fldChar w:fldCharType="separate"/>
      </w:r>
      <w:r w:rsidRPr="008A142C">
        <w:rPr>
          <w:b/>
        </w:rPr>
        <w:t>Re-use the same requirements for RSRQ and RS-SINR as in LTE for both FR1 and FR2.</w:t>
      </w:r>
      <w:r w:rsidRPr="008A142C">
        <w:rPr>
          <w:b/>
          <w:lang w:val="en-GB"/>
        </w:rPr>
        <w:fldChar w:fldCharType="end"/>
      </w:r>
    </w:p>
    <w:p w:rsidR="008A142C" w:rsidRPr="008A142C" w:rsidRDefault="008A142C" w:rsidP="004F3D3B">
      <w:pPr>
        <w:rPr>
          <w:b/>
          <w:lang w:val="en-GB"/>
        </w:rPr>
      </w:pPr>
      <w:r w:rsidRPr="008A142C">
        <w:rPr>
          <w:b/>
          <w:lang w:val="en-GB"/>
        </w:rPr>
        <w:fldChar w:fldCharType="begin"/>
      </w:r>
      <w:r w:rsidRPr="008A142C">
        <w:rPr>
          <w:b/>
          <w:lang w:val="en-GB"/>
        </w:rPr>
        <w:instrText xml:space="preserve"> REF _Ref517720608 \r \h </w:instrText>
      </w:r>
      <w:r>
        <w:rPr>
          <w:b/>
          <w:lang w:val="en-GB"/>
        </w:rPr>
        <w:instrText xml:space="preserve"> \* MERGEFORMAT </w:instrText>
      </w:r>
      <w:r w:rsidRPr="008A142C">
        <w:rPr>
          <w:b/>
          <w:lang w:val="en-GB"/>
        </w:rPr>
      </w:r>
      <w:r w:rsidRPr="008A142C">
        <w:rPr>
          <w:b/>
          <w:lang w:val="en-GB"/>
        </w:rPr>
        <w:fldChar w:fldCharType="separate"/>
      </w:r>
      <w:r w:rsidRPr="008A142C">
        <w:rPr>
          <w:b/>
          <w:lang w:val="en-GB"/>
        </w:rPr>
        <w:t>Proposal 4:</w:t>
      </w:r>
      <w:r w:rsidRPr="008A142C">
        <w:rPr>
          <w:b/>
          <w:lang w:val="en-GB"/>
        </w:rPr>
        <w:fldChar w:fldCharType="end"/>
      </w:r>
      <w:r w:rsidRPr="008A142C">
        <w:rPr>
          <w:b/>
          <w:lang w:val="en-GB"/>
        </w:rPr>
        <w:t xml:space="preserve"> </w:t>
      </w:r>
      <w:r w:rsidRPr="008A142C">
        <w:rPr>
          <w:b/>
          <w:lang w:val="en-GB"/>
        </w:rPr>
        <w:fldChar w:fldCharType="begin"/>
      </w:r>
      <w:r w:rsidRPr="008A142C">
        <w:rPr>
          <w:b/>
          <w:lang w:val="en-GB"/>
        </w:rPr>
        <w:instrText xml:space="preserve"> REF _Ref517720608 \h </w:instrText>
      </w:r>
      <w:r>
        <w:rPr>
          <w:b/>
          <w:lang w:val="en-GB"/>
        </w:rPr>
        <w:instrText xml:space="preserve"> \* MERGEFORMAT </w:instrText>
      </w:r>
      <w:r w:rsidRPr="008A142C">
        <w:rPr>
          <w:b/>
          <w:lang w:val="en-GB"/>
        </w:rPr>
      </w:r>
      <w:r w:rsidRPr="008A142C">
        <w:rPr>
          <w:b/>
          <w:lang w:val="en-GB"/>
        </w:rPr>
        <w:fldChar w:fldCharType="separate"/>
      </w:r>
      <w:r w:rsidRPr="008A142C">
        <w:rPr>
          <w:b/>
        </w:rPr>
        <w:t>Side conditions for accuracy requirement should be decided based on RESENSE in RF and conclusion from Testability SI. If spatial conditions are to be considered in accuracy requirements, its impact to the measurement performance should be clarified.</w:t>
      </w:r>
      <w:r w:rsidRPr="008A142C">
        <w:rPr>
          <w:b/>
          <w:lang w:val="en-GB"/>
        </w:rPr>
        <w:fldChar w:fldCharType="end"/>
      </w:r>
    </w:p>
    <w:p w:rsidR="003B659E" w:rsidRPr="0095295C" w:rsidRDefault="003B659E" w:rsidP="0008612A">
      <w:pPr>
        <w:pStyle w:val="RAN4H1"/>
      </w:pPr>
      <w:r w:rsidRPr="0095295C">
        <w:lastRenderedPageBreak/>
        <w:t>References</w:t>
      </w:r>
    </w:p>
    <w:p w:rsidR="00FC7B92" w:rsidRDefault="004D4626" w:rsidP="005E1400">
      <w:pPr>
        <w:pStyle w:val="ListParagraph"/>
        <w:numPr>
          <w:ilvl w:val="0"/>
          <w:numId w:val="1"/>
        </w:numPr>
        <w:rPr>
          <w:szCs w:val="20"/>
        </w:rPr>
      </w:pPr>
      <w:bookmarkStart w:id="12" w:name="_Ref517705282"/>
      <w:bookmarkStart w:id="13" w:name="_Ref431017336"/>
      <w:bookmarkStart w:id="14" w:name="_Ref513196612"/>
      <w:bookmarkStart w:id="15" w:name="_Ref513710934"/>
      <w:bookmarkStart w:id="16" w:name="_Ref513723949"/>
      <w:bookmarkStart w:id="17" w:name="_Ref513728762"/>
      <w:r>
        <w:rPr>
          <w:szCs w:val="20"/>
        </w:rPr>
        <w:t>R4-</w:t>
      </w:r>
      <w:r w:rsidR="005E1400" w:rsidRPr="005E1400">
        <w:rPr>
          <w:szCs w:val="20"/>
        </w:rPr>
        <w:t>1807080</w:t>
      </w:r>
      <w:r w:rsidR="005E1400">
        <w:rPr>
          <w:szCs w:val="20"/>
        </w:rPr>
        <w:t xml:space="preserve">, </w:t>
      </w:r>
      <w:r w:rsidR="005E1400" w:rsidRPr="005E1400">
        <w:rPr>
          <w:szCs w:val="20"/>
        </w:rPr>
        <w:t>SS RSRP Measurements Requirements in NR</w:t>
      </w:r>
      <w:r w:rsidR="005E1400">
        <w:rPr>
          <w:szCs w:val="20"/>
        </w:rPr>
        <w:t xml:space="preserve">, </w:t>
      </w:r>
      <w:r w:rsidR="005E1400" w:rsidRPr="005E1400">
        <w:rPr>
          <w:szCs w:val="20"/>
        </w:rPr>
        <w:t>Qualcomm Incorporated</w:t>
      </w:r>
      <w:bookmarkEnd w:id="12"/>
    </w:p>
    <w:p w:rsidR="004D4626" w:rsidRDefault="004D4626" w:rsidP="004D4626">
      <w:pPr>
        <w:pStyle w:val="ListParagraph"/>
        <w:numPr>
          <w:ilvl w:val="0"/>
          <w:numId w:val="1"/>
        </w:numPr>
        <w:rPr>
          <w:szCs w:val="20"/>
        </w:rPr>
      </w:pPr>
      <w:bookmarkStart w:id="18" w:name="_Ref517706287"/>
      <w:r>
        <w:rPr>
          <w:szCs w:val="20"/>
        </w:rPr>
        <w:t xml:space="preserve">R4-1807460, </w:t>
      </w:r>
      <w:r w:rsidRPr="004D4626">
        <w:rPr>
          <w:szCs w:val="20"/>
        </w:rPr>
        <w:t xml:space="preserve">Initial simulation results for NR SSB based </w:t>
      </w:r>
      <w:r>
        <w:rPr>
          <w:szCs w:val="20"/>
        </w:rPr>
        <w:t xml:space="preserve">measurement, </w:t>
      </w:r>
      <w:r w:rsidRPr="004D4626">
        <w:rPr>
          <w:szCs w:val="20"/>
        </w:rPr>
        <w:t>Nokia, Nokia Shanghai Bell</w:t>
      </w:r>
      <w:bookmarkEnd w:id="18"/>
    </w:p>
    <w:p w:rsidR="00F544A5" w:rsidRPr="00FC7B92" w:rsidRDefault="00F544A5" w:rsidP="00F544A5">
      <w:pPr>
        <w:pStyle w:val="ListParagraph"/>
        <w:numPr>
          <w:ilvl w:val="0"/>
          <w:numId w:val="1"/>
        </w:numPr>
        <w:rPr>
          <w:szCs w:val="20"/>
        </w:rPr>
      </w:pPr>
      <w:bookmarkStart w:id="19" w:name="_Ref517720158"/>
      <w:r>
        <w:rPr>
          <w:szCs w:val="20"/>
        </w:rPr>
        <w:t xml:space="preserve">R4-1807055, </w:t>
      </w:r>
      <w:r w:rsidRPr="00F544A5">
        <w:rPr>
          <w:szCs w:val="20"/>
        </w:rPr>
        <w:t>Side Condi</w:t>
      </w:r>
      <w:r>
        <w:rPr>
          <w:szCs w:val="20"/>
        </w:rPr>
        <w:t xml:space="preserve">tions for FR2 RRM Requirements, </w:t>
      </w:r>
      <w:r w:rsidRPr="00F544A5">
        <w:rPr>
          <w:szCs w:val="20"/>
        </w:rPr>
        <w:t>Qualcomm Incorporated</w:t>
      </w:r>
      <w:bookmarkEnd w:id="19"/>
    </w:p>
    <w:bookmarkEnd w:id="13"/>
    <w:bookmarkEnd w:id="14"/>
    <w:bookmarkEnd w:id="15"/>
    <w:bookmarkEnd w:id="16"/>
    <w:bookmarkEnd w:id="17"/>
    <w:p w:rsidR="00E20ED2" w:rsidRPr="00E52560" w:rsidRDefault="00E20ED2" w:rsidP="00E52560">
      <w:pPr>
        <w:overflowPunct w:val="0"/>
        <w:autoSpaceDE w:val="0"/>
        <w:autoSpaceDN w:val="0"/>
        <w:adjustRightInd w:val="0"/>
        <w:ind w:left="360" w:right="-22"/>
        <w:jc w:val="both"/>
        <w:textAlignment w:val="baseline"/>
        <w:rPr>
          <w:szCs w:val="20"/>
        </w:rPr>
      </w:pPr>
    </w:p>
    <w:sectPr w:rsidR="00E20ED2" w:rsidRPr="00E5256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9EF" w:rsidRDefault="006269EF" w:rsidP="00001C9B">
      <w:pPr>
        <w:spacing w:after="0" w:line="240" w:lineRule="auto"/>
      </w:pPr>
      <w:r>
        <w:separator/>
      </w:r>
    </w:p>
  </w:endnote>
  <w:endnote w:type="continuationSeparator" w:id="0">
    <w:p w:rsidR="006269EF" w:rsidRDefault="006269E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9EF" w:rsidRDefault="006269EF" w:rsidP="00001C9B">
      <w:pPr>
        <w:spacing w:after="0" w:line="240" w:lineRule="auto"/>
      </w:pPr>
      <w:r>
        <w:separator/>
      </w:r>
    </w:p>
  </w:footnote>
  <w:footnote w:type="continuationSeparator" w:id="0">
    <w:p w:rsidR="006269EF" w:rsidRDefault="006269E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875B1"/>
    <w:multiLevelType w:val="hybridMultilevel"/>
    <w:tmpl w:val="94C829C8"/>
    <w:lvl w:ilvl="0" w:tplc="CBCCE756">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D11FC"/>
    <w:multiLevelType w:val="hybridMultilevel"/>
    <w:tmpl w:val="40B02B06"/>
    <w:lvl w:ilvl="0" w:tplc="03C0466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3313D4"/>
    <w:multiLevelType w:val="hybridMultilevel"/>
    <w:tmpl w:val="DD8254C8"/>
    <w:lvl w:ilvl="0" w:tplc="F33E1B26">
      <w:start w:val="1"/>
      <w:numFmt w:val="bullet"/>
      <w:lvlText w:val="•"/>
      <w:lvlJc w:val="left"/>
      <w:pPr>
        <w:tabs>
          <w:tab w:val="num" w:pos="720"/>
        </w:tabs>
        <w:ind w:left="720" w:hanging="360"/>
      </w:pPr>
      <w:rPr>
        <w:rFonts w:ascii="Arial" w:hAnsi="Arial" w:hint="default"/>
      </w:rPr>
    </w:lvl>
    <w:lvl w:ilvl="1" w:tplc="D32E0D7C">
      <w:numFmt w:val="bullet"/>
      <w:lvlText w:val="–"/>
      <w:lvlJc w:val="left"/>
      <w:pPr>
        <w:tabs>
          <w:tab w:val="num" w:pos="1440"/>
        </w:tabs>
        <w:ind w:left="1440" w:hanging="360"/>
      </w:pPr>
      <w:rPr>
        <w:rFonts w:ascii="Arial" w:hAnsi="Arial" w:hint="default"/>
      </w:rPr>
    </w:lvl>
    <w:lvl w:ilvl="2" w:tplc="D36EA2FE">
      <w:numFmt w:val="bullet"/>
      <w:lvlText w:val="•"/>
      <w:lvlJc w:val="left"/>
      <w:pPr>
        <w:tabs>
          <w:tab w:val="num" w:pos="2160"/>
        </w:tabs>
        <w:ind w:left="2160" w:hanging="360"/>
      </w:pPr>
      <w:rPr>
        <w:rFonts w:ascii="Arial" w:hAnsi="Arial" w:hint="default"/>
      </w:rPr>
    </w:lvl>
    <w:lvl w:ilvl="3" w:tplc="5DB0ACE4" w:tentative="1">
      <w:start w:val="1"/>
      <w:numFmt w:val="bullet"/>
      <w:lvlText w:val="•"/>
      <w:lvlJc w:val="left"/>
      <w:pPr>
        <w:tabs>
          <w:tab w:val="num" w:pos="2880"/>
        </w:tabs>
        <w:ind w:left="2880" w:hanging="360"/>
      </w:pPr>
      <w:rPr>
        <w:rFonts w:ascii="Arial" w:hAnsi="Arial" w:hint="default"/>
      </w:rPr>
    </w:lvl>
    <w:lvl w:ilvl="4" w:tplc="3CD889C0" w:tentative="1">
      <w:start w:val="1"/>
      <w:numFmt w:val="bullet"/>
      <w:lvlText w:val="•"/>
      <w:lvlJc w:val="left"/>
      <w:pPr>
        <w:tabs>
          <w:tab w:val="num" w:pos="3600"/>
        </w:tabs>
        <w:ind w:left="3600" w:hanging="360"/>
      </w:pPr>
      <w:rPr>
        <w:rFonts w:ascii="Arial" w:hAnsi="Arial" w:hint="default"/>
      </w:rPr>
    </w:lvl>
    <w:lvl w:ilvl="5" w:tplc="2BA25E44" w:tentative="1">
      <w:start w:val="1"/>
      <w:numFmt w:val="bullet"/>
      <w:lvlText w:val="•"/>
      <w:lvlJc w:val="left"/>
      <w:pPr>
        <w:tabs>
          <w:tab w:val="num" w:pos="4320"/>
        </w:tabs>
        <w:ind w:left="4320" w:hanging="360"/>
      </w:pPr>
      <w:rPr>
        <w:rFonts w:ascii="Arial" w:hAnsi="Arial" w:hint="default"/>
      </w:rPr>
    </w:lvl>
    <w:lvl w:ilvl="6" w:tplc="C3D098B8" w:tentative="1">
      <w:start w:val="1"/>
      <w:numFmt w:val="bullet"/>
      <w:lvlText w:val="•"/>
      <w:lvlJc w:val="left"/>
      <w:pPr>
        <w:tabs>
          <w:tab w:val="num" w:pos="5040"/>
        </w:tabs>
        <w:ind w:left="5040" w:hanging="360"/>
      </w:pPr>
      <w:rPr>
        <w:rFonts w:ascii="Arial" w:hAnsi="Arial" w:hint="default"/>
      </w:rPr>
    </w:lvl>
    <w:lvl w:ilvl="7" w:tplc="4B487534" w:tentative="1">
      <w:start w:val="1"/>
      <w:numFmt w:val="bullet"/>
      <w:lvlText w:val="•"/>
      <w:lvlJc w:val="left"/>
      <w:pPr>
        <w:tabs>
          <w:tab w:val="num" w:pos="5760"/>
        </w:tabs>
        <w:ind w:left="5760" w:hanging="360"/>
      </w:pPr>
      <w:rPr>
        <w:rFonts w:ascii="Arial" w:hAnsi="Arial" w:hint="default"/>
      </w:rPr>
    </w:lvl>
    <w:lvl w:ilvl="8" w:tplc="AC7A5C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60C82"/>
    <w:multiLevelType w:val="hybridMultilevel"/>
    <w:tmpl w:val="FB9C573E"/>
    <w:lvl w:ilvl="0" w:tplc="6C6CEF06">
      <w:start w:val="1"/>
      <w:numFmt w:val="bullet"/>
      <w:lvlText w:val="•"/>
      <w:lvlJc w:val="left"/>
      <w:pPr>
        <w:tabs>
          <w:tab w:val="num" w:pos="720"/>
        </w:tabs>
        <w:ind w:left="720" w:hanging="360"/>
      </w:pPr>
      <w:rPr>
        <w:rFonts w:ascii="Arial" w:hAnsi="Arial" w:hint="default"/>
      </w:rPr>
    </w:lvl>
    <w:lvl w:ilvl="1" w:tplc="5880C220">
      <w:numFmt w:val="bullet"/>
      <w:lvlText w:val="–"/>
      <w:lvlJc w:val="left"/>
      <w:pPr>
        <w:tabs>
          <w:tab w:val="num" w:pos="1440"/>
        </w:tabs>
        <w:ind w:left="1440" w:hanging="360"/>
      </w:pPr>
      <w:rPr>
        <w:rFonts w:ascii="Arial" w:hAnsi="Arial" w:hint="default"/>
      </w:rPr>
    </w:lvl>
    <w:lvl w:ilvl="2" w:tplc="D1FA0284">
      <w:numFmt w:val="bullet"/>
      <w:lvlText w:val="•"/>
      <w:lvlJc w:val="left"/>
      <w:pPr>
        <w:tabs>
          <w:tab w:val="num" w:pos="2160"/>
        </w:tabs>
        <w:ind w:left="2160" w:hanging="360"/>
      </w:pPr>
      <w:rPr>
        <w:rFonts w:ascii="Arial" w:hAnsi="Arial" w:hint="default"/>
      </w:rPr>
    </w:lvl>
    <w:lvl w:ilvl="3" w:tplc="FCD62F28">
      <w:numFmt w:val="bullet"/>
      <w:lvlText w:val="–"/>
      <w:lvlJc w:val="left"/>
      <w:pPr>
        <w:tabs>
          <w:tab w:val="num" w:pos="2880"/>
        </w:tabs>
        <w:ind w:left="2880" w:hanging="360"/>
      </w:pPr>
      <w:rPr>
        <w:rFonts w:ascii="Arial" w:hAnsi="Arial" w:hint="default"/>
      </w:rPr>
    </w:lvl>
    <w:lvl w:ilvl="4" w:tplc="5C6AE512" w:tentative="1">
      <w:start w:val="1"/>
      <w:numFmt w:val="bullet"/>
      <w:lvlText w:val="•"/>
      <w:lvlJc w:val="left"/>
      <w:pPr>
        <w:tabs>
          <w:tab w:val="num" w:pos="3600"/>
        </w:tabs>
        <w:ind w:left="3600" w:hanging="360"/>
      </w:pPr>
      <w:rPr>
        <w:rFonts w:ascii="Arial" w:hAnsi="Arial" w:hint="default"/>
      </w:rPr>
    </w:lvl>
    <w:lvl w:ilvl="5" w:tplc="69D4855C" w:tentative="1">
      <w:start w:val="1"/>
      <w:numFmt w:val="bullet"/>
      <w:lvlText w:val="•"/>
      <w:lvlJc w:val="left"/>
      <w:pPr>
        <w:tabs>
          <w:tab w:val="num" w:pos="4320"/>
        </w:tabs>
        <w:ind w:left="4320" w:hanging="360"/>
      </w:pPr>
      <w:rPr>
        <w:rFonts w:ascii="Arial" w:hAnsi="Arial" w:hint="default"/>
      </w:rPr>
    </w:lvl>
    <w:lvl w:ilvl="6" w:tplc="AE161E7E" w:tentative="1">
      <w:start w:val="1"/>
      <w:numFmt w:val="bullet"/>
      <w:lvlText w:val="•"/>
      <w:lvlJc w:val="left"/>
      <w:pPr>
        <w:tabs>
          <w:tab w:val="num" w:pos="5040"/>
        </w:tabs>
        <w:ind w:left="5040" w:hanging="360"/>
      </w:pPr>
      <w:rPr>
        <w:rFonts w:ascii="Arial" w:hAnsi="Arial" w:hint="default"/>
      </w:rPr>
    </w:lvl>
    <w:lvl w:ilvl="7" w:tplc="1DAA87A6" w:tentative="1">
      <w:start w:val="1"/>
      <w:numFmt w:val="bullet"/>
      <w:lvlText w:val="•"/>
      <w:lvlJc w:val="left"/>
      <w:pPr>
        <w:tabs>
          <w:tab w:val="num" w:pos="5760"/>
        </w:tabs>
        <w:ind w:left="5760" w:hanging="360"/>
      </w:pPr>
      <w:rPr>
        <w:rFonts w:ascii="Arial" w:hAnsi="Arial" w:hint="default"/>
      </w:rPr>
    </w:lvl>
    <w:lvl w:ilvl="8" w:tplc="78E66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4"/>
  </w:num>
  <w:num w:numId="4">
    <w:abstractNumId w:val="13"/>
  </w:num>
  <w:num w:numId="5">
    <w:abstractNumId w:val="29"/>
  </w:num>
  <w:num w:numId="6">
    <w:abstractNumId w:val="21"/>
  </w:num>
  <w:num w:numId="7">
    <w:abstractNumId w:val="23"/>
  </w:num>
  <w:num w:numId="8">
    <w:abstractNumId w:val="23"/>
    <w:lvlOverride w:ilvl="0">
      <w:startOverride w:val="1"/>
    </w:lvlOverride>
  </w:num>
  <w:num w:numId="9">
    <w:abstractNumId w:val="23"/>
    <w:lvlOverride w:ilvl="0">
      <w:startOverride w:val="1"/>
    </w:lvlOverride>
  </w:num>
  <w:num w:numId="10">
    <w:abstractNumId w:val="23"/>
    <w:lvlOverride w:ilvl="0">
      <w:startOverride w:val="1"/>
    </w:lvlOverride>
  </w:num>
  <w:num w:numId="11">
    <w:abstractNumId w:val="21"/>
    <w:lvlOverride w:ilvl="0">
      <w:startOverride w:val="1"/>
    </w:lvlOverride>
  </w:num>
  <w:num w:numId="12">
    <w:abstractNumId w:val="23"/>
    <w:lvlOverride w:ilvl="0">
      <w:startOverride w:val="1"/>
    </w:lvlOverride>
  </w:num>
  <w:num w:numId="13">
    <w:abstractNumId w:val="21"/>
    <w:lvlOverride w:ilvl="0">
      <w:startOverride w:val="1"/>
    </w:lvlOverride>
  </w:num>
  <w:num w:numId="14">
    <w:abstractNumId w:val="23"/>
    <w:lvlOverride w:ilvl="0">
      <w:startOverride w:val="1"/>
    </w:lvlOverride>
  </w:num>
  <w:num w:numId="15">
    <w:abstractNumId w:val="37"/>
  </w:num>
  <w:num w:numId="16">
    <w:abstractNumId w:val="10"/>
  </w:num>
  <w:num w:numId="17">
    <w:abstractNumId w:val="28"/>
  </w:num>
  <w:num w:numId="1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5"/>
  </w:num>
  <w:num w:numId="22">
    <w:abstractNumId w:val="34"/>
  </w:num>
  <w:num w:numId="23">
    <w:abstractNumId w:val="3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6"/>
  </w:num>
  <w:num w:numId="27">
    <w:abstractNumId w:val="16"/>
  </w:num>
  <w:num w:numId="28">
    <w:abstractNumId w:val="1"/>
  </w:num>
  <w:num w:numId="29">
    <w:abstractNumId w:val="2"/>
  </w:num>
  <w:num w:numId="30">
    <w:abstractNumId w:val="35"/>
  </w:num>
  <w:num w:numId="31">
    <w:abstractNumId w:val="33"/>
  </w:num>
  <w:num w:numId="32">
    <w:abstractNumId w:val="19"/>
  </w:num>
  <w:num w:numId="33">
    <w:abstractNumId w:val="22"/>
  </w:num>
  <w:num w:numId="34">
    <w:abstractNumId w:val="18"/>
  </w:num>
  <w:num w:numId="35">
    <w:abstractNumId w:val="7"/>
  </w:num>
  <w:num w:numId="36">
    <w:abstractNumId w:val="30"/>
  </w:num>
  <w:num w:numId="37">
    <w:abstractNumId w:val="5"/>
  </w:num>
  <w:num w:numId="38">
    <w:abstractNumId w:val="11"/>
  </w:num>
  <w:num w:numId="39">
    <w:abstractNumId w:val="32"/>
  </w:num>
  <w:num w:numId="40">
    <w:abstractNumId w:val="28"/>
  </w:num>
  <w:num w:numId="41">
    <w:abstractNumId w:val="26"/>
  </w:num>
  <w:num w:numId="42">
    <w:abstractNumId w:val="3"/>
  </w:num>
  <w:num w:numId="43">
    <w:abstractNumId w:val="8"/>
  </w:num>
  <w:num w:numId="44">
    <w:abstractNumId w:val="12"/>
  </w:num>
  <w:num w:numId="45">
    <w:abstractNumId w:val="15"/>
  </w:num>
  <w:num w:numId="46">
    <w:abstractNumId w:val="9"/>
  </w:num>
  <w:num w:numId="47">
    <w:abstractNumId w:val="6"/>
  </w:num>
  <w:num w:numId="48">
    <w:abstractNumId w:val="17"/>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13516"/>
    <w:rsid w:val="00050494"/>
    <w:rsid w:val="0007101A"/>
    <w:rsid w:val="00074FED"/>
    <w:rsid w:val="0008612A"/>
    <w:rsid w:val="000B0056"/>
    <w:rsid w:val="000B005F"/>
    <w:rsid w:val="000B050A"/>
    <w:rsid w:val="000D4E89"/>
    <w:rsid w:val="000E0505"/>
    <w:rsid w:val="00100DF1"/>
    <w:rsid w:val="00107708"/>
    <w:rsid w:val="00110A1D"/>
    <w:rsid w:val="00126990"/>
    <w:rsid w:val="001625F8"/>
    <w:rsid w:val="001745F8"/>
    <w:rsid w:val="001754B4"/>
    <w:rsid w:val="00176671"/>
    <w:rsid w:val="001838CF"/>
    <w:rsid w:val="001841C4"/>
    <w:rsid w:val="0019443D"/>
    <w:rsid w:val="001B0034"/>
    <w:rsid w:val="001B0911"/>
    <w:rsid w:val="001C5304"/>
    <w:rsid w:val="001E30F6"/>
    <w:rsid w:val="00220ED5"/>
    <w:rsid w:val="00220F23"/>
    <w:rsid w:val="002237A8"/>
    <w:rsid w:val="002316D0"/>
    <w:rsid w:val="00235F5C"/>
    <w:rsid w:val="00256EAB"/>
    <w:rsid w:val="00274FE4"/>
    <w:rsid w:val="00277620"/>
    <w:rsid w:val="002878EC"/>
    <w:rsid w:val="002A37E4"/>
    <w:rsid w:val="002A71D5"/>
    <w:rsid w:val="002B020D"/>
    <w:rsid w:val="002B4922"/>
    <w:rsid w:val="002C2D19"/>
    <w:rsid w:val="002D10FA"/>
    <w:rsid w:val="002D4C55"/>
    <w:rsid w:val="002E1CEE"/>
    <w:rsid w:val="0032623A"/>
    <w:rsid w:val="00370383"/>
    <w:rsid w:val="0038214C"/>
    <w:rsid w:val="00397593"/>
    <w:rsid w:val="003B659E"/>
    <w:rsid w:val="003F5269"/>
    <w:rsid w:val="00410C1C"/>
    <w:rsid w:val="00417AA0"/>
    <w:rsid w:val="0043750A"/>
    <w:rsid w:val="00443559"/>
    <w:rsid w:val="00450F5D"/>
    <w:rsid w:val="00463825"/>
    <w:rsid w:val="0047067B"/>
    <w:rsid w:val="004B7B4A"/>
    <w:rsid w:val="004C1EB4"/>
    <w:rsid w:val="004D4626"/>
    <w:rsid w:val="004D7F9F"/>
    <w:rsid w:val="004E27A4"/>
    <w:rsid w:val="004E5E66"/>
    <w:rsid w:val="004F3D3B"/>
    <w:rsid w:val="00503B4D"/>
    <w:rsid w:val="00504EE9"/>
    <w:rsid w:val="005240B7"/>
    <w:rsid w:val="0054442C"/>
    <w:rsid w:val="00550285"/>
    <w:rsid w:val="005836F8"/>
    <w:rsid w:val="005918FA"/>
    <w:rsid w:val="005D0338"/>
    <w:rsid w:val="005E1400"/>
    <w:rsid w:val="005E61A8"/>
    <w:rsid w:val="005F6419"/>
    <w:rsid w:val="00612ABF"/>
    <w:rsid w:val="00617400"/>
    <w:rsid w:val="006269EF"/>
    <w:rsid w:val="00640275"/>
    <w:rsid w:val="00660DC2"/>
    <w:rsid w:val="00662740"/>
    <w:rsid w:val="00664950"/>
    <w:rsid w:val="006764BB"/>
    <w:rsid w:val="00683220"/>
    <w:rsid w:val="00687FA0"/>
    <w:rsid w:val="00695872"/>
    <w:rsid w:val="006B2AF8"/>
    <w:rsid w:val="006B7010"/>
    <w:rsid w:val="006F4187"/>
    <w:rsid w:val="00702B7D"/>
    <w:rsid w:val="007145FF"/>
    <w:rsid w:val="00751515"/>
    <w:rsid w:val="00754AAA"/>
    <w:rsid w:val="00785232"/>
    <w:rsid w:val="007A6422"/>
    <w:rsid w:val="007C33D9"/>
    <w:rsid w:val="007C3ED0"/>
    <w:rsid w:val="007C4C53"/>
    <w:rsid w:val="007F649C"/>
    <w:rsid w:val="007F6B81"/>
    <w:rsid w:val="00806A76"/>
    <w:rsid w:val="00811C9D"/>
    <w:rsid w:val="00816C80"/>
    <w:rsid w:val="00820C48"/>
    <w:rsid w:val="00835C66"/>
    <w:rsid w:val="00841BCD"/>
    <w:rsid w:val="008713DC"/>
    <w:rsid w:val="008826C1"/>
    <w:rsid w:val="008A142C"/>
    <w:rsid w:val="008A23C5"/>
    <w:rsid w:val="008A482C"/>
    <w:rsid w:val="008C37E4"/>
    <w:rsid w:val="008C6F57"/>
    <w:rsid w:val="009042BD"/>
    <w:rsid w:val="009153D4"/>
    <w:rsid w:val="00921C13"/>
    <w:rsid w:val="009249B4"/>
    <w:rsid w:val="00977E1D"/>
    <w:rsid w:val="009830D1"/>
    <w:rsid w:val="00985EAF"/>
    <w:rsid w:val="00987E7A"/>
    <w:rsid w:val="0099686D"/>
    <w:rsid w:val="009B2113"/>
    <w:rsid w:val="009B721C"/>
    <w:rsid w:val="009C0262"/>
    <w:rsid w:val="009C3226"/>
    <w:rsid w:val="009C4527"/>
    <w:rsid w:val="009E3C11"/>
    <w:rsid w:val="00A0203F"/>
    <w:rsid w:val="00A02AF0"/>
    <w:rsid w:val="00A077CE"/>
    <w:rsid w:val="00A15A9F"/>
    <w:rsid w:val="00A22B78"/>
    <w:rsid w:val="00A25AE5"/>
    <w:rsid w:val="00A37002"/>
    <w:rsid w:val="00A506FD"/>
    <w:rsid w:val="00A7492F"/>
    <w:rsid w:val="00A86E66"/>
    <w:rsid w:val="00A95C98"/>
    <w:rsid w:val="00AA1B0E"/>
    <w:rsid w:val="00AA1C57"/>
    <w:rsid w:val="00AA1E5C"/>
    <w:rsid w:val="00AC1214"/>
    <w:rsid w:val="00AC2B38"/>
    <w:rsid w:val="00AC5CA7"/>
    <w:rsid w:val="00AE56B1"/>
    <w:rsid w:val="00AE6451"/>
    <w:rsid w:val="00B16397"/>
    <w:rsid w:val="00B53D00"/>
    <w:rsid w:val="00B5454D"/>
    <w:rsid w:val="00B651EE"/>
    <w:rsid w:val="00B73862"/>
    <w:rsid w:val="00B74C1F"/>
    <w:rsid w:val="00B8606D"/>
    <w:rsid w:val="00BA6E48"/>
    <w:rsid w:val="00BE2196"/>
    <w:rsid w:val="00BF2218"/>
    <w:rsid w:val="00BF399A"/>
    <w:rsid w:val="00C0293E"/>
    <w:rsid w:val="00C04855"/>
    <w:rsid w:val="00C0541A"/>
    <w:rsid w:val="00C073BD"/>
    <w:rsid w:val="00C203DD"/>
    <w:rsid w:val="00C42272"/>
    <w:rsid w:val="00C42DCE"/>
    <w:rsid w:val="00C74935"/>
    <w:rsid w:val="00C83C46"/>
    <w:rsid w:val="00C93484"/>
    <w:rsid w:val="00CB5915"/>
    <w:rsid w:val="00CD5959"/>
    <w:rsid w:val="00CD7492"/>
    <w:rsid w:val="00CE1EBA"/>
    <w:rsid w:val="00CE3A6B"/>
    <w:rsid w:val="00D00211"/>
    <w:rsid w:val="00D03FC6"/>
    <w:rsid w:val="00D06309"/>
    <w:rsid w:val="00D351EA"/>
    <w:rsid w:val="00D43403"/>
    <w:rsid w:val="00D62E71"/>
    <w:rsid w:val="00D718F1"/>
    <w:rsid w:val="00D740CA"/>
    <w:rsid w:val="00D762F2"/>
    <w:rsid w:val="00D82C09"/>
    <w:rsid w:val="00D84EFD"/>
    <w:rsid w:val="00D85728"/>
    <w:rsid w:val="00D90150"/>
    <w:rsid w:val="00DA7616"/>
    <w:rsid w:val="00DB0297"/>
    <w:rsid w:val="00DB3FE5"/>
    <w:rsid w:val="00DB7CD9"/>
    <w:rsid w:val="00DF2997"/>
    <w:rsid w:val="00E20ED2"/>
    <w:rsid w:val="00E246CE"/>
    <w:rsid w:val="00E31948"/>
    <w:rsid w:val="00E52560"/>
    <w:rsid w:val="00E53F93"/>
    <w:rsid w:val="00E6410D"/>
    <w:rsid w:val="00E767B8"/>
    <w:rsid w:val="00E80E17"/>
    <w:rsid w:val="00E8297E"/>
    <w:rsid w:val="00E921CF"/>
    <w:rsid w:val="00E93772"/>
    <w:rsid w:val="00EB55EA"/>
    <w:rsid w:val="00EC7BC3"/>
    <w:rsid w:val="00ED037A"/>
    <w:rsid w:val="00ED7600"/>
    <w:rsid w:val="00EE15DB"/>
    <w:rsid w:val="00EE7CB7"/>
    <w:rsid w:val="00EF236A"/>
    <w:rsid w:val="00F03CC9"/>
    <w:rsid w:val="00F1362C"/>
    <w:rsid w:val="00F14809"/>
    <w:rsid w:val="00F34499"/>
    <w:rsid w:val="00F44843"/>
    <w:rsid w:val="00F45713"/>
    <w:rsid w:val="00F52735"/>
    <w:rsid w:val="00F544A5"/>
    <w:rsid w:val="00F64F6E"/>
    <w:rsid w:val="00F824F5"/>
    <w:rsid w:val="00FA5B99"/>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1CEE"/>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 w:type="table" w:customStyle="1" w:styleId="TableGrid2">
    <w:name w:val="Table Grid2"/>
    <w:basedOn w:val="TableNormal"/>
    <w:next w:val="TableGrid"/>
    <w:uiPriority w:val="39"/>
    <w:rsid w:val="00013516"/>
    <w:pPr>
      <w:spacing w:after="0" w:line="240" w:lineRule="auto"/>
    </w:pPr>
    <w:rPr>
      <w:rFonts w:ascii="Arial" w:eastAsiaTheme="minorHAnsi"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0F2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F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622276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44">
          <w:marLeft w:val="547"/>
          <w:marRight w:val="0"/>
          <w:marTop w:val="96"/>
          <w:marBottom w:val="0"/>
          <w:divBdr>
            <w:top w:val="none" w:sz="0" w:space="0" w:color="auto"/>
            <w:left w:val="none" w:sz="0" w:space="0" w:color="auto"/>
            <w:bottom w:val="none" w:sz="0" w:space="0" w:color="auto"/>
            <w:right w:val="none" w:sz="0" w:space="0" w:color="auto"/>
          </w:divBdr>
        </w:div>
        <w:div w:id="496774850">
          <w:marLeft w:val="1166"/>
          <w:marRight w:val="0"/>
          <w:marTop w:val="96"/>
          <w:marBottom w:val="0"/>
          <w:divBdr>
            <w:top w:val="none" w:sz="0" w:space="0" w:color="auto"/>
            <w:left w:val="none" w:sz="0" w:space="0" w:color="auto"/>
            <w:bottom w:val="none" w:sz="0" w:space="0" w:color="auto"/>
            <w:right w:val="none" w:sz="0" w:space="0" w:color="auto"/>
          </w:divBdr>
        </w:div>
        <w:div w:id="1821387091">
          <w:marLeft w:val="1166"/>
          <w:marRight w:val="0"/>
          <w:marTop w:val="96"/>
          <w:marBottom w:val="0"/>
          <w:divBdr>
            <w:top w:val="none" w:sz="0" w:space="0" w:color="auto"/>
            <w:left w:val="none" w:sz="0" w:space="0" w:color="auto"/>
            <w:bottom w:val="none" w:sz="0" w:space="0" w:color="auto"/>
            <w:right w:val="none" w:sz="0" w:space="0" w:color="auto"/>
          </w:divBdr>
        </w:div>
        <w:div w:id="2030794351">
          <w:marLeft w:val="1166"/>
          <w:marRight w:val="0"/>
          <w:marTop w:val="96"/>
          <w:marBottom w:val="0"/>
          <w:divBdr>
            <w:top w:val="none" w:sz="0" w:space="0" w:color="auto"/>
            <w:left w:val="none" w:sz="0" w:space="0" w:color="auto"/>
            <w:bottom w:val="none" w:sz="0" w:space="0" w:color="auto"/>
            <w:right w:val="none" w:sz="0" w:space="0" w:color="auto"/>
          </w:divBdr>
        </w:div>
        <w:div w:id="250772829">
          <w:marLeft w:val="1800"/>
          <w:marRight w:val="0"/>
          <w:marTop w:val="86"/>
          <w:marBottom w:val="0"/>
          <w:divBdr>
            <w:top w:val="none" w:sz="0" w:space="0" w:color="auto"/>
            <w:left w:val="none" w:sz="0" w:space="0" w:color="auto"/>
            <w:bottom w:val="none" w:sz="0" w:space="0" w:color="auto"/>
            <w:right w:val="none" w:sz="0" w:space="0" w:color="auto"/>
          </w:divBdr>
        </w:div>
        <w:div w:id="1549301909">
          <w:marLeft w:val="1166"/>
          <w:marRight w:val="0"/>
          <w:marTop w:val="96"/>
          <w:marBottom w:val="0"/>
          <w:divBdr>
            <w:top w:val="none" w:sz="0" w:space="0" w:color="auto"/>
            <w:left w:val="none" w:sz="0" w:space="0" w:color="auto"/>
            <w:bottom w:val="none" w:sz="0" w:space="0" w:color="auto"/>
            <w:right w:val="none" w:sz="0" w:space="0" w:color="auto"/>
          </w:divBdr>
        </w:div>
        <w:div w:id="254019383">
          <w:marLeft w:val="1166"/>
          <w:marRight w:val="0"/>
          <w:marTop w:val="96"/>
          <w:marBottom w:val="0"/>
          <w:divBdr>
            <w:top w:val="none" w:sz="0" w:space="0" w:color="auto"/>
            <w:left w:val="none" w:sz="0" w:space="0" w:color="auto"/>
            <w:bottom w:val="none" w:sz="0" w:space="0" w:color="auto"/>
            <w:right w:val="none" w:sz="0" w:space="0" w:color="auto"/>
          </w:divBdr>
        </w:div>
        <w:div w:id="821233614">
          <w:marLeft w:val="1800"/>
          <w:marRight w:val="0"/>
          <w:marTop w:val="86"/>
          <w:marBottom w:val="0"/>
          <w:divBdr>
            <w:top w:val="none" w:sz="0" w:space="0" w:color="auto"/>
            <w:left w:val="none" w:sz="0" w:space="0" w:color="auto"/>
            <w:bottom w:val="none" w:sz="0" w:space="0" w:color="auto"/>
            <w:right w:val="none" w:sz="0" w:space="0" w:color="auto"/>
          </w:divBdr>
        </w:div>
        <w:div w:id="207146">
          <w:marLeft w:val="1800"/>
          <w:marRight w:val="0"/>
          <w:marTop w:val="86"/>
          <w:marBottom w:val="0"/>
          <w:divBdr>
            <w:top w:val="none" w:sz="0" w:space="0" w:color="auto"/>
            <w:left w:val="none" w:sz="0" w:space="0" w:color="auto"/>
            <w:bottom w:val="none" w:sz="0" w:space="0" w:color="auto"/>
            <w:right w:val="none" w:sz="0" w:space="0" w:color="auto"/>
          </w:divBdr>
        </w:div>
        <w:div w:id="1335184200">
          <w:marLeft w:val="2520"/>
          <w:marRight w:val="0"/>
          <w:marTop w:val="77"/>
          <w:marBottom w:val="0"/>
          <w:divBdr>
            <w:top w:val="none" w:sz="0" w:space="0" w:color="auto"/>
            <w:left w:val="none" w:sz="0" w:space="0" w:color="auto"/>
            <w:bottom w:val="none" w:sz="0" w:space="0" w:color="auto"/>
            <w:right w:val="none" w:sz="0" w:space="0" w:color="auto"/>
          </w:divBdr>
        </w:div>
        <w:div w:id="352538673">
          <w:marLeft w:val="1800"/>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9832390">
      <w:bodyDiv w:val="1"/>
      <w:marLeft w:val="0"/>
      <w:marRight w:val="0"/>
      <w:marTop w:val="0"/>
      <w:marBottom w:val="0"/>
      <w:divBdr>
        <w:top w:val="none" w:sz="0" w:space="0" w:color="auto"/>
        <w:left w:val="none" w:sz="0" w:space="0" w:color="auto"/>
        <w:bottom w:val="none" w:sz="0" w:space="0" w:color="auto"/>
        <w:right w:val="none" w:sz="0" w:space="0" w:color="auto"/>
      </w:divBdr>
      <w:divsChild>
        <w:div w:id="1288201500">
          <w:marLeft w:val="547"/>
          <w:marRight w:val="0"/>
          <w:marTop w:val="96"/>
          <w:marBottom w:val="0"/>
          <w:divBdr>
            <w:top w:val="none" w:sz="0" w:space="0" w:color="auto"/>
            <w:left w:val="none" w:sz="0" w:space="0" w:color="auto"/>
            <w:bottom w:val="none" w:sz="0" w:space="0" w:color="auto"/>
            <w:right w:val="none" w:sz="0" w:space="0" w:color="auto"/>
          </w:divBdr>
        </w:div>
        <w:div w:id="2027171223">
          <w:marLeft w:val="1166"/>
          <w:marRight w:val="0"/>
          <w:marTop w:val="96"/>
          <w:marBottom w:val="0"/>
          <w:divBdr>
            <w:top w:val="none" w:sz="0" w:space="0" w:color="auto"/>
            <w:left w:val="none" w:sz="0" w:space="0" w:color="auto"/>
            <w:bottom w:val="none" w:sz="0" w:space="0" w:color="auto"/>
            <w:right w:val="none" w:sz="0" w:space="0" w:color="auto"/>
          </w:divBdr>
        </w:div>
        <w:div w:id="1203859470">
          <w:marLeft w:val="1166"/>
          <w:marRight w:val="0"/>
          <w:marTop w:val="96"/>
          <w:marBottom w:val="0"/>
          <w:divBdr>
            <w:top w:val="none" w:sz="0" w:space="0" w:color="auto"/>
            <w:left w:val="none" w:sz="0" w:space="0" w:color="auto"/>
            <w:bottom w:val="none" w:sz="0" w:space="0" w:color="auto"/>
            <w:right w:val="none" w:sz="0" w:space="0" w:color="auto"/>
          </w:divBdr>
        </w:div>
        <w:div w:id="1919170317">
          <w:marLeft w:val="1166"/>
          <w:marRight w:val="0"/>
          <w:marTop w:val="96"/>
          <w:marBottom w:val="0"/>
          <w:divBdr>
            <w:top w:val="none" w:sz="0" w:space="0" w:color="auto"/>
            <w:left w:val="none" w:sz="0" w:space="0" w:color="auto"/>
            <w:bottom w:val="none" w:sz="0" w:space="0" w:color="auto"/>
            <w:right w:val="none" w:sz="0" w:space="0" w:color="auto"/>
          </w:divBdr>
        </w:div>
        <w:div w:id="1980958649">
          <w:marLeft w:val="1800"/>
          <w:marRight w:val="0"/>
          <w:marTop w:val="86"/>
          <w:marBottom w:val="0"/>
          <w:divBdr>
            <w:top w:val="none" w:sz="0" w:space="0" w:color="auto"/>
            <w:left w:val="none" w:sz="0" w:space="0" w:color="auto"/>
            <w:bottom w:val="none" w:sz="0" w:space="0" w:color="auto"/>
            <w:right w:val="none" w:sz="0" w:space="0" w:color="auto"/>
          </w:divBdr>
        </w:div>
        <w:div w:id="166673076">
          <w:marLeft w:val="1166"/>
          <w:marRight w:val="0"/>
          <w:marTop w:val="96"/>
          <w:marBottom w:val="0"/>
          <w:divBdr>
            <w:top w:val="none" w:sz="0" w:space="0" w:color="auto"/>
            <w:left w:val="none" w:sz="0" w:space="0" w:color="auto"/>
            <w:bottom w:val="none" w:sz="0" w:space="0" w:color="auto"/>
            <w:right w:val="none" w:sz="0" w:space="0" w:color="auto"/>
          </w:divBdr>
        </w:div>
        <w:div w:id="903369257">
          <w:marLeft w:val="1166"/>
          <w:marRight w:val="0"/>
          <w:marTop w:val="96"/>
          <w:marBottom w:val="0"/>
          <w:divBdr>
            <w:top w:val="none" w:sz="0" w:space="0" w:color="auto"/>
            <w:left w:val="none" w:sz="0" w:space="0" w:color="auto"/>
            <w:bottom w:val="none" w:sz="0" w:space="0" w:color="auto"/>
            <w:right w:val="none" w:sz="0" w:space="0" w:color="auto"/>
          </w:divBdr>
        </w:div>
        <w:div w:id="1908295526">
          <w:marLeft w:val="1800"/>
          <w:marRight w:val="0"/>
          <w:marTop w:val="86"/>
          <w:marBottom w:val="0"/>
          <w:divBdr>
            <w:top w:val="none" w:sz="0" w:space="0" w:color="auto"/>
            <w:left w:val="none" w:sz="0" w:space="0" w:color="auto"/>
            <w:bottom w:val="none" w:sz="0" w:space="0" w:color="auto"/>
            <w:right w:val="none" w:sz="0" w:space="0" w:color="auto"/>
          </w:divBdr>
        </w:div>
        <w:div w:id="2015953463">
          <w:marLeft w:val="1800"/>
          <w:marRight w:val="0"/>
          <w:marTop w:val="86"/>
          <w:marBottom w:val="0"/>
          <w:divBdr>
            <w:top w:val="none" w:sz="0" w:space="0" w:color="auto"/>
            <w:left w:val="none" w:sz="0" w:space="0" w:color="auto"/>
            <w:bottom w:val="none" w:sz="0" w:space="0" w:color="auto"/>
            <w:right w:val="none" w:sz="0" w:space="0" w:color="auto"/>
          </w:divBdr>
        </w:div>
        <w:div w:id="120419117">
          <w:marLeft w:val="2520"/>
          <w:marRight w:val="0"/>
          <w:marTop w:val="77"/>
          <w:marBottom w:val="0"/>
          <w:divBdr>
            <w:top w:val="none" w:sz="0" w:space="0" w:color="auto"/>
            <w:left w:val="none" w:sz="0" w:space="0" w:color="auto"/>
            <w:bottom w:val="none" w:sz="0" w:space="0" w:color="auto"/>
            <w:right w:val="none" w:sz="0" w:space="0" w:color="auto"/>
          </w:divBdr>
        </w:div>
        <w:div w:id="1971549113">
          <w:marLeft w:val="1800"/>
          <w:marRight w:val="0"/>
          <w:marTop w:val="8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38215373">
      <w:bodyDiv w:val="1"/>
      <w:marLeft w:val="0"/>
      <w:marRight w:val="0"/>
      <w:marTop w:val="0"/>
      <w:marBottom w:val="0"/>
      <w:divBdr>
        <w:top w:val="none" w:sz="0" w:space="0" w:color="auto"/>
        <w:left w:val="none" w:sz="0" w:space="0" w:color="auto"/>
        <w:bottom w:val="none" w:sz="0" w:space="0" w:color="auto"/>
        <w:right w:val="none" w:sz="0" w:space="0" w:color="auto"/>
      </w:divBdr>
      <w:divsChild>
        <w:div w:id="477650647">
          <w:marLeft w:val="547"/>
          <w:marRight w:val="0"/>
          <w:marTop w:val="96"/>
          <w:marBottom w:val="0"/>
          <w:divBdr>
            <w:top w:val="none" w:sz="0" w:space="0" w:color="auto"/>
            <w:left w:val="none" w:sz="0" w:space="0" w:color="auto"/>
            <w:bottom w:val="none" w:sz="0" w:space="0" w:color="auto"/>
            <w:right w:val="none" w:sz="0" w:space="0" w:color="auto"/>
          </w:divBdr>
        </w:div>
        <w:div w:id="830173806">
          <w:marLeft w:val="1166"/>
          <w:marRight w:val="0"/>
          <w:marTop w:val="96"/>
          <w:marBottom w:val="0"/>
          <w:divBdr>
            <w:top w:val="none" w:sz="0" w:space="0" w:color="auto"/>
            <w:left w:val="none" w:sz="0" w:space="0" w:color="auto"/>
            <w:bottom w:val="none" w:sz="0" w:space="0" w:color="auto"/>
            <w:right w:val="none" w:sz="0" w:space="0" w:color="auto"/>
          </w:divBdr>
        </w:div>
        <w:div w:id="336347411">
          <w:marLeft w:val="1166"/>
          <w:marRight w:val="0"/>
          <w:marTop w:val="96"/>
          <w:marBottom w:val="0"/>
          <w:divBdr>
            <w:top w:val="none" w:sz="0" w:space="0" w:color="auto"/>
            <w:left w:val="none" w:sz="0" w:space="0" w:color="auto"/>
            <w:bottom w:val="none" w:sz="0" w:space="0" w:color="auto"/>
            <w:right w:val="none" w:sz="0" w:space="0" w:color="auto"/>
          </w:divBdr>
        </w:div>
        <w:div w:id="2079548210">
          <w:marLeft w:val="1166"/>
          <w:marRight w:val="0"/>
          <w:marTop w:val="96"/>
          <w:marBottom w:val="0"/>
          <w:divBdr>
            <w:top w:val="none" w:sz="0" w:space="0" w:color="auto"/>
            <w:left w:val="none" w:sz="0" w:space="0" w:color="auto"/>
            <w:bottom w:val="none" w:sz="0" w:space="0" w:color="auto"/>
            <w:right w:val="none" w:sz="0" w:space="0" w:color="auto"/>
          </w:divBdr>
        </w:div>
        <w:div w:id="456417664">
          <w:marLeft w:val="1800"/>
          <w:marRight w:val="0"/>
          <w:marTop w:val="86"/>
          <w:marBottom w:val="0"/>
          <w:divBdr>
            <w:top w:val="none" w:sz="0" w:space="0" w:color="auto"/>
            <w:left w:val="none" w:sz="0" w:space="0" w:color="auto"/>
            <w:bottom w:val="none" w:sz="0" w:space="0" w:color="auto"/>
            <w:right w:val="none" w:sz="0" w:space="0" w:color="auto"/>
          </w:divBdr>
        </w:div>
        <w:div w:id="1253048818">
          <w:marLeft w:val="1166"/>
          <w:marRight w:val="0"/>
          <w:marTop w:val="96"/>
          <w:marBottom w:val="0"/>
          <w:divBdr>
            <w:top w:val="none" w:sz="0" w:space="0" w:color="auto"/>
            <w:left w:val="none" w:sz="0" w:space="0" w:color="auto"/>
            <w:bottom w:val="none" w:sz="0" w:space="0" w:color="auto"/>
            <w:right w:val="none" w:sz="0" w:space="0" w:color="auto"/>
          </w:divBdr>
        </w:div>
        <w:div w:id="867110831">
          <w:marLeft w:val="1166"/>
          <w:marRight w:val="0"/>
          <w:marTop w:val="96"/>
          <w:marBottom w:val="0"/>
          <w:divBdr>
            <w:top w:val="none" w:sz="0" w:space="0" w:color="auto"/>
            <w:left w:val="none" w:sz="0" w:space="0" w:color="auto"/>
            <w:bottom w:val="none" w:sz="0" w:space="0" w:color="auto"/>
            <w:right w:val="none" w:sz="0" w:space="0" w:color="auto"/>
          </w:divBdr>
        </w:div>
        <w:div w:id="1601795317">
          <w:marLeft w:val="1800"/>
          <w:marRight w:val="0"/>
          <w:marTop w:val="86"/>
          <w:marBottom w:val="0"/>
          <w:divBdr>
            <w:top w:val="none" w:sz="0" w:space="0" w:color="auto"/>
            <w:left w:val="none" w:sz="0" w:space="0" w:color="auto"/>
            <w:bottom w:val="none" w:sz="0" w:space="0" w:color="auto"/>
            <w:right w:val="none" w:sz="0" w:space="0" w:color="auto"/>
          </w:divBdr>
        </w:div>
        <w:div w:id="783038471">
          <w:marLeft w:val="1800"/>
          <w:marRight w:val="0"/>
          <w:marTop w:val="86"/>
          <w:marBottom w:val="0"/>
          <w:divBdr>
            <w:top w:val="none" w:sz="0" w:space="0" w:color="auto"/>
            <w:left w:val="none" w:sz="0" w:space="0" w:color="auto"/>
            <w:bottom w:val="none" w:sz="0" w:space="0" w:color="auto"/>
            <w:right w:val="none" w:sz="0" w:space="0" w:color="auto"/>
          </w:divBdr>
        </w:div>
        <w:div w:id="786393522">
          <w:marLeft w:val="2520"/>
          <w:marRight w:val="0"/>
          <w:marTop w:val="77"/>
          <w:marBottom w:val="0"/>
          <w:divBdr>
            <w:top w:val="none" w:sz="0" w:space="0" w:color="auto"/>
            <w:left w:val="none" w:sz="0" w:space="0" w:color="auto"/>
            <w:bottom w:val="none" w:sz="0" w:space="0" w:color="auto"/>
            <w:right w:val="none" w:sz="0" w:space="0" w:color="auto"/>
          </w:divBdr>
        </w:div>
        <w:div w:id="1815022784">
          <w:marLeft w:val="1800"/>
          <w:marRight w:val="0"/>
          <w:marTop w:val="86"/>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7567475">
      <w:bodyDiv w:val="1"/>
      <w:marLeft w:val="0"/>
      <w:marRight w:val="0"/>
      <w:marTop w:val="0"/>
      <w:marBottom w:val="0"/>
      <w:divBdr>
        <w:top w:val="none" w:sz="0" w:space="0" w:color="auto"/>
        <w:left w:val="none" w:sz="0" w:space="0" w:color="auto"/>
        <w:bottom w:val="none" w:sz="0" w:space="0" w:color="auto"/>
        <w:right w:val="none" w:sz="0" w:space="0" w:color="auto"/>
      </w:divBdr>
      <w:divsChild>
        <w:div w:id="726759045">
          <w:marLeft w:val="547"/>
          <w:marRight w:val="0"/>
          <w:marTop w:val="96"/>
          <w:marBottom w:val="0"/>
          <w:divBdr>
            <w:top w:val="none" w:sz="0" w:space="0" w:color="auto"/>
            <w:left w:val="none" w:sz="0" w:space="0" w:color="auto"/>
            <w:bottom w:val="none" w:sz="0" w:space="0" w:color="auto"/>
            <w:right w:val="none" w:sz="0" w:space="0" w:color="auto"/>
          </w:divBdr>
        </w:div>
        <w:div w:id="908685700">
          <w:marLeft w:val="1166"/>
          <w:marRight w:val="0"/>
          <w:marTop w:val="96"/>
          <w:marBottom w:val="0"/>
          <w:divBdr>
            <w:top w:val="none" w:sz="0" w:space="0" w:color="auto"/>
            <w:left w:val="none" w:sz="0" w:space="0" w:color="auto"/>
            <w:bottom w:val="none" w:sz="0" w:space="0" w:color="auto"/>
            <w:right w:val="none" w:sz="0" w:space="0" w:color="auto"/>
          </w:divBdr>
        </w:div>
        <w:div w:id="246571922">
          <w:marLeft w:val="1800"/>
          <w:marRight w:val="0"/>
          <w:marTop w:val="86"/>
          <w:marBottom w:val="0"/>
          <w:divBdr>
            <w:top w:val="none" w:sz="0" w:space="0" w:color="auto"/>
            <w:left w:val="none" w:sz="0" w:space="0" w:color="auto"/>
            <w:bottom w:val="none" w:sz="0" w:space="0" w:color="auto"/>
            <w:right w:val="none" w:sz="0" w:space="0" w:color="auto"/>
          </w:divBdr>
        </w:div>
        <w:div w:id="662512190">
          <w:marLeft w:val="1800"/>
          <w:marRight w:val="0"/>
          <w:marTop w:val="86"/>
          <w:marBottom w:val="0"/>
          <w:divBdr>
            <w:top w:val="none" w:sz="0" w:space="0" w:color="auto"/>
            <w:left w:val="none" w:sz="0" w:space="0" w:color="auto"/>
            <w:bottom w:val="none" w:sz="0" w:space="0" w:color="auto"/>
            <w:right w:val="none" w:sz="0" w:space="0" w:color="auto"/>
          </w:divBdr>
        </w:div>
        <w:div w:id="1892226533">
          <w:marLeft w:val="547"/>
          <w:marRight w:val="0"/>
          <w:marTop w:val="96"/>
          <w:marBottom w:val="0"/>
          <w:divBdr>
            <w:top w:val="none" w:sz="0" w:space="0" w:color="auto"/>
            <w:left w:val="none" w:sz="0" w:space="0" w:color="auto"/>
            <w:bottom w:val="none" w:sz="0" w:space="0" w:color="auto"/>
            <w:right w:val="none" w:sz="0" w:space="0" w:color="auto"/>
          </w:divBdr>
        </w:div>
        <w:div w:id="1352495081">
          <w:marLeft w:val="1166"/>
          <w:marRight w:val="0"/>
          <w:marTop w:val="96"/>
          <w:marBottom w:val="0"/>
          <w:divBdr>
            <w:top w:val="none" w:sz="0" w:space="0" w:color="auto"/>
            <w:left w:val="none" w:sz="0" w:space="0" w:color="auto"/>
            <w:bottom w:val="none" w:sz="0" w:space="0" w:color="auto"/>
            <w:right w:val="none" w:sz="0" w:space="0" w:color="auto"/>
          </w:divBdr>
        </w:div>
        <w:div w:id="652371657">
          <w:marLeft w:val="1166"/>
          <w:marRight w:val="0"/>
          <w:marTop w:val="96"/>
          <w:marBottom w:val="0"/>
          <w:divBdr>
            <w:top w:val="none" w:sz="0" w:space="0" w:color="auto"/>
            <w:left w:val="none" w:sz="0" w:space="0" w:color="auto"/>
            <w:bottom w:val="none" w:sz="0" w:space="0" w:color="auto"/>
            <w:right w:val="none" w:sz="0" w:space="0" w:color="auto"/>
          </w:divBdr>
        </w:div>
      </w:divsChild>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50790328">
      <w:bodyDiv w:val="1"/>
      <w:marLeft w:val="0"/>
      <w:marRight w:val="0"/>
      <w:marTop w:val="0"/>
      <w:marBottom w:val="0"/>
      <w:divBdr>
        <w:top w:val="none" w:sz="0" w:space="0" w:color="auto"/>
        <w:left w:val="none" w:sz="0" w:space="0" w:color="auto"/>
        <w:bottom w:val="none" w:sz="0" w:space="0" w:color="auto"/>
        <w:right w:val="none" w:sz="0" w:space="0" w:color="auto"/>
      </w:divBdr>
      <w:divsChild>
        <w:div w:id="1706366727">
          <w:marLeft w:val="547"/>
          <w:marRight w:val="0"/>
          <w:marTop w:val="96"/>
          <w:marBottom w:val="0"/>
          <w:divBdr>
            <w:top w:val="none" w:sz="0" w:space="0" w:color="auto"/>
            <w:left w:val="none" w:sz="0" w:space="0" w:color="auto"/>
            <w:bottom w:val="none" w:sz="0" w:space="0" w:color="auto"/>
            <w:right w:val="none" w:sz="0" w:space="0" w:color="auto"/>
          </w:divBdr>
        </w:div>
        <w:div w:id="1847937700">
          <w:marLeft w:val="1166"/>
          <w:marRight w:val="0"/>
          <w:marTop w:val="96"/>
          <w:marBottom w:val="0"/>
          <w:divBdr>
            <w:top w:val="none" w:sz="0" w:space="0" w:color="auto"/>
            <w:left w:val="none" w:sz="0" w:space="0" w:color="auto"/>
            <w:bottom w:val="none" w:sz="0" w:space="0" w:color="auto"/>
            <w:right w:val="none" w:sz="0" w:space="0" w:color="auto"/>
          </w:divBdr>
        </w:div>
        <w:div w:id="1856772187">
          <w:marLeft w:val="1166"/>
          <w:marRight w:val="0"/>
          <w:marTop w:val="96"/>
          <w:marBottom w:val="0"/>
          <w:divBdr>
            <w:top w:val="none" w:sz="0" w:space="0" w:color="auto"/>
            <w:left w:val="none" w:sz="0" w:space="0" w:color="auto"/>
            <w:bottom w:val="none" w:sz="0" w:space="0" w:color="auto"/>
            <w:right w:val="none" w:sz="0" w:space="0" w:color="auto"/>
          </w:divBdr>
        </w:div>
        <w:div w:id="866336864">
          <w:marLeft w:val="1166"/>
          <w:marRight w:val="0"/>
          <w:marTop w:val="96"/>
          <w:marBottom w:val="0"/>
          <w:divBdr>
            <w:top w:val="none" w:sz="0" w:space="0" w:color="auto"/>
            <w:left w:val="none" w:sz="0" w:space="0" w:color="auto"/>
            <w:bottom w:val="none" w:sz="0" w:space="0" w:color="auto"/>
            <w:right w:val="none" w:sz="0" w:space="0" w:color="auto"/>
          </w:divBdr>
        </w:div>
        <w:div w:id="2145810573">
          <w:marLeft w:val="1800"/>
          <w:marRight w:val="0"/>
          <w:marTop w:val="86"/>
          <w:marBottom w:val="0"/>
          <w:divBdr>
            <w:top w:val="none" w:sz="0" w:space="0" w:color="auto"/>
            <w:left w:val="none" w:sz="0" w:space="0" w:color="auto"/>
            <w:bottom w:val="none" w:sz="0" w:space="0" w:color="auto"/>
            <w:right w:val="none" w:sz="0" w:space="0" w:color="auto"/>
          </w:divBdr>
        </w:div>
        <w:div w:id="1121727188">
          <w:marLeft w:val="1166"/>
          <w:marRight w:val="0"/>
          <w:marTop w:val="96"/>
          <w:marBottom w:val="0"/>
          <w:divBdr>
            <w:top w:val="none" w:sz="0" w:space="0" w:color="auto"/>
            <w:left w:val="none" w:sz="0" w:space="0" w:color="auto"/>
            <w:bottom w:val="none" w:sz="0" w:space="0" w:color="auto"/>
            <w:right w:val="none" w:sz="0" w:space="0" w:color="auto"/>
          </w:divBdr>
        </w:div>
        <w:div w:id="113409170">
          <w:marLeft w:val="1166"/>
          <w:marRight w:val="0"/>
          <w:marTop w:val="96"/>
          <w:marBottom w:val="0"/>
          <w:divBdr>
            <w:top w:val="none" w:sz="0" w:space="0" w:color="auto"/>
            <w:left w:val="none" w:sz="0" w:space="0" w:color="auto"/>
            <w:bottom w:val="none" w:sz="0" w:space="0" w:color="auto"/>
            <w:right w:val="none" w:sz="0" w:space="0" w:color="auto"/>
          </w:divBdr>
        </w:div>
        <w:div w:id="177936824">
          <w:marLeft w:val="1800"/>
          <w:marRight w:val="0"/>
          <w:marTop w:val="86"/>
          <w:marBottom w:val="0"/>
          <w:divBdr>
            <w:top w:val="none" w:sz="0" w:space="0" w:color="auto"/>
            <w:left w:val="none" w:sz="0" w:space="0" w:color="auto"/>
            <w:bottom w:val="none" w:sz="0" w:space="0" w:color="auto"/>
            <w:right w:val="none" w:sz="0" w:space="0" w:color="auto"/>
          </w:divBdr>
        </w:div>
        <w:div w:id="1354308339">
          <w:marLeft w:val="1800"/>
          <w:marRight w:val="0"/>
          <w:marTop w:val="86"/>
          <w:marBottom w:val="0"/>
          <w:divBdr>
            <w:top w:val="none" w:sz="0" w:space="0" w:color="auto"/>
            <w:left w:val="none" w:sz="0" w:space="0" w:color="auto"/>
            <w:bottom w:val="none" w:sz="0" w:space="0" w:color="auto"/>
            <w:right w:val="none" w:sz="0" w:space="0" w:color="auto"/>
          </w:divBdr>
        </w:div>
        <w:div w:id="834880673">
          <w:marLeft w:val="2520"/>
          <w:marRight w:val="0"/>
          <w:marTop w:val="77"/>
          <w:marBottom w:val="0"/>
          <w:divBdr>
            <w:top w:val="none" w:sz="0" w:space="0" w:color="auto"/>
            <w:left w:val="none" w:sz="0" w:space="0" w:color="auto"/>
            <w:bottom w:val="none" w:sz="0" w:space="0" w:color="auto"/>
            <w:right w:val="none" w:sz="0" w:space="0" w:color="auto"/>
          </w:divBdr>
        </w:div>
        <w:div w:id="367143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959602324">
      <w:bodyDiv w:val="1"/>
      <w:marLeft w:val="0"/>
      <w:marRight w:val="0"/>
      <w:marTop w:val="0"/>
      <w:marBottom w:val="0"/>
      <w:divBdr>
        <w:top w:val="none" w:sz="0" w:space="0" w:color="auto"/>
        <w:left w:val="none" w:sz="0" w:space="0" w:color="auto"/>
        <w:bottom w:val="none" w:sz="0" w:space="0" w:color="auto"/>
        <w:right w:val="none" w:sz="0" w:space="0" w:color="auto"/>
      </w:divBdr>
      <w:divsChild>
        <w:div w:id="1704674562">
          <w:marLeft w:val="1800"/>
          <w:marRight w:val="0"/>
          <w:marTop w:val="86"/>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5FAB-4FF1-4771-8603-AB308E10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38</cp:revision>
  <dcterms:created xsi:type="dcterms:W3CDTF">2018-05-01T11:51:00Z</dcterms:created>
  <dcterms:modified xsi:type="dcterms:W3CDTF">2018-06-25T18:45:00Z</dcterms:modified>
</cp:coreProperties>
</file>