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E7EA26" w14:textId="3CD25EB4"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8116BD">
        <w:rPr>
          <w:rFonts w:cs="Arial"/>
          <w:sz w:val="24"/>
          <w:szCs w:val="24"/>
          <w:lang w:val="de-DE"/>
        </w:rPr>
        <w:t>9</w:t>
      </w:r>
      <w:r>
        <w:rPr>
          <w:rFonts w:cs="Arial"/>
          <w:sz w:val="24"/>
          <w:szCs w:val="24"/>
          <w:lang w:val="de-DE"/>
        </w:rPr>
        <w:t>-e</w:t>
      </w:r>
      <w:r w:rsidRPr="00DB3907">
        <w:rPr>
          <w:rFonts w:cs="Arial"/>
          <w:sz w:val="24"/>
          <w:szCs w:val="24"/>
          <w:lang w:val="de-DE"/>
        </w:rPr>
        <w:tab/>
        <w:t>R4-</w:t>
      </w:r>
      <w:r>
        <w:rPr>
          <w:rFonts w:cs="Arial"/>
          <w:sz w:val="24"/>
          <w:szCs w:val="24"/>
          <w:lang w:val="de-DE"/>
        </w:rPr>
        <w:t>2</w:t>
      </w:r>
      <w:r w:rsidR="00EE2E39">
        <w:rPr>
          <w:rFonts w:cs="Arial"/>
          <w:sz w:val="24"/>
          <w:szCs w:val="24"/>
          <w:lang w:val="de-DE"/>
        </w:rPr>
        <w:t>1</w:t>
      </w:r>
      <w:r w:rsidR="00AF251A">
        <w:rPr>
          <w:rFonts w:cs="Arial"/>
          <w:sz w:val="24"/>
          <w:szCs w:val="24"/>
          <w:lang w:val="de-DE"/>
        </w:rPr>
        <w:t>10979</w:t>
      </w:r>
    </w:p>
    <w:p w14:paraId="5A5E9D28" w14:textId="49DC41D7" w:rsidR="00A40206" w:rsidRPr="00DB3907" w:rsidRDefault="00E35BC4" w:rsidP="00A40206">
      <w:pPr>
        <w:pStyle w:val="Header"/>
        <w:tabs>
          <w:tab w:val="left" w:pos="6521"/>
        </w:tabs>
        <w:rPr>
          <w:rFonts w:cs="Arial"/>
          <w:sz w:val="24"/>
          <w:szCs w:val="24"/>
        </w:rPr>
      </w:pPr>
      <w:r>
        <w:rPr>
          <w:rFonts w:cs="Arial"/>
          <w:sz w:val="24"/>
          <w:szCs w:val="24"/>
        </w:rPr>
        <w:t>May</w:t>
      </w:r>
      <w:r w:rsidR="00A40206">
        <w:rPr>
          <w:rFonts w:cs="Arial"/>
          <w:sz w:val="24"/>
          <w:szCs w:val="24"/>
        </w:rPr>
        <w:t xml:space="preserve"> </w:t>
      </w:r>
      <w:r>
        <w:rPr>
          <w:rFonts w:cs="Arial"/>
          <w:sz w:val="24"/>
          <w:szCs w:val="24"/>
        </w:rPr>
        <w:t>19</w:t>
      </w:r>
      <w:r w:rsidR="00A40206">
        <w:rPr>
          <w:rFonts w:cs="Arial"/>
          <w:sz w:val="24"/>
          <w:szCs w:val="24"/>
          <w:vertAlign w:val="superscript"/>
        </w:rPr>
        <w:t>th</w:t>
      </w:r>
      <w:r w:rsidR="00A40206">
        <w:rPr>
          <w:rFonts w:cs="Arial"/>
          <w:sz w:val="24"/>
          <w:szCs w:val="24"/>
        </w:rPr>
        <w:t xml:space="preserve"> ‒ </w:t>
      </w:r>
      <w:r w:rsidR="004C7F5D">
        <w:rPr>
          <w:rFonts w:cs="Arial"/>
          <w:sz w:val="24"/>
          <w:szCs w:val="24"/>
        </w:rPr>
        <w:t>2</w:t>
      </w:r>
      <w:r>
        <w:rPr>
          <w:rFonts w:cs="Arial"/>
          <w:sz w:val="24"/>
          <w:szCs w:val="24"/>
        </w:rPr>
        <w:t>7</w:t>
      </w:r>
      <w:r w:rsidR="00A40206">
        <w:rPr>
          <w:rFonts w:cs="Arial"/>
          <w:sz w:val="24"/>
          <w:szCs w:val="24"/>
          <w:vertAlign w:val="superscript"/>
        </w:rPr>
        <w:t>th</w:t>
      </w:r>
      <w:r w:rsidR="00A40206">
        <w:rPr>
          <w:rFonts w:cs="Arial"/>
          <w:sz w:val="24"/>
          <w:szCs w:val="24"/>
        </w:rPr>
        <w:t>, 202</w:t>
      </w:r>
      <w:r w:rsidR="00EE2E39">
        <w:rPr>
          <w:rFonts w:cs="Arial"/>
          <w:sz w:val="24"/>
          <w:szCs w:val="24"/>
        </w:rPr>
        <w:t>1</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6A0B29E1"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B14639">
        <w:rPr>
          <w:rFonts w:ascii="Arial" w:hAnsi="Arial"/>
          <w:sz w:val="24"/>
          <w:lang w:val="en-US"/>
        </w:rPr>
        <w:t>15</w:t>
      </w:r>
    </w:p>
    <w:p w14:paraId="1E1C2FD0" w14:textId="226B3D6A"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r w:rsidR="00BD63BF">
        <w:rPr>
          <w:rFonts w:ascii="Arial" w:hAnsi="Arial"/>
          <w:sz w:val="24"/>
          <w:lang w:val="en-US"/>
        </w:rPr>
        <w:t>, AT&amp;T</w:t>
      </w:r>
    </w:p>
    <w:p w14:paraId="3A62F436" w14:textId="6562A1A5"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244D5B">
        <w:rPr>
          <w:rFonts w:ascii="Arial" w:hAnsi="Arial"/>
          <w:sz w:val="24"/>
          <w:lang w:val="en-US"/>
        </w:rPr>
        <w:t>Enabling usage of Band n77 for US 3.45 – 3.55 GHz</w:t>
      </w:r>
    </w:p>
    <w:p w14:paraId="013F978F" w14:textId="383B6564"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0F6FCE">
        <w:rPr>
          <w:rFonts w:ascii="Arial" w:hAnsi="Arial"/>
          <w:sz w:val="24"/>
          <w:lang w:val="en-US"/>
        </w:rPr>
        <w:t>Discussion</w:t>
      </w:r>
      <w:r w:rsidR="0091349A">
        <w:rPr>
          <w:rFonts w:ascii="Arial" w:hAnsi="Arial"/>
          <w:sz w:val="24"/>
          <w:lang w:val="en-US"/>
        </w:rPr>
        <w:t xml:space="preserve"> </w:t>
      </w:r>
    </w:p>
    <w:p w14:paraId="7FA5F78D" w14:textId="32D02505" w:rsidR="000A1A85" w:rsidRDefault="000E0602" w:rsidP="007468F3">
      <w:pPr>
        <w:pStyle w:val="Heading1"/>
        <w:tabs>
          <w:tab w:val="clear" w:pos="432"/>
          <w:tab w:val="num" w:pos="522"/>
        </w:tabs>
        <w:ind w:left="522" w:hanging="522"/>
        <w:rPr>
          <w:lang w:val="en-US"/>
        </w:rPr>
      </w:pPr>
      <w:r>
        <w:rPr>
          <w:lang w:val="en-US"/>
        </w:rPr>
        <w:t>Introduction</w:t>
      </w:r>
    </w:p>
    <w:p w14:paraId="0E13F3E9" w14:textId="79722F8C" w:rsidR="000C3E6D" w:rsidRDefault="00AB6814" w:rsidP="000C3E6D">
      <w:pPr>
        <w:rPr>
          <w:lang w:val="en-US"/>
        </w:rPr>
      </w:pPr>
      <w:r>
        <w:rPr>
          <w:lang w:val="en-US"/>
        </w:rPr>
        <w:t xml:space="preserve">The need to enable US 3.45 – 3.55 GHz in 3GPP was identified in [1] with a proposal to use Band n77.  The necessary modifications to the 3GPP specifications were described.  </w:t>
      </w:r>
      <w:r w:rsidR="00181E0F">
        <w:rPr>
          <w:lang w:val="en-US"/>
        </w:rPr>
        <w:t xml:space="preserve">During the course of </w:t>
      </w:r>
      <w:r>
        <w:rPr>
          <w:lang w:val="en-US"/>
        </w:rPr>
        <w:t xml:space="preserve">this discussion </w:t>
      </w:r>
      <w:r w:rsidR="00181E0F">
        <w:rPr>
          <w:lang w:val="en-US"/>
        </w:rPr>
        <w:t xml:space="preserve">a concern was raised </w:t>
      </w:r>
      <w:r w:rsidR="0004020C">
        <w:rPr>
          <w:lang w:val="en-US"/>
        </w:rPr>
        <w:t>[</w:t>
      </w:r>
      <w:r w:rsidR="00AF5455">
        <w:rPr>
          <w:lang w:val="en-US"/>
        </w:rPr>
        <w:t>2</w:t>
      </w:r>
      <w:r w:rsidR="0004020C">
        <w:rPr>
          <w:lang w:val="en-US"/>
        </w:rPr>
        <w:t xml:space="preserve">] </w:t>
      </w:r>
      <w:r w:rsidR="00181E0F">
        <w:rPr>
          <w:lang w:val="en-US"/>
        </w:rPr>
        <w:t xml:space="preserve">regarding </w:t>
      </w:r>
      <w:r w:rsidR="00BB34E4">
        <w:rPr>
          <w:lang w:val="en-US"/>
        </w:rPr>
        <w:t xml:space="preserve">the need of the network to distinguish devices supporting this spectrum from those that do not within the same release.  </w:t>
      </w:r>
      <w:r w:rsidR="0004020C">
        <w:rPr>
          <w:lang w:val="en-US"/>
        </w:rPr>
        <w:t>This contribution provides a viewpoint on the impact of not being able to distinguish these two types of devices.</w:t>
      </w:r>
    </w:p>
    <w:p w14:paraId="10F6602E" w14:textId="69B3ACCD" w:rsidR="007E1E78" w:rsidRDefault="007E1E78" w:rsidP="0099327E">
      <w:pPr>
        <w:pStyle w:val="Heading1"/>
        <w:tabs>
          <w:tab w:val="clear" w:pos="432"/>
          <w:tab w:val="num" w:pos="522"/>
        </w:tabs>
        <w:ind w:left="522" w:hanging="522"/>
        <w:rPr>
          <w:lang w:val="en-US"/>
        </w:rPr>
      </w:pPr>
      <w:r>
        <w:rPr>
          <w:lang w:val="en-US"/>
        </w:rPr>
        <w:t>Discussion</w:t>
      </w:r>
    </w:p>
    <w:p w14:paraId="2CF920D2" w14:textId="71861BE0" w:rsidR="0021653C" w:rsidRPr="0021653C" w:rsidRDefault="0021653C" w:rsidP="0021653C">
      <w:pPr>
        <w:pStyle w:val="Heading2"/>
        <w:rPr>
          <w:lang w:val="en-US"/>
        </w:rPr>
      </w:pPr>
      <w:r>
        <w:rPr>
          <w:lang w:val="en-US"/>
        </w:rPr>
        <w:t>Overview of US 3.5 GHz bands</w:t>
      </w:r>
      <w:r w:rsidR="000D5C4A">
        <w:rPr>
          <w:lang w:val="en-US"/>
        </w:rPr>
        <w:t xml:space="preserve"> in 3GPP</w:t>
      </w:r>
    </w:p>
    <w:p w14:paraId="00724A8F" w14:textId="6EB67991" w:rsidR="00362C3B" w:rsidRDefault="0004020C" w:rsidP="00AC161C">
      <w:pPr>
        <w:rPr>
          <w:lang w:val="en-US"/>
        </w:rPr>
      </w:pPr>
      <w:r>
        <w:rPr>
          <w:lang w:val="en-US"/>
        </w:rPr>
        <w:t xml:space="preserve">It is generally expected that a UE supporting a 3GPP band </w:t>
      </w:r>
      <w:r w:rsidR="0030336B">
        <w:rPr>
          <w:lang w:val="en-US"/>
        </w:rPr>
        <w:t>complies with</w:t>
      </w:r>
      <w:r>
        <w:rPr>
          <w:lang w:val="en-US"/>
        </w:rPr>
        <w:t xml:space="preserve"> the </w:t>
      </w:r>
      <w:r w:rsidR="00362C3B">
        <w:rPr>
          <w:lang w:val="en-US"/>
        </w:rPr>
        <w:t xml:space="preserve">requirements of the band over the </w:t>
      </w:r>
      <w:r w:rsidR="006A6470">
        <w:rPr>
          <w:lang w:val="en-US"/>
        </w:rPr>
        <w:t xml:space="preserve">band’s </w:t>
      </w:r>
      <w:r w:rsidR="00362C3B">
        <w:rPr>
          <w:lang w:val="en-US"/>
        </w:rPr>
        <w:t>entire frequency range.</w:t>
      </w:r>
      <w:r w:rsidR="006A6470">
        <w:rPr>
          <w:lang w:val="en-US"/>
        </w:rPr>
        <w:t xml:space="preserve">  </w:t>
      </w:r>
      <w:r w:rsidR="0063508F">
        <w:rPr>
          <w:lang w:val="en-US"/>
        </w:rPr>
        <w:t xml:space="preserve">Thus, it is expected that a UE suppporting Band n77 </w:t>
      </w:r>
      <w:r w:rsidR="006A6470">
        <w:rPr>
          <w:lang w:val="en-US"/>
        </w:rPr>
        <w:t xml:space="preserve">is </w:t>
      </w:r>
      <w:r w:rsidR="0063508F">
        <w:rPr>
          <w:lang w:val="en-US"/>
        </w:rPr>
        <w:t xml:space="preserve">capable of operating over the entire </w:t>
      </w:r>
      <w:r w:rsidR="006A6470">
        <w:rPr>
          <w:lang w:val="en-US"/>
        </w:rPr>
        <w:t xml:space="preserve">defined </w:t>
      </w:r>
      <w:r w:rsidR="0063508F">
        <w:rPr>
          <w:lang w:val="en-US"/>
        </w:rPr>
        <w:t xml:space="preserve">frequency range </w:t>
      </w:r>
      <w:r w:rsidR="006A6470">
        <w:rPr>
          <w:lang w:val="en-US"/>
        </w:rPr>
        <w:t>from 3300 – 4200 MHz</w:t>
      </w:r>
      <w:r w:rsidR="0063508F">
        <w:rPr>
          <w:lang w:val="en-US"/>
        </w:rPr>
        <w:t xml:space="preserve">.  However, </w:t>
      </w:r>
      <w:r w:rsidR="007D60A9">
        <w:rPr>
          <w:lang w:val="en-US"/>
        </w:rPr>
        <w:t xml:space="preserve">3GPP bands are often defined to be able to operate in multiple countries each of which may have </w:t>
      </w:r>
      <w:r w:rsidR="00AF5455">
        <w:rPr>
          <w:lang w:val="en-US"/>
        </w:rPr>
        <w:t>its</w:t>
      </w:r>
      <w:r w:rsidR="007D60A9">
        <w:rPr>
          <w:lang w:val="en-US"/>
        </w:rPr>
        <w:t xml:space="preserve"> own regulatory requirements and constraints.  Indeed, Band n77 is such an example where it </w:t>
      </w:r>
      <w:r w:rsidR="00AF5455">
        <w:rPr>
          <w:lang w:val="en-US"/>
        </w:rPr>
        <w:t>can</w:t>
      </w:r>
      <w:r w:rsidR="007D60A9">
        <w:rPr>
          <w:lang w:val="en-US"/>
        </w:rPr>
        <w:t xml:space="preserve"> be deployed in several countries worldwide.  The current discussion pertains to the usage of Band n77 in the US where the </w:t>
      </w:r>
      <w:r w:rsidR="00AF5455">
        <w:rPr>
          <w:lang w:val="en-US"/>
        </w:rPr>
        <w:t xml:space="preserve">FCC </w:t>
      </w:r>
      <w:r w:rsidR="007D60A9">
        <w:rPr>
          <w:lang w:val="en-US"/>
        </w:rPr>
        <w:t>regulations only allow operation over subsets of frequencies</w:t>
      </w:r>
      <w:r w:rsidR="002355E1">
        <w:rPr>
          <w:lang w:val="en-US"/>
        </w:rPr>
        <w:t xml:space="preserve">; namely, the US regulations allow operation in 3550 – 3700 MHz, 3700 – 3980 MHz, and now 3450 – 3550 MHz.  </w:t>
      </w:r>
      <w:r w:rsidR="00791133">
        <w:rPr>
          <w:lang w:val="en-US"/>
        </w:rPr>
        <w:t>Each of these frequency ranges falls within the definition of Band n77, but has distinct technical rules imposed by the US FCC</w:t>
      </w:r>
      <w:r w:rsidR="003C75AB">
        <w:rPr>
          <w:lang w:val="en-US"/>
        </w:rPr>
        <w:t xml:space="preserve">.  To address this, 3GPP has so far defined Band n48 for the 3550 – 3700 MHz frequency range, and has </w:t>
      </w:r>
      <w:r w:rsidR="001515A1">
        <w:rPr>
          <w:lang w:val="en-US"/>
        </w:rPr>
        <w:t>made minor modifications to Band n77 specifications [</w:t>
      </w:r>
      <w:r w:rsidR="002000CD">
        <w:rPr>
          <w:lang w:val="en-US"/>
        </w:rPr>
        <w:t>3</w:t>
      </w:r>
      <w:r w:rsidR="001515A1">
        <w:rPr>
          <w:lang w:val="en-US"/>
        </w:rPr>
        <w:t xml:space="preserve">] to enable the 3700 – 3980 MHz frequency range.  </w:t>
      </w:r>
      <w:r w:rsidR="00816BA1">
        <w:rPr>
          <w:lang w:val="en-US"/>
        </w:rPr>
        <w:t>It has also been proposed [</w:t>
      </w:r>
      <w:r w:rsidR="002000CD">
        <w:rPr>
          <w:lang w:val="en-US"/>
        </w:rPr>
        <w:t>1</w:t>
      </w:r>
      <w:r w:rsidR="00816BA1">
        <w:rPr>
          <w:lang w:val="en-US"/>
        </w:rPr>
        <w:t>] to further modify Band n77 specifications to enable the 3450 – 3550 MHz frequency range.</w:t>
      </w:r>
      <w:r w:rsidR="00C458B5">
        <w:rPr>
          <w:lang w:val="en-US"/>
        </w:rPr>
        <w:t xml:space="preserve">  The </w:t>
      </w:r>
      <w:r w:rsidR="00B517A3">
        <w:rPr>
          <w:lang w:val="en-US"/>
        </w:rPr>
        <w:t>intended</w:t>
      </w:r>
      <w:r w:rsidR="00C458B5">
        <w:rPr>
          <w:lang w:val="en-US"/>
        </w:rPr>
        <w:t xml:space="preserve"> usage of 3GPP bands for US 3.5 GHz spectrum is then as follows</w:t>
      </w:r>
    </w:p>
    <w:p w14:paraId="65ADC237" w14:textId="0BC9C14C" w:rsidR="00C458B5" w:rsidRDefault="00B517A3" w:rsidP="00C458B5">
      <w:pPr>
        <w:pStyle w:val="ListParagraph"/>
        <w:numPr>
          <w:ilvl w:val="0"/>
          <w:numId w:val="30"/>
        </w:numPr>
        <w:rPr>
          <w:lang w:val="en-US"/>
        </w:rPr>
      </w:pPr>
      <w:r>
        <w:rPr>
          <w:lang w:val="en-US"/>
        </w:rPr>
        <w:t xml:space="preserve">Band 48/n48 for </w:t>
      </w:r>
      <w:r w:rsidR="00C458B5">
        <w:rPr>
          <w:lang w:val="en-US"/>
        </w:rPr>
        <w:t>3500 – 3700 MHz (CBRS)</w:t>
      </w:r>
      <w:r>
        <w:rPr>
          <w:lang w:val="en-US"/>
        </w:rPr>
        <w:t>,</w:t>
      </w:r>
    </w:p>
    <w:p w14:paraId="5609367B" w14:textId="66C76310" w:rsidR="00B517A3" w:rsidRDefault="00B517A3" w:rsidP="00C458B5">
      <w:pPr>
        <w:pStyle w:val="ListParagraph"/>
        <w:numPr>
          <w:ilvl w:val="0"/>
          <w:numId w:val="30"/>
        </w:numPr>
        <w:rPr>
          <w:lang w:val="en-US"/>
        </w:rPr>
      </w:pPr>
      <w:r>
        <w:rPr>
          <w:lang w:val="en-US"/>
        </w:rPr>
        <w:t>Band n77 for 3700 – 3980 MHz (US C-band),</w:t>
      </w:r>
    </w:p>
    <w:p w14:paraId="0A30487D" w14:textId="46DF7164" w:rsidR="00B517A3" w:rsidRDefault="00B517A3" w:rsidP="00C458B5">
      <w:pPr>
        <w:pStyle w:val="ListParagraph"/>
        <w:numPr>
          <w:ilvl w:val="0"/>
          <w:numId w:val="30"/>
        </w:numPr>
        <w:rPr>
          <w:lang w:val="en-US"/>
        </w:rPr>
      </w:pPr>
      <w:r>
        <w:rPr>
          <w:lang w:val="en-US"/>
        </w:rPr>
        <w:t>Band n77 for 3450 – 3550 MHz (if agreed).</w:t>
      </w:r>
    </w:p>
    <w:p w14:paraId="4FB3E1F3" w14:textId="7AF31F86" w:rsidR="00B34EC4" w:rsidRDefault="007E4A76" w:rsidP="007E4A76">
      <w:pPr>
        <w:rPr>
          <w:lang w:val="en-US"/>
        </w:rPr>
      </w:pPr>
      <w:r>
        <w:rPr>
          <w:lang w:val="en-US"/>
        </w:rPr>
        <w:t>Therefore, the 3GPP specifications for Band n77 outside of the 3700 – 3980 MHz and 3450 – 3550 MHz frequency ranges are not applicable</w:t>
      </w:r>
      <w:r w:rsidR="00335BF9">
        <w:rPr>
          <w:lang w:val="en-US"/>
        </w:rPr>
        <w:t xml:space="preserve"> in US</w:t>
      </w:r>
      <w:r w:rsidR="00AB31DF">
        <w:rPr>
          <w:lang w:val="en-US"/>
        </w:rPr>
        <w:t xml:space="preserve"> as indicated by a note in the specification</w:t>
      </w:r>
      <w:r w:rsidR="00B34EC4">
        <w:rPr>
          <w:lang w:val="en-US"/>
        </w:rPr>
        <w:t xml:space="preserve">, i.e., </w:t>
      </w:r>
    </w:p>
    <w:p w14:paraId="56653AD4" w14:textId="5CE5078F" w:rsidR="00B34EC4" w:rsidRDefault="00B34EC4" w:rsidP="00B34EC4">
      <w:pPr>
        <w:pStyle w:val="TAN"/>
        <w:ind w:hanging="567"/>
      </w:pPr>
      <w:r w:rsidRPr="00A1115A">
        <w:t>NOTE 12:</w:t>
      </w:r>
      <w:r w:rsidRPr="00A1115A">
        <w:tab/>
        <w:t>In the USA this band is restricted to 3700 – 3980 MHz.</w:t>
      </w:r>
    </w:p>
    <w:p w14:paraId="595FCE97" w14:textId="77777777" w:rsidR="00433147" w:rsidRPr="00A1115A" w:rsidRDefault="00433147" w:rsidP="00B34EC4">
      <w:pPr>
        <w:pStyle w:val="TAN"/>
        <w:ind w:hanging="567"/>
      </w:pPr>
    </w:p>
    <w:p w14:paraId="050DDB14" w14:textId="7481C1BB" w:rsidR="007E4A76" w:rsidRPr="007E4A76" w:rsidRDefault="00B34EC4" w:rsidP="007E4A76">
      <w:pPr>
        <w:rPr>
          <w:lang w:val="en-US"/>
        </w:rPr>
      </w:pPr>
      <w:r>
        <w:rPr>
          <w:lang w:val="en-US"/>
        </w:rPr>
        <w:t>from Table</w:t>
      </w:r>
      <w:r w:rsidR="007E4A76">
        <w:rPr>
          <w:lang w:val="en-US"/>
        </w:rPr>
        <w:t xml:space="preserve"> </w:t>
      </w:r>
      <w:r w:rsidR="00433147">
        <w:rPr>
          <w:lang w:val="en-US"/>
        </w:rPr>
        <w:t>5.2-1 of TS38.101-1.</w:t>
      </w:r>
      <w:r w:rsidR="007E4A76">
        <w:rPr>
          <w:lang w:val="en-US"/>
        </w:rPr>
        <w:t xml:space="preserve"> </w:t>
      </w:r>
      <w:r w:rsidR="001D72ED">
        <w:rPr>
          <w:lang w:val="en-US"/>
        </w:rPr>
        <w:t>Any operation contrary to the above is outside of the scope of 3</w:t>
      </w:r>
      <w:r w:rsidR="007E4A76">
        <w:rPr>
          <w:lang w:val="en-US"/>
        </w:rPr>
        <w:t>GPP</w:t>
      </w:r>
      <w:r w:rsidR="001D72ED">
        <w:rPr>
          <w:lang w:val="en-US"/>
        </w:rPr>
        <w:t xml:space="preserve"> specifications</w:t>
      </w:r>
      <w:r w:rsidR="00970028">
        <w:rPr>
          <w:lang w:val="en-US"/>
        </w:rPr>
        <w:t>, is not endorsed by 3GPP,</w:t>
      </w:r>
      <w:r w:rsidR="00C1650C">
        <w:rPr>
          <w:lang w:val="en-US"/>
        </w:rPr>
        <w:t xml:space="preserve"> and may fall afoul of regulatory requirements.  </w:t>
      </w:r>
    </w:p>
    <w:p w14:paraId="3601E1CA" w14:textId="40F9AFE6" w:rsidR="002B2F66" w:rsidRPr="0021653C" w:rsidRDefault="007357FB" w:rsidP="002B2F66">
      <w:pPr>
        <w:pStyle w:val="Heading2"/>
        <w:rPr>
          <w:lang w:val="en-US"/>
        </w:rPr>
      </w:pPr>
      <w:r>
        <w:rPr>
          <w:lang w:val="en-US"/>
        </w:rPr>
        <w:t>Distingu</w:t>
      </w:r>
      <w:r w:rsidR="00CB6044">
        <w:rPr>
          <w:lang w:val="en-US"/>
        </w:rPr>
        <w:t>i</w:t>
      </w:r>
      <w:r>
        <w:rPr>
          <w:lang w:val="en-US"/>
        </w:rPr>
        <w:t>shing Band n77 devices</w:t>
      </w:r>
    </w:p>
    <w:p w14:paraId="546D2FCC" w14:textId="58FE3B45" w:rsidR="00AE1ECE" w:rsidRDefault="00970028" w:rsidP="00AC161C">
      <w:pPr>
        <w:rPr>
          <w:lang w:val="en-US"/>
        </w:rPr>
      </w:pPr>
      <w:r>
        <w:rPr>
          <w:lang w:val="en-US"/>
        </w:rPr>
        <w:t xml:space="preserve">One interesting </w:t>
      </w:r>
      <w:r w:rsidR="00A15094">
        <w:rPr>
          <w:lang w:val="en-US"/>
        </w:rPr>
        <w:t>concern raised [</w:t>
      </w:r>
      <w:r w:rsidR="00BB3627">
        <w:rPr>
          <w:lang w:val="en-US"/>
        </w:rPr>
        <w:t>2</w:t>
      </w:r>
      <w:r w:rsidR="00A15094">
        <w:rPr>
          <w:lang w:val="en-US"/>
        </w:rPr>
        <w:t>] is that the Band n77 enablement of 3700 – 3980 MHz and 3450 – 3550 MHz has occurred as two separate instances</w:t>
      </w:r>
      <w:r w:rsidR="00774924">
        <w:rPr>
          <w:lang w:val="en-US"/>
        </w:rPr>
        <w:t xml:space="preserve"> with 3700 – 3980 MHz </w:t>
      </w:r>
      <w:r w:rsidR="006D5D38">
        <w:rPr>
          <w:lang w:val="en-US"/>
        </w:rPr>
        <w:t>first and 3450 – 3550 MHz later</w:t>
      </w:r>
      <w:r w:rsidR="00A15094">
        <w:rPr>
          <w:lang w:val="en-US"/>
        </w:rPr>
        <w:t xml:space="preserve">.  Therefore, it is possible that there will be a subset of </w:t>
      </w:r>
      <w:r w:rsidR="00EA645F">
        <w:rPr>
          <w:lang w:val="en-US"/>
        </w:rPr>
        <w:t xml:space="preserve">earlier </w:t>
      </w:r>
      <w:r w:rsidR="00A15094">
        <w:rPr>
          <w:lang w:val="en-US"/>
        </w:rPr>
        <w:t>devices</w:t>
      </w:r>
      <w:r w:rsidR="00426DE3">
        <w:rPr>
          <w:lang w:val="en-US"/>
        </w:rPr>
        <w:t xml:space="preserve"> supporting only 3700</w:t>
      </w:r>
      <w:r w:rsidR="00EA645F">
        <w:rPr>
          <w:lang w:val="en-US"/>
        </w:rPr>
        <w:t xml:space="preserve"> – 3980 MHz </w:t>
      </w:r>
      <w:r w:rsidR="006D5D38">
        <w:rPr>
          <w:lang w:val="en-US"/>
        </w:rPr>
        <w:t>(</w:t>
      </w:r>
      <w:r w:rsidR="001C1E2E">
        <w:rPr>
          <w:lang w:val="en-US"/>
        </w:rPr>
        <w:t xml:space="preserve">the OEM </w:t>
      </w:r>
      <w:r w:rsidR="006C0347">
        <w:rPr>
          <w:lang w:val="en-US"/>
        </w:rPr>
        <w:t>elects</w:t>
      </w:r>
      <w:r w:rsidR="001C1E2E">
        <w:rPr>
          <w:lang w:val="en-US"/>
        </w:rPr>
        <w:t xml:space="preserve"> not to or is not able to upgrade the device</w:t>
      </w:r>
      <w:r w:rsidR="006D5D38">
        <w:rPr>
          <w:lang w:val="en-US"/>
        </w:rPr>
        <w:t xml:space="preserve"> to also support 3450 – 3550 MHz) </w:t>
      </w:r>
      <w:r w:rsidR="00EA645F">
        <w:rPr>
          <w:lang w:val="en-US"/>
        </w:rPr>
        <w:t xml:space="preserve">while another set of later devices supporting both frequency ranges.  The challenge is </w:t>
      </w:r>
      <w:r w:rsidR="006C0347">
        <w:rPr>
          <w:lang w:val="en-US"/>
        </w:rPr>
        <w:t xml:space="preserve">for the network </w:t>
      </w:r>
      <w:r w:rsidR="00BC65E4">
        <w:rPr>
          <w:lang w:val="en-US"/>
        </w:rPr>
        <w:t xml:space="preserve">to be able to distinguish between these earlier and later devices.  But first, what does it mean to support or not support?  As described above, from a 3GPP perspective support means that the UE is capable of meeting all of the defined requirements.  </w:t>
      </w:r>
      <w:r w:rsidR="0078360F">
        <w:rPr>
          <w:lang w:val="en-US"/>
        </w:rPr>
        <w:t xml:space="preserve">This implies that the UE could still operate in a not supported </w:t>
      </w:r>
      <w:r w:rsidR="0078360F">
        <w:rPr>
          <w:lang w:val="en-US"/>
        </w:rPr>
        <w:lastRenderedPageBreak/>
        <w:t xml:space="preserve">frequency range, but the ability to meet all of the defined requirements is not assured.  </w:t>
      </w:r>
      <w:r w:rsidR="001651E9">
        <w:rPr>
          <w:lang w:val="en-US"/>
        </w:rPr>
        <w:t xml:space="preserve">However, the NOTE 12 </w:t>
      </w:r>
      <w:r w:rsidR="006D5170">
        <w:rPr>
          <w:lang w:val="en-US"/>
        </w:rPr>
        <w:t>shown</w:t>
      </w:r>
      <w:r w:rsidR="001651E9">
        <w:rPr>
          <w:lang w:val="en-US"/>
        </w:rPr>
        <w:t xml:space="preserve"> above clearly indicates that the band is restricted in the US, not merely that “requirements are not applicable.”  Moreover</w:t>
      </w:r>
      <w:r w:rsidR="00BC65E4">
        <w:rPr>
          <w:lang w:val="en-US"/>
        </w:rPr>
        <w:t xml:space="preserve">, </w:t>
      </w:r>
      <w:r w:rsidR="006E491B">
        <w:rPr>
          <w:lang w:val="en-US"/>
        </w:rPr>
        <w:t xml:space="preserve">in practice because of the regulatory rules, </w:t>
      </w:r>
      <w:r w:rsidR="008E02A9">
        <w:rPr>
          <w:lang w:val="en-US"/>
        </w:rPr>
        <w:t xml:space="preserve">the interpretation of support or not support is stricter than </w:t>
      </w:r>
      <w:r w:rsidR="004955F7">
        <w:rPr>
          <w:lang w:val="en-US"/>
        </w:rPr>
        <w:t>“requirements are not applicable</w:t>
      </w:r>
      <w:r w:rsidR="008E02A9">
        <w:rPr>
          <w:lang w:val="en-US"/>
        </w:rPr>
        <w:t>.</w:t>
      </w:r>
      <w:r w:rsidR="004955F7">
        <w:rPr>
          <w:lang w:val="en-US"/>
        </w:rPr>
        <w:t>”</w:t>
      </w:r>
      <w:r w:rsidR="008E02A9">
        <w:rPr>
          <w:lang w:val="en-US"/>
        </w:rPr>
        <w:t xml:space="preserve">  In practice, a frequency range not supported means that the UE will not operate at all on that frequency range; otherwise, it could be in violation of regulatory requirements</w:t>
      </w:r>
      <w:r w:rsidR="00BA4A19">
        <w:rPr>
          <w:lang w:val="en-US"/>
        </w:rPr>
        <w:t xml:space="preserve"> if it has not been certified by the regulator </w:t>
      </w:r>
      <w:r w:rsidR="00FB1B04">
        <w:rPr>
          <w:lang w:val="en-US"/>
        </w:rPr>
        <w:t>over this range</w:t>
      </w:r>
      <w:r w:rsidR="008E02A9">
        <w:rPr>
          <w:lang w:val="en-US"/>
        </w:rPr>
        <w:t xml:space="preserve">.  </w:t>
      </w:r>
      <w:r w:rsidR="0036172A">
        <w:rPr>
          <w:lang w:val="en-US"/>
        </w:rPr>
        <w:t>Embedded in the UE implementation is a “lock” whereby the UE will not operate on disallowed spectrum</w:t>
      </w:r>
      <w:r w:rsidR="0054518D">
        <w:rPr>
          <w:lang w:val="en-US"/>
        </w:rPr>
        <w:t xml:space="preserve">.  </w:t>
      </w:r>
      <w:r w:rsidR="0054518D" w:rsidRPr="004C71E6">
        <w:rPr>
          <w:lang w:val="en-US"/>
        </w:rPr>
        <w:t xml:space="preserve">The UE will not transmit in this frequency range nor will it receive in this frequency range, no matter what </w:t>
      </w:r>
      <w:r w:rsidR="00CA0D64" w:rsidRPr="004C71E6">
        <w:rPr>
          <w:lang w:val="en-US"/>
        </w:rPr>
        <w:t>request</w:t>
      </w:r>
      <w:r w:rsidR="00C15FB0" w:rsidRPr="004C71E6">
        <w:rPr>
          <w:lang w:val="en-US"/>
        </w:rPr>
        <w:t xml:space="preserve"> it receives from the basestation</w:t>
      </w:r>
      <w:r w:rsidR="0034497F" w:rsidRPr="004C71E6">
        <w:rPr>
          <w:lang w:val="en-US"/>
        </w:rPr>
        <w:t xml:space="preserve"> or from the user</w:t>
      </w:r>
      <w:r w:rsidR="00CA0D64" w:rsidRPr="004C71E6">
        <w:rPr>
          <w:lang w:val="en-US"/>
        </w:rPr>
        <w:t xml:space="preserve"> interface</w:t>
      </w:r>
      <w:r w:rsidR="0034497F" w:rsidRPr="004C71E6">
        <w:rPr>
          <w:lang w:val="en-US"/>
        </w:rPr>
        <w:t>.</w:t>
      </w:r>
      <w:r w:rsidR="0034497F">
        <w:rPr>
          <w:lang w:val="en-US"/>
        </w:rPr>
        <w:t xml:space="preserve">  It is this lock that prevents earlier devices from supporting the 3450 – 3550 MHz spectrum</w:t>
      </w:r>
      <w:r w:rsidR="00FB1B04">
        <w:rPr>
          <w:lang w:val="en-US"/>
        </w:rPr>
        <w:t xml:space="preserve"> or any other range within Band n77 that it has not been certified for</w:t>
      </w:r>
      <w:r w:rsidR="0034497F">
        <w:rPr>
          <w:lang w:val="en-US"/>
        </w:rPr>
        <w:t>.</w:t>
      </w:r>
      <w:r w:rsidR="003D4B75">
        <w:rPr>
          <w:lang w:val="en-US"/>
        </w:rPr>
        <w:t xml:space="preserve">  The lock can only be “removed” by the OEM manufacturer and will require updating the FCC certification for the device</w:t>
      </w:r>
      <w:r w:rsidR="00232806">
        <w:rPr>
          <w:lang w:val="en-US"/>
        </w:rPr>
        <w:t xml:space="preserve">; hence, it </w:t>
      </w:r>
      <w:r w:rsidR="00CB6044">
        <w:rPr>
          <w:lang w:val="en-US"/>
        </w:rPr>
        <w:t>can be anticipated</w:t>
      </w:r>
      <w:r w:rsidR="00232806">
        <w:rPr>
          <w:lang w:val="en-US"/>
        </w:rPr>
        <w:t xml:space="preserve"> that some already-fielded devices will remain locked and unable to access 3450 – 3550 MHz.</w:t>
      </w:r>
    </w:p>
    <w:p w14:paraId="6BF4503D" w14:textId="6B2EA398" w:rsidR="00FF0C34" w:rsidRDefault="000638D7" w:rsidP="00AC161C">
      <w:pPr>
        <w:rPr>
          <w:lang w:val="en-US"/>
        </w:rPr>
      </w:pPr>
      <w:r>
        <w:rPr>
          <w:lang w:val="en-US"/>
        </w:rPr>
        <w:t>With an understanding of the UE behavior described above, the impact to the network should be considered.  Since there are earlier and later devices, both indicating support of Band n77, the network is not able to distinguish between the two.  For initial access</w:t>
      </w:r>
      <w:r w:rsidR="004B5E59">
        <w:rPr>
          <w:lang w:val="en-US"/>
        </w:rPr>
        <w:t xml:space="preserve"> and idle mode cell (re-)selection</w:t>
      </w:r>
      <w:r>
        <w:rPr>
          <w:lang w:val="en-US"/>
        </w:rPr>
        <w:t>, it is not necessary for the network to distinguish since the earlier UE’s will simply n</w:t>
      </w:r>
      <w:r w:rsidR="001926A3">
        <w:rPr>
          <w:lang w:val="en-US"/>
        </w:rPr>
        <w:t>ot make any attempt to connect to a cell in the 3450 – 3550 MHz frequency range.  Therefore, the network is not even aware of their presence</w:t>
      </w:r>
      <w:r w:rsidR="00F16479">
        <w:rPr>
          <w:lang w:val="en-US"/>
        </w:rPr>
        <w:t xml:space="preserve"> and even if it were, there would be no change in </w:t>
      </w:r>
      <w:r w:rsidR="001E0D66">
        <w:rPr>
          <w:lang w:val="en-US"/>
        </w:rPr>
        <w:t>its</w:t>
      </w:r>
      <w:r w:rsidR="00F16479">
        <w:rPr>
          <w:lang w:val="en-US"/>
        </w:rPr>
        <w:t xml:space="preserve"> behavior</w:t>
      </w:r>
      <w:r w:rsidR="00AA37E1">
        <w:rPr>
          <w:lang w:val="en-US"/>
        </w:rPr>
        <w:t xml:space="preserve">.  The problem is when the UE is already </w:t>
      </w:r>
      <w:r w:rsidR="001E0D66">
        <w:rPr>
          <w:lang w:val="en-US"/>
        </w:rPr>
        <w:t>attached</w:t>
      </w:r>
      <w:r w:rsidR="00AA37E1">
        <w:rPr>
          <w:lang w:val="en-US"/>
        </w:rPr>
        <w:t xml:space="preserve"> to a cell</w:t>
      </w:r>
      <w:r w:rsidR="00005273">
        <w:rPr>
          <w:lang w:val="en-US"/>
        </w:rPr>
        <w:t xml:space="preserve"> that is not </w:t>
      </w:r>
      <w:r w:rsidR="009B26F6">
        <w:rPr>
          <w:lang w:val="en-US"/>
        </w:rPr>
        <w:t xml:space="preserve">operating on 3450 – 3550 MHz.  If the network </w:t>
      </w:r>
      <w:r w:rsidR="00005273">
        <w:rPr>
          <w:lang w:val="en-US"/>
        </w:rPr>
        <w:t xml:space="preserve">unwittingly </w:t>
      </w:r>
      <w:r w:rsidR="009B26F6">
        <w:rPr>
          <w:lang w:val="en-US"/>
        </w:rPr>
        <w:t>attemp</w:t>
      </w:r>
      <w:r w:rsidR="00005273">
        <w:rPr>
          <w:lang w:val="en-US"/>
        </w:rPr>
        <w:t>t</w:t>
      </w:r>
      <w:r w:rsidR="009B26F6">
        <w:rPr>
          <w:lang w:val="en-US"/>
        </w:rPr>
        <w:t xml:space="preserve">s to handover the UE to another cell at 3450 – 3550 MHz, the handover will fail.  </w:t>
      </w:r>
      <w:r w:rsidR="00B82E89">
        <w:rPr>
          <w:lang w:val="en-US"/>
        </w:rPr>
        <w:t>The failed handover should be resolved in the serving cell b</w:t>
      </w:r>
      <w:r w:rsidR="0003231B">
        <w:rPr>
          <w:lang w:val="en-US"/>
        </w:rPr>
        <w:t>y</w:t>
      </w:r>
      <w:r w:rsidR="00B82E89">
        <w:rPr>
          <w:lang w:val="en-US"/>
        </w:rPr>
        <w:t xml:space="preserve"> </w:t>
      </w:r>
      <w:r w:rsidR="0003231B">
        <w:rPr>
          <w:lang w:val="en-US"/>
        </w:rPr>
        <w:t>re-attempting</w:t>
      </w:r>
      <w:r w:rsidR="00B82E89">
        <w:rPr>
          <w:lang w:val="en-US"/>
        </w:rPr>
        <w:t xml:space="preserve"> another cell for handover or by keeping the UE in the serving cell.  </w:t>
      </w:r>
      <w:r w:rsidR="005A4ED9">
        <w:rPr>
          <w:lang w:val="en-US"/>
        </w:rPr>
        <w:t xml:space="preserve">In the worst case, the handover to the target cell fails while the serving cell is now out of range and a radio link failure (RLF) ensues.  </w:t>
      </w:r>
      <w:r w:rsidR="009148B8">
        <w:rPr>
          <w:lang w:val="en-US"/>
        </w:rPr>
        <w:t>If the network would have had knowledge that this particular UE does not support 3450 – 35</w:t>
      </w:r>
      <w:r w:rsidR="004E2E65">
        <w:rPr>
          <w:lang w:val="en-US"/>
        </w:rPr>
        <w:t>5</w:t>
      </w:r>
      <w:r w:rsidR="009148B8">
        <w:rPr>
          <w:lang w:val="en-US"/>
        </w:rPr>
        <w:t>0 MHz, it would not have initiated the handover in the first place</w:t>
      </w:r>
      <w:r w:rsidR="004F5DC5">
        <w:rPr>
          <w:lang w:val="en-US"/>
        </w:rPr>
        <w:t xml:space="preserve"> and </w:t>
      </w:r>
      <w:r w:rsidR="00AE0479">
        <w:rPr>
          <w:lang w:val="en-US"/>
        </w:rPr>
        <w:t>instead</w:t>
      </w:r>
      <w:r w:rsidR="004F5DC5">
        <w:rPr>
          <w:lang w:val="en-US"/>
        </w:rPr>
        <w:t xml:space="preserve"> identified a more suitable cell for handover</w:t>
      </w:r>
      <w:r w:rsidR="00E87F81">
        <w:rPr>
          <w:lang w:val="en-US"/>
        </w:rPr>
        <w:t xml:space="preserve"> if one exists</w:t>
      </w:r>
      <w:r w:rsidR="009148B8">
        <w:rPr>
          <w:lang w:val="en-US"/>
        </w:rPr>
        <w:t xml:space="preserve">.  </w:t>
      </w:r>
    </w:p>
    <w:p w14:paraId="4E6B2DA2" w14:textId="1BC3D7AE" w:rsidR="00AE0479" w:rsidRDefault="00AE0479" w:rsidP="00AC161C">
      <w:pPr>
        <w:rPr>
          <w:lang w:val="en-US"/>
        </w:rPr>
      </w:pPr>
      <w:r>
        <w:rPr>
          <w:lang w:val="en-US"/>
        </w:rPr>
        <w:t>While the described scenario sounds concerning</w:t>
      </w:r>
      <w:r w:rsidR="00AD0A1A">
        <w:rPr>
          <w:lang w:val="en-US"/>
        </w:rPr>
        <w:t xml:space="preserve">, it is expected to be </w:t>
      </w:r>
      <w:r w:rsidR="00D77F39">
        <w:rPr>
          <w:lang w:val="en-US"/>
        </w:rPr>
        <w:t>the exception rather than the rule</w:t>
      </w:r>
      <w:r w:rsidR="00AD0A1A">
        <w:rPr>
          <w:lang w:val="en-US"/>
        </w:rPr>
        <w:t xml:space="preserve">.  The handover operation is typically a much more involved process where multiple measurements on the target cell are </w:t>
      </w:r>
      <w:r w:rsidR="00DC1F06">
        <w:rPr>
          <w:lang w:val="en-US"/>
        </w:rPr>
        <w:t xml:space="preserve">performed and reported to the basestation before a determination is made to handover the UE to that target cell.  Only when certain criteria are fulfiled, for example target cell </w:t>
      </w:r>
      <w:r w:rsidR="00252239">
        <w:rPr>
          <w:lang w:val="en-US"/>
        </w:rPr>
        <w:t>signal strength and signal quality</w:t>
      </w:r>
      <w:r w:rsidR="00DC1F06">
        <w:rPr>
          <w:lang w:val="en-US"/>
        </w:rPr>
        <w:t xml:space="preserve"> is </w:t>
      </w:r>
      <w:r w:rsidR="001546A3">
        <w:rPr>
          <w:lang w:val="en-US"/>
        </w:rPr>
        <w:t xml:space="preserve">consistently </w:t>
      </w:r>
      <w:r w:rsidR="00252239">
        <w:rPr>
          <w:lang w:val="en-US"/>
        </w:rPr>
        <w:t>higher</w:t>
      </w:r>
      <w:r w:rsidR="00DC1F06">
        <w:rPr>
          <w:lang w:val="en-US"/>
        </w:rPr>
        <w:t xml:space="preserve"> than serving cell by a defined margin, will the handover be initiated.  </w:t>
      </w:r>
      <w:r w:rsidR="00A27887">
        <w:rPr>
          <w:lang w:val="en-US"/>
        </w:rPr>
        <w:t>However, since the earlier UE does not operate on 3450 – 35</w:t>
      </w:r>
      <w:r w:rsidR="004E2E65">
        <w:rPr>
          <w:lang w:val="en-US"/>
        </w:rPr>
        <w:t>5</w:t>
      </w:r>
      <w:r w:rsidR="00A27887">
        <w:rPr>
          <w:lang w:val="en-US"/>
        </w:rPr>
        <w:t xml:space="preserve">0 MHz, it will not </w:t>
      </w:r>
      <w:r w:rsidR="00E47C6A">
        <w:rPr>
          <w:lang w:val="en-US"/>
        </w:rPr>
        <w:t xml:space="preserve">be </w:t>
      </w:r>
      <w:r w:rsidR="00A27887">
        <w:rPr>
          <w:lang w:val="en-US"/>
        </w:rPr>
        <w:t>able to perform measurements</w:t>
      </w:r>
      <w:r w:rsidR="00A562F5">
        <w:rPr>
          <w:lang w:val="en-US"/>
        </w:rPr>
        <w:t xml:space="preserve"> on downlink signals in that frequency range.  </w:t>
      </w:r>
      <w:r w:rsidR="00456B28">
        <w:rPr>
          <w:lang w:val="en-US"/>
        </w:rPr>
        <w:t xml:space="preserve">The UE will not report favorable target cell signal strength and signal quality conditions and therefore the network will not attempt a handover to a cell in that frequency range.  </w:t>
      </w:r>
      <w:r w:rsidR="008075BF">
        <w:rPr>
          <w:lang w:val="en-US"/>
        </w:rPr>
        <w:t xml:space="preserve">The only scenarios in which the network might attempt the handover is if the UE is leaving coverage of the serving cell and there are no other </w:t>
      </w:r>
      <w:r w:rsidR="002466E7">
        <w:rPr>
          <w:lang w:val="en-US"/>
        </w:rPr>
        <w:t xml:space="preserve">better candidates for handover.  In that case, since there are no other better candidate neighbor cells for handover, a RLF is the most likely outcome regardless of whether the network </w:t>
      </w:r>
      <w:r w:rsidR="00EF7E5E">
        <w:rPr>
          <w:lang w:val="en-US"/>
        </w:rPr>
        <w:t>is aware that the UE cannot support 3450 – 3550 MHz.  The other scenario</w:t>
      </w:r>
      <w:r w:rsidR="008B75C3">
        <w:rPr>
          <w:lang w:val="en-US"/>
        </w:rPr>
        <w:t xml:space="preserve"> is a blind handover where the network attempts a handover to a new cell without first receiving measurement reports.  </w:t>
      </w:r>
      <w:r w:rsidR="00A036D6">
        <w:rPr>
          <w:lang w:val="en-US"/>
        </w:rPr>
        <w:t xml:space="preserve">Blind handovers are not </w:t>
      </w:r>
      <w:r w:rsidR="005A64D0">
        <w:rPr>
          <w:lang w:val="en-US"/>
        </w:rPr>
        <w:t xml:space="preserve">the common mode of operation since they are done at risk without </w:t>
      </w:r>
      <w:r w:rsidR="001E0322">
        <w:rPr>
          <w:lang w:val="en-US"/>
        </w:rPr>
        <w:t>checking handover criteria</w:t>
      </w:r>
      <w:r w:rsidR="0017349A">
        <w:rPr>
          <w:lang w:val="en-US"/>
        </w:rPr>
        <w:t xml:space="preserve"> and are typically </w:t>
      </w:r>
      <w:r w:rsidR="00BE22CF">
        <w:rPr>
          <w:lang w:val="en-US"/>
        </w:rPr>
        <w:t>initiated</w:t>
      </w:r>
      <w:r w:rsidR="0017349A">
        <w:rPr>
          <w:lang w:val="en-US"/>
        </w:rPr>
        <w:t xml:space="preserve"> for purposes of load balancing rather than mobility</w:t>
      </w:r>
      <w:r w:rsidR="00A23444">
        <w:rPr>
          <w:lang w:val="en-US"/>
        </w:rPr>
        <w:t xml:space="preserve">.  </w:t>
      </w:r>
      <w:r w:rsidR="0017349A">
        <w:rPr>
          <w:lang w:val="en-US"/>
        </w:rPr>
        <w:t>Therefore, even in the event of a failed blind handover the UE is still expected to be within coverage of the serving cell.  T</w:t>
      </w:r>
      <w:r w:rsidR="002C6856">
        <w:rPr>
          <w:lang w:val="en-US"/>
        </w:rPr>
        <w:t xml:space="preserve">hese scenarios </w:t>
      </w:r>
      <w:r w:rsidR="0017349A">
        <w:rPr>
          <w:lang w:val="en-US"/>
        </w:rPr>
        <w:t xml:space="preserve">of attempted handover without supporting UE reports on the target cell </w:t>
      </w:r>
      <w:r w:rsidR="002C6856">
        <w:rPr>
          <w:lang w:val="en-US"/>
        </w:rPr>
        <w:t>are regarded to be corner cases</w:t>
      </w:r>
      <w:r w:rsidR="00BE22CF">
        <w:rPr>
          <w:lang w:val="en-US"/>
        </w:rPr>
        <w:t xml:space="preserve"> not </w:t>
      </w:r>
      <w:r w:rsidR="004E1D1B">
        <w:rPr>
          <w:lang w:val="en-US"/>
        </w:rPr>
        <w:t>commonly</w:t>
      </w:r>
      <w:r w:rsidR="00BE22CF">
        <w:rPr>
          <w:lang w:val="en-US"/>
        </w:rPr>
        <w:t xml:space="preserve"> observed in actual network operation</w:t>
      </w:r>
      <w:r w:rsidR="002C6856">
        <w:rPr>
          <w:lang w:val="en-US"/>
        </w:rPr>
        <w:t>.</w:t>
      </w:r>
    </w:p>
    <w:p w14:paraId="5DB9C14A" w14:textId="11B48AB6" w:rsidR="00BD1DA4" w:rsidRDefault="00BD1DA4" w:rsidP="00BD1DA4">
      <w:pPr>
        <w:pStyle w:val="Heading2"/>
        <w:rPr>
          <w:lang w:val="en-US"/>
        </w:rPr>
      </w:pPr>
      <w:r>
        <w:rPr>
          <w:lang w:val="en-US"/>
        </w:rPr>
        <w:t>Recommendation</w:t>
      </w:r>
    </w:p>
    <w:p w14:paraId="74836003" w14:textId="289B24B5" w:rsidR="002F715D" w:rsidRDefault="00BD1DA4" w:rsidP="00BD1DA4">
      <w:pPr>
        <w:rPr>
          <w:lang w:val="en-US"/>
        </w:rPr>
      </w:pPr>
      <w:r>
        <w:rPr>
          <w:lang w:val="en-US"/>
        </w:rPr>
        <w:t xml:space="preserve">Based on the observations made in this contribution, </w:t>
      </w:r>
      <w:r w:rsidR="00C3111E">
        <w:rPr>
          <w:lang w:val="en-US"/>
        </w:rPr>
        <w:t xml:space="preserve">while </w:t>
      </w:r>
      <w:r>
        <w:rPr>
          <w:lang w:val="en-US"/>
        </w:rPr>
        <w:t>it is recognized that there is a potential issue related to UE’s that support one portion of the Band n77 spectrum but not the other in the US</w:t>
      </w:r>
      <w:r w:rsidR="00C3111E">
        <w:rPr>
          <w:lang w:val="en-US"/>
        </w:rPr>
        <w:t xml:space="preserve">, </w:t>
      </w:r>
      <w:r w:rsidR="002F715D">
        <w:rPr>
          <w:lang w:val="en-US"/>
        </w:rPr>
        <w:t>it is not expected to be a common occurrence nor is the outcome irrecoverable in most cases</w:t>
      </w:r>
      <w:r>
        <w:rPr>
          <w:lang w:val="en-US"/>
        </w:rPr>
        <w:t xml:space="preserve">.  </w:t>
      </w:r>
      <w:r w:rsidR="007A5490">
        <w:rPr>
          <w:lang w:val="en-US"/>
        </w:rPr>
        <w:t xml:space="preserve">On the other hand, we observe that </w:t>
      </w:r>
      <w:r w:rsidR="00123E26">
        <w:rPr>
          <w:lang w:val="en-US"/>
        </w:rPr>
        <w:t xml:space="preserve">the longer 3450 – 3550 MHz is delayed in 3GPP, the more likely there will be an increasing population of devices that do not support the frequency range and therefore the </w:t>
      </w:r>
      <w:r w:rsidR="00673C9C">
        <w:rPr>
          <w:lang w:val="en-US"/>
        </w:rPr>
        <w:t>increasing significance of a potential issue.  Therefore, it is proposed to adopt the changes in [</w:t>
      </w:r>
      <w:r w:rsidR="00F61FEE">
        <w:rPr>
          <w:lang w:val="en-US"/>
        </w:rPr>
        <w:t>4</w:t>
      </w:r>
      <w:r w:rsidR="00673C9C">
        <w:rPr>
          <w:lang w:val="en-US"/>
        </w:rPr>
        <w:t xml:space="preserve">] to enable the </w:t>
      </w:r>
      <w:r w:rsidR="00E40E76">
        <w:rPr>
          <w:lang w:val="en-US"/>
        </w:rPr>
        <w:t xml:space="preserve">US </w:t>
      </w:r>
      <w:r w:rsidR="00673C9C">
        <w:rPr>
          <w:lang w:val="en-US"/>
        </w:rPr>
        <w:t>3450 – 3550 MHz frequency range using Band n77</w:t>
      </w:r>
      <w:r w:rsidR="00E40E76">
        <w:rPr>
          <w:lang w:val="en-US"/>
        </w:rPr>
        <w:t>.</w:t>
      </w:r>
    </w:p>
    <w:p w14:paraId="3F8BEA58" w14:textId="31DA50C3" w:rsidR="009C37D0" w:rsidRDefault="00FA01C7" w:rsidP="009C37D0">
      <w:pPr>
        <w:pStyle w:val="Heading1"/>
        <w:tabs>
          <w:tab w:val="clear" w:pos="432"/>
          <w:tab w:val="num" w:pos="522"/>
        </w:tabs>
        <w:ind w:left="522" w:hanging="522"/>
        <w:rPr>
          <w:lang w:val="en-US"/>
        </w:rPr>
      </w:pPr>
      <w:r>
        <w:rPr>
          <w:lang w:val="en-US"/>
        </w:rPr>
        <w:t>Conclusion</w:t>
      </w:r>
    </w:p>
    <w:p w14:paraId="1F5920CF" w14:textId="11BBCA45" w:rsidR="009D4E19" w:rsidRPr="009D4E19" w:rsidRDefault="00732837" w:rsidP="009D4E19">
      <w:pPr>
        <w:rPr>
          <w:lang w:val="en-US"/>
        </w:rPr>
      </w:pPr>
      <w:r>
        <w:rPr>
          <w:lang w:val="en-US"/>
        </w:rPr>
        <w:t xml:space="preserve">In this contribution, an overview of the 3.5 GHz spectrum available in the US was provided along with how it has been enabled in 3GPP by bands n48 and n77.  </w:t>
      </w:r>
      <w:r w:rsidR="002272AD">
        <w:rPr>
          <w:lang w:val="en-US"/>
        </w:rPr>
        <w:t xml:space="preserve">Because the entirety of Band n77 is not available in the US, there has been accommodation for only the frequency ranges that are authorized by the regulations.  This fact, along with the difference in timing between when different frequency ranges are made available and introduced into the specifications and into device implementations leads to the possibility that difference devices will support only a subset of all the available spectrum.  This contribution discusses the implication of the network being unaware of the capabilities of </w:t>
      </w:r>
      <w:r w:rsidR="002272AD">
        <w:rPr>
          <w:lang w:val="en-US"/>
        </w:rPr>
        <w:lastRenderedPageBreak/>
        <w:t xml:space="preserve">earlier and later devices and concludes that the impact is </w:t>
      </w:r>
      <w:r w:rsidR="00432343">
        <w:rPr>
          <w:lang w:val="en-US"/>
        </w:rPr>
        <w:t xml:space="preserve">limited.  It is therefore proposed to </w:t>
      </w:r>
      <w:r w:rsidR="00F61FEE">
        <w:rPr>
          <w:lang w:val="en-US"/>
        </w:rPr>
        <w:t>enable the 3450 – 3550 MHz spectrum as part of Band n77 for the US in an expeditious manner.</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1206EC07" w14:textId="0F7A86B5" w:rsidR="00AB6814" w:rsidRDefault="00AB6814" w:rsidP="00F0511D">
      <w:pPr>
        <w:numPr>
          <w:ilvl w:val="0"/>
          <w:numId w:val="2"/>
        </w:numPr>
        <w:tabs>
          <w:tab w:val="left" w:pos="1080"/>
        </w:tabs>
        <w:rPr>
          <w:lang w:val="en-US" w:eastAsia="x-none"/>
        </w:rPr>
      </w:pPr>
      <w:bookmarkStart w:id="0" w:name="_Hlk859252"/>
      <w:r>
        <w:rPr>
          <w:lang w:val="en-US" w:eastAsia="x-none"/>
        </w:rPr>
        <w:t>R4-2107349, “Enabling US 3.45 – 3.55 GHz with Band n77,” Qualcomm Incorporated, AT&amp;T</w:t>
      </w:r>
    </w:p>
    <w:p w14:paraId="6A8E8D4A" w14:textId="52295C4C" w:rsidR="00AF5455" w:rsidRDefault="00AF5455" w:rsidP="00F0511D">
      <w:pPr>
        <w:numPr>
          <w:ilvl w:val="0"/>
          <w:numId w:val="2"/>
        </w:numPr>
        <w:tabs>
          <w:tab w:val="left" w:pos="1080"/>
        </w:tabs>
        <w:rPr>
          <w:lang w:val="en-US" w:eastAsia="x-none"/>
        </w:rPr>
      </w:pPr>
      <w:r>
        <w:rPr>
          <w:lang w:val="en-US" w:eastAsia="x-none"/>
        </w:rPr>
        <w:t>R4-2107109, “Band n77 usage in the US for 3.45 to 3.55 GHz,” Apple</w:t>
      </w:r>
    </w:p>
    <w:p w14:paraId="17C6A781" w14:textId="50DF5B46" w:rsidR="006472CD" w:rsidRDefault="006472CD" w:rsidP="00F0511D">
      <w:pPr>
        <w:numPr>
          <w:ilvl w:val="0"/>
          <w:numId w:val="2"/>
        </w:numPr>
        <w:tabs>
          <w:tab w:val="left" w:pos="1080"/>
        </w:tabs>
        <w:rPr>
          <w:lang w:val="en-US" w:eastAsia="x-none"/>
        </w:rPr>
      </w:pPr>
      <w:r>
        <w:rPr>
          <w:lang w:val="en-US" w:eastAsia="x-none"/>
        </w:rPr>
        <w:t>R4-2008898, “</w:t>
      </w:r>
      <w:r w:rsidR="00037D62" w:rsidRPr="00037D62">
        <w:rPr>
          <w:lang w:val="en-US" w:eastAsia="x-none"/>
        </w:rPr>
        <w:t>Addition of mutual UE coexistence between US bands and NR Band n77</w:t>
      </w:r>
      <w:r w:rsidR="00037D62">
        <w:rPr>
          <w:lang w:val="en-US" w:eastAsia="x-none"/>
        </w:rPr>
        <w:t xml:space="preserve">,” </w:t>
      </w:r>
      <w:r w:rsidR="002000CD" w:rsidRPr="002000CD">
        <w:rPr>
          <w:lang w:val="en-US" w:eastAsia="x-none"/>
        </w:rPr>
        <w:t>Qualcomm Incorporated, Verizon, T-Mobile USA, AT&amp;T, Apple, Ericsson, Skyworks Solutions, Inc., Samsung, Intel, Nokia, SGS Wireless, Google</w:t>
      </w:r>
    </w:p>
    <w:p w14:paraId="5A4FE1BB" w14:textId="77777777" w:rsidR="00283FCB" w:rsidRPr="00283FCB" w:rsidRDefault="00F61FEE" w:rsidP="00F0511D">
      <w:pPr>
        <w:numPr>
          <w:ilvl w:val="0"/>
          <w:numId w:val="2"/>
        </w:numPr>
        <w:tabs>
          <w:tab w:val="left" w:pos="1080"/>
        </w:tabs>
        <w:rPr>
          <w:lang w:val="en-US" w:eastAsia="x-none"/>
        </w:rPr>
      </w:pPr>
      <w:r w:rsidRPr="00283FCB">
        <w:rPr>
          <w:lang w:val="en-US" w:eastAsia="x-none"/>
        </w:rPr>
        <w:t>R4-21</w:t>
      </w:r>
      <w:r w:rsidR="00F670F0" w:rsidRPr="00283FCB">
        <w:rPr>
          <w:lang w:val="en-US" w:eastAsia="x-none"/>
        </w:rPr>
        <w:t xml:space="preserve">10980, </w:t>
      </w:r>
      <w:r w:rsidR="00283FCB" w:rsidRPr="00283FCB">
        <w:rPr>
          <w:lang w:val="en-US" w:eastAsia="x-none"/>
        </w:rPr>
        <w:t>“</w:t>
      </w:r>
      <w:r w:rsidR="00283FCB" w:rsidRPr="00283FCB">
        <w:rPr>
          <w:noProof/>
          <w:lang w:val="en-US"/>
        </w:rPr>
        <w:t>Addition of new spectrum in Band n77 for US</w:t>
      </w:r>
      <w:r w:rsidR="00283FCB" w:rsidRPr="00283FCB">
        <w:rPr>
          <w:lang w:val="en-US" w:eastAsia="x-none"/>
        </w:rPr>
        <w:t xml:space="preserve"> ,” Qualcomm Incorporated</w:t>
      </w:r>
    </w:p>
    <w:bookmarkEnd w:id="0"/>
    <w:p w14:paraId="231BC52F" w14:textId="77777777" w:rsidR="00CD2054" w:rsidRDefault="00CD2054" w:rsidP="00CD2054">
      <w:pPr>
        <w:tabs>
          <w:tab w:val="left" w:pos="1080"/>
        </w:tabs>
        <w:rPr>
          <w:lang w:val="en-US" w:eastAsia="x-none"/>
        </w:rPr>
      </w:pPr>
    </w:p>
    <w:sectPr w:rsidR="00CD2054"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F155E6" w14:textId="77777777" w:rsidR="00184D31" w:rsidRDefault="00184D31">
      <w:r>
        <w:separator/>
      </w:r>
    </w:p>
  </w:endnote>
  <w:endnote w:type="continuationSeparator" w:id="0">
    <w:p w14:paraId="36CEDE0D" w14:textId="77777777" w:rsidR="00184D31" w:rsidRDefault="00184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Å?"/>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E1FF5E" w14:textId="77777777" w:rsidR="00184D31" w:rsidRDefault="00184D31">
      <w:r>
        <w:separator/>
      </w:r>
    </w:p>
  </w:footnote>
  <w:footnote w:type="continuationSeparator" w:id="0">
    <w:p w14:paraId="6C5EDF55" w14:textId="77777777" w:rsidR="00184D31" w:rsidRDefault="00184D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596B7E"/>
    <w:multiLevelType w:val="hybridMultilevel"/>
    <w:tmpl w:val="16FE54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BE17758"/>
    <w:multiLevelType w:val="hybridMultilevel"/>
    <w:tmpl w:val="897A74EC"/>
    <w:lvl w:ilvl="0" w:tplc="F4B43A14">
      <w:start w:val="1"/>
      <w:numFmt w:val="bullet"/>
      <w:lvlText w:val="•"/>
      <w:lvlJc w:val="left"/>
      <w:pPr>
        <w:tabs>
          <w:tab w:val="num" w:pos="720"/>
        </w:tabs>
        <w:ind w:left="720" w:hanging="360"/>
      </w:pPr>
      <w:rPr>
        <w:rFonts w:ascii="Arial" w:hAnsi="Arial" w:hint="default"/>
      </w:rPr>
    </w:lvl>
    <w:lvl w:ilvl="1" w:tplc="7D1C2666" w:tentative="1">
      <w:start w:val="1"/>
      <w:numFmt w:val="bullet"/>
      <w:lvlText w:val="•"/>
      <w:lvlJc w:val="left"/>
      <w:pPr>
        <w:tabs>
          <w:tab w:val="num" w:pos="1440"/>
        </w:tabs>
        <w:ind w:left="1440" w:hanging="360"/>
      </w:pPr>
      <w:rPr>
        <w:rFonts w:ascii="Arial" w:hAnsi="Arial" w:hint="default"/>
      </w:rPr>
    </w:lvl>
    <w:lvl w:ilvl="2" w:tplc="8C88A2DA" w:tentative="1">
      <w:start w:val="1"/>
      <w:numFmt w:val="bullet"/>
      <w:lvlText w:val="•"/>
      <w:lvlJc w:val="left"/>
      <w:pPr>
        <w:tabs>
          <w:tab w:val="num" w:pos="2160"/>
        </w:tabs>
        <w:ind w:left="2160" w:hanging="360"/>
      </w:pPr>
      <w:rPr>
        <w:rFonts w:ascii="Arial" w:hAnsi="Arial" w:hint="default"/>
      </w:rPr>
    </w:lvl>
    <w:lvl w:ilvl="3" w:tplc="1D047F86" w:tentative="1">
      <w:start w:val="1"/>
      <w:numFmt w:val="bullet"/>
      <w:lvlText w:val="•"/>
      <w:lvlJc w:val="left"/>
      <w:pPr>
        <w:tabs>
          <w:tab w:val="num" w:pos="2880"/>
        </w:tabs>
        <w:ind w:left="2880" w:hanging="360"/>
      </w:pPr>
      <w:rPr>
        <w:rFonts w:ascii="Arial" w:hAnsi="Arial" w:hint="default"/>
      </w:rPr>
    </w:lvl>
    <w:lvl w:ilvl="4" w:tplc="A64C5716" w:tentative="1">
      <w:start w:val="1"/>
      <w:numFmt w:val="bullet"/>
      <w:lvlText w:val="•"/>
      <w:lvlJc w:val="left"/>
      <w:pPr>
        <w:tabs>
          <w:tab w:val="num" w:pos="3600"/>
        </w:tabs>
        <w:ind w:left="3600" w:hanging="360"/>
      </w:pPr>
      <w:rPr>
        <w:rFonts w:ascii="Arial" w:hAnsi="Arial" w:hint="default"/>
      </w:rPr>
    </w:lvl>
    <w:lvl w:ilvl="5" w:tplc="573033C6" w:tentative="1">
      <w:start w:val="1"/>
      <w:numFmt w:val="bullet"/>
      <w:lvlText w:val="•"/>
      <w:lvlJc w:val="left"/>
      <w:pPr>
        <w:tabs>
          <w:tab w:val="num" w:pos="4320"/>
        </w:tabs>
        <w:ind w:left="4320" w:hanging="360"/>
      </w:pPr>
      <w:rPr>
        <w:rFonts w:ascii="Arial" w:hAnsi="Arial" w:hint="default"/>
      </w:rPr>
    </w:lvl>
    <w:lvl w:ilvl="6" w:tplc="7C869636" w:tentative="1">
      <w:start w:val="1"/>
      <w:numFmt w:val="bullet"/>
      <w:lvlText w:val="•"/>
      <w:lvlJc w:val="left"/>
      <w:pPr>
        <w:tabs>
          <w:tab w:val="num" w:pos="5040"/>
        </w:tabs>
        <w:ind w:left="5040" w:hanging="360"/>
      </w:pPr>
      <w:rPr>
        <w:rFonts w:ascii="Arial" w:hAnsi="Arial" w:hint="default"/>
      </w:rPr>
    </w:lvl>
    <w:lvl w:ilvl="7" w:tplc="0B366F82" w:tentative="1">
      <w:start w:val="1"/>
      <w:numFmt w:val="bullet"/>
      <w:lvlText w:val="•"/>
      <w:lvlJc w:val="left"/>
      <w:pPr>
        <w:tabs>
          <w:tab w:val="num" w:pos="5760"/>
        </w:tabs>
        <w:ind w:left="5760" w:hanging="360"/>
      </w:pPr>
      <w:rPr>
        <w:rFonts w:ascii="Arial" w:hAnsi="Arial" w:hint="default"/>
      </w:rPr>
    </w:lvl>
    <w:lvl w:ilvl="8" w:tplc="70FA91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56273A7"/>
    <w:multiLevelType w:val="hybridMultilevel"/>
    <w:tmpl w:val="039CE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6321419F"/>
    <w:multiLevelType w:val="hybridMultilevel"/>
    <w:tmpl w:val="7220AC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7A02F3D"/>
    <w:multiLevelType w:val="hybridMultilevel"/>
    <w:tmpl w:val="D69A5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DD31338"/>
    <w:multiLevelType w:val="hybridMultilevel"/>
    <w:tmpl w:val="DAEE7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21"/>
  </w:num>
  <w:num w:numId="3">
    <w:abstractNumId w:val="25"/>
  </w:num>
  <w:num w:numId="4">
    <w:abstractNumId w:val="28"/>
  </w:num>
  <w:num w:numId="5">
    <w:abstractNumId w:val="19"/>
  </w:num>
  <w:num w:numId="6">
    <w:abstractNumId w:val="6"/>
  </w:num>
  <w:num w:numId="7">
    <w:abstractNumId w:val="1"/>
  </w:num>
  <w:num w:numId="8">
    <w:abstractNumId w:val="23"/>
  </w:num>
  <w:num w:numId="9">
    <w:abstractNumId w:val="7"/>
  </w:num>
  <w:num w:numId="10">
    <w:abstractNumId w:val="17"/>
  </w:num>
  <w:num w:numId="11">
    <w:abstractNumId w:val="30"/>
  </w:num>
  <w:num w:numId="12">
    <w:abstractNumId w:val="5"/>
  </w:num>
  <w:num w:numId="13">
    <w:abstractNumId w:val="16"/>
  </w:num>
  <w:num w:numId="14">
    <w:abstractNumId w:val="3"/>
  </w:num>
  <w:num w:numId="15">
    <w:abstractNumId w:val="15"/>
  </w:num>
  <w:num w:numId="16">
    <w:abstractNumId w:val="29"/>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4"/>
  </w:num>
  <w:num w:numId="19">
    <w:abstractNumId w:val="13"/>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4"/>
  </w:num>
  <w:num w:numId="22">
    <w:abstractNumId w:val="10"/>
  </w:num>
  <w:num w:numId="23">
    <w:abstractNumId w:val="18"/>
  </w:num>
  <w:num w:numId="24">
    <w:abstractNumId w:val="26"/>
  </w:num>
  <w:num w:numId="25">
    <w:abstractNumId w:val="27"/>
  </w:num>
  <w:num w:numId="26">
    <w:abstractNumId w:val="2"/>
  </w:num>
  <w:num w:numId="27">
    <w:abstractNumId w:val="8"/>
  </w:num>
  <w:num w:numId="28">
    <w:abstractNumId w:val="20"/>
  </w:num>
  <w:num w:numId="29">
    <w:abstractNumId w:val="9"/>
  </w:num>
  <w:num w:numId="30">
    <w:abstractNumId w:val="24"/>
  </w:num>
  <w:num w:numId="31">
    <w:abstractNumId w:val="22"/>
  </w:num>
  <w:num w:numId="32">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301D"/>
    <w:rsid w:val="00003326"/>
    <w:rsid w:val="00003883"/>
    <w:rsid w:val="000042A1"/>
    <w:rsid w:val="00004852"/>
    <w:rsid w:val="0000518F"/>
    <w:rsid w:val="00005273"/>
    <w:rsid w:val="00006110"/>
    <w:rsid w:val="00006186"/>
    <w:rsid w:val="00006198"/>
    <w:rsid w:val="000062E4"/>
    <w:rsid w:val="00006351"/>
    <w:rsid w:val="000065AA"/>
    <w:rsid w:val="0000667F"/>
    <w:rsid w:val="00006710"/>
    <w:rsid w:val="00006C4A"/>
    <w:rsid w:val="00006F97"/>
    <w:rsid w:val="00010EE0"/>
    <w:rsid w:val="00011545"/>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24"/>
    <w:rsid w:val="00020464"/>
    <w:rsid w:val="00020662"/>
    <w:rsid w:val="00020690"/>
    <w:rsid w:val="0002074A"/>
    <w:rsid w:val="00020B64"/>
    <w:rsid w:val="00021335"/>
    <w:rsid w:val="0002180A"/>
    <w:rsid w:val="000218D1"/>
    <w:rsid w:val="000219E5"/>
    <w:rsid w:val="00022423"/>
    <w:rsid w:val="000233AC"/>
    <w:rsid w:val="000237A1"/>
    <w:rsid w:val="000246F5"/>
    <w:rsid w:val="000248EA"/>
    <w:rsid w:val="00024C2B"/>
    <w:rsid w:val="00025989"/>
    <w:rsid w:val="00025D54"/>
    <w:rsid w:val="00026854"/>
    <w:rsid w:val="00026BDF"/>
    <w:rsid w:val="00026DB4"/>
    <w:rsid w:val="00027229"/>
    <w:rsid w:val="00027F27"/>
    <w:rsid w:val="000300E5"/>
    <w:rsid w:val="00030390"/>
    <w:rsid w:val="00030480"/>
    <w:rsid w:val="0003108E"/>
    <w:rsid w:val="000311C6"/>
    <w:rsid w:val="0003172D"/>
    <w:rsid w:val="000317A7"/>
    <w:rsid w:val="0003231B"/>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B38"/>
    <w:rsid w:val="00036D09"/>
    <w:rsid w:val="00036F82"/>
    <w:rsid w:val="000371E4"/>
    <w:rsid w:val="000375A2"/>
    <w:rsid w:val="000378CF"/>
    <w:rsid w:val="0003794F"/>
    <w:rsid w:val="00037D62"/>
    <w:rsid w:val="00037D87"/>
    <w:rsid w:val="00037F8C"/>
    <w:rsid w:val="0004020C"/>
    <w:rsid w:val="000415CC"/>
    <w:rsid w:val="00041C36"/>
    <w:rsid w:val="000420FB"/>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7427"/>
    <w:rsid w:val="0004795F"/>
    <w:rsid w:val="00047A40"/>
    <w:rsid w:val="00051030"/>
    <w:rsid w:val="00051601"/>
    <w:rsid w:val="0005186B"/>
    <w:rsid w:val="000526FF"/>
    <w:rsid w:val="0005277B"/>
    <w:rsid w:val="00053989"/>
    <w:rsid w:val="00053E42"/>
    <w:rsid w:val="00053EB2"/>
    <w:rsid w:val="000549BA"/>
    <w:rsid w:val="000550EF"/>
    <w:rsid w:val="000555F0"/>
    <w:rsid w:val="00055B21"/>
    <w:rsid w:val="00056C5E"/>
    <w:rsid w:val="00057B8F"/>
    <w:rsid w:val="000601B0"/>
    <w:rsid w:val="000605D7"/>
    <w:rsid w:val="00060DD0"/>
    <w:rsid w:val="000611F3"/>
    <w:rsid w:val="00062AE2"/>
    <w:rsid w:val="00062E5A"/>
    <w:rsid w:val="00062F52"/>
    <w:rsid w:val="000638D7"/>
    <w:rsid w:val="00063B14"/>
    <w:rsid w:val="0006427B"/>
    <w:rsid w:val="000642D1"/>
    <w:rsid w:val="000643A3"/>
    <w:rsid w:val="0006440F"/>
    <w:rsid w:val="000648F2"/>
    <w:rsid w:val="00065C27"/>
    <w:rsid w:val="00066495"/>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5AFE"/>
    <w:rsid w:val="00075ECE"/>
    <w:rsid w:val="00076DB9"/>
    <w:rsid w:val="000771C7"/>
    <w:rsid w:val="00077FE0"/>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CAB"/>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ADD"/>
    <w:rsid w:val="00097D67"/>
    <w:rsid w:val="000A0D70"/>
    <w:rsid w:val="000A1326"/>
    <w:rsid w:val="000A1338"/>
    <w:rsid w:val="000A13B3"/>
    <w:rsid w:val="000A161B"/>
    <w:rsid w:val="000A172C"/>
    <w:rsid w:val="000A1A26"/>
    <w:rsid w:val="000A1A85"/>
    <w:rsid w:val="000A1BCF"/>
    <w:rsid w:val="000A2153"/>
    <w:rsid w:val="000A2601"/>
    <w:rsid w:val="000A26E5"/>
    <w:rsid w:val="000A2929"/>
    <w:rsid w:val="000A2A53"/>
    <w:rsid w:val="000A2D07"/>
    <w:rsid w:val="000A31E0"/>
    <w:rsid w:val="000A34A7"/>
    <w:rsid w:val="000A3A5C"/>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B7434"/>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6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4E0C"/>
    <w:rsid w:val="000D56C9"/>
    <w:rsid w:val="000D5BA2"/>
    <w:rsid w:val="000D5C4A"/>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685C"/>
    <w:rsid w:val="000F6FC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AB4"/>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1FFF"/>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3E26"/>
    <w:rsid w:val="00123EA8"/>
    <w:rsid w:val="00124252"/>
    <w:rsid w:val="00124802"/>
    <w:rsid w:val="00124944"/>
    <w:rsid w:val="00124B29"/>
    <w:rsid w:val="00125C52"/>
    <w:rsid w:val="00125CFA"/>
    <w:rsid w:val="00125E8B"/>
    <w:rsid w:val="00125ED8"/>
    <w:rsid w:val="001266F1"/>
    <w:rsid w:val="00126DA5"/>
    <w:rsid w:val="001271F9"/>
    <w:rsid w:val="001274D2"/>
    <w:rsid w:val="00127DEC"/>
    <w:rsid w:val="00127E48"/>
    <w:rsid w:val="00130287"/>
    <w:rsid w:val="00130ECD"/>
    <w:rsid w:val="001310DC"/>
    <w:rsid w:val="0013166F"/>
    <w:rsid w:val="00131FD4"/>
    <w:rsid w:val="001323CD"/>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684"/>
    <w:rsid w:val="001469DA"/>
    <w:rsid w:val="00146B71"/>
    <w:rsid w:val="00147307"/>
    <w:rsid w:val="0014774C"/>
    <w:rsid w:val="00147803"/>
    <w:rsid w:val="00147D6A"/>
    <w:rsid w:val="00150F51"/>
    <w:rsid w:val="001515A1"/>
    <w:rsid w:val="001516D8"/>
    <w:rsid w:val="00151825"/>
    <w:rsid w:val="00151994"/>
    <w:rsid w:val="00151ABA"/>
    <w:rsid w:val="0015239C"/>
    <w:rsid w:val="001528ED"/>
    <w:rsid w:val="00153EB5"/>
    <w:rsid w:val="00154025"/>
    <w:rsid w:val="00154061"/>
    <w:rsid w:val="0015439A"/>
    <w:rsid w:val="001546A3"/>
    <w:rsid w:val="00154986"/>
    <w:rsid w:val="00154A62"/>
    <w:rsid w:val="00154F3B"/>
    <w:rsid w:val="001553C6"/>
    <w:rsid w:val="001559C8"/>
    <w:rsid w:val="00155AB9"/>
    <w:rsid w:val="00155F77"/>
    <w:rsid w:val="001568D4"/>
    <w:rsid w:val="0015760F"/>
    <w:rsid w:val="001577F0"/>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51E9"/>
    <w:rsid w:val="00166BBB"/>
    <w:rsid w:val="001679C5"/>
    <w:rsid w:val="00167B3A"/>
    <w:rsid w:val="00170570"/>
    <w:rsid w:val="00170B48"/>
    <w:rsid w:val="00170C0A"/>
    <w:rsid w:val="00170FF5"/>
    <w:rsid w:val="00171233"/>
    <w:rsid w:val="00171629"/>
    <w:rsid w:val="00171D36"/>
    <w:rsid w:val="0017224D"/>
    <w:rsid w:val="001728C4"/>
    <w:rsid w:val="0017349A"/>
    <w:rsid w:val="001735A3"/>
    <w:rsid w:val="001739BE"/>
    <w:rsid w:val="00173B56"/>
    <w:rsid w:val="001748B7"/>
    <w:rsid w:val="00174969"/>
    <w:rsid w:val="001749BF"/>
    <w:rsid w:val="00174BD8"/>
    <w:rsid w:val="001757E7"/>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1E0F"/>
    <w:rsid w:val="001824A0"/>
    <w:rsid w:val="00182838"/>
    <w:rsid w:val="00183169"/>
    <w:rsid w:val="001842E4"/>
    <w:rsid w:val="00184A30"/>
    <w:rsid w:val="00184D31"/>
    <w:rsid w:val="00184E92"/>
    <w:rsid w:val="00185051"/>
    <w:rsid w:val="0018555B"/>
    <w:rsid w:val="001855CC"/>
    <w:rsid w:val="00185893"/>
    <w:rsid w:val="00186488"/>
    <w:rsid w:val="0018788E"/>
    <w:rsid w:val="00187E14"/>
    <w:rsid w:val="001905F3"/>
    <w:rsid w:val="00190F12"/>
    <w:rsid w:val="00191D6B"/>
    <w:rsid w:val="00192293"/>
    <w:rsid w:val="00192538"/>
    <w:rsid w:val="001925A9"/>
    <w:rsid w:val="001926A3"/>
    <w:rsid w:val="00192FFF"/>
    <w:rsid w:val="00193142"/>
    <w:rsid w:val="00193747"/>
    <w:rsid w:val="001937B4"/>
    <w:rsid w:val="00194403"/>
    <w:rsid w:val="00194582"/>
    <w:rsid w:val="00194DEE"/>
    <w:rsid w:val="00194E91"/>
    <w:rsid w:val="00195007"/>
    <w:rsid w:val="00195150"/>
    <w:rsid w:val="00195E87"/>
    <w:rsid w:val="001968A7"/>
    <w:rsid w:val="00197D53"/>
    <w:rsid w:val="001A0786"/>
    <w:rsid w:val="001A1533"/>
    <w:rsid w:val="001A1AB0"/>
    <w:rsid w:val="001A1AB3"/>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1E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2ED"/>
    <w:rsid w:val="001D791E"/>
    <w:rsid w:val="001D7BA7"/>
    <w:rsid w:val="001E0322"/>
    <w:rsid w:val="001E0D66"/>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226"/>
    <w:rsid w:val="001E73A7"/>
    <w:rsid w:val="001E7909"/>
    <w:rsid w:val="001E7CF7"/>
    <w:rsid w:val="001F02FC"/>
    <w:rsid w:val="001F099B"/>
    <w:rsid w:val="001F15B4"/>
    <w:rsid w:val="001F16E6"/>
    <w:rsid w:val="001F1AFB"/>
    <w:rsid w:val="001F1E8A"/>
    <w:rsid w:val="001F2C22"/>
    <w:rsid w:val="001F3907"/>
    <w:rsid w:val="001F3AB5"/>
    <w:rsid w:val="001F4191"/>
    <w:rsid w:val="001F43EF"/>
    <w:rsid w:val="001F463C"/>
    <w:rsid w:val="001F4697"/>
    <w:rsid w:val="001F4B1C"/>
    <w:rsid w:val="001F4B45"/>
    <w:rsid w:val="001F4D38"/>
    <w:rsid w:val="001F5A57"/>
    <w:rsid w:val="001F71DC"/>
    <w:rsid w:val="001F7246"/>
    <w:rsid w:val="001F786D"/>
    <w:rsid w:val="001F7D63"/>
    <w:rsid w:val="002000CD"/>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5BB2"/>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650F"/>
    <w:rsid w:val="0021653C"/>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2AD"/>
    <w:rsid w:val="0022732E"/>
    <w:rsid w:val="002273B6"/>
    <w:rsid w:val="0022758E"/>
    <w:rsid w:val="00230A56"/>
    <w:rsid w:val="00230C94"/>
    <w:rsid w:val="00230EB7"/>
    <w:rsid w:val="00230EC6"/>
    <w:rsid w:val="00230EC9"/>
    <w:rsid w:val="00230FED"/>
    <w:rsid w:val="00231333"/>
    <w:rsid w:val="00231913"/>
    <w:rsid w:val="00231FF4"/>
    <w:rsid w:val="00232806"/>
    <w:rsid w:val="0023377B"/>
    <w:rsid w:val="00233CFA"/>
    <w:rsid w:val="002348BC"/>
    <w:rsid w:val="00234C5F"/>
    <w:rsid w:val="00234F02"/>
    <w:rsid w:val="002355E1"/>
    <w:rsid w:val="002358B5"/>
    <w:rsid w:val="00235939"/>
    <w:rsid w:val="00236663"/>
    <w:rsid w:val="00236AFB"/>
    <w:rsid w:val="00236C6E"/>
    <w:rsid w:val="00236EB4"/>
    <w:rsid w:val="00237E42"/>
    <w:rsid w:val="0024005F"/>
    <w:rsid w:val="00240974"/>
    <w:rsid w:val="00240D6A"/>
    <w:rsid w:val="0024145D"/>
    <w:rsid w:val="002418D1"/>
    <w:rsid w:val="002420FA"/>
    <w:rsid w:val="0024341E"/>
    <w:rsid w:val="0024423D"/>
    <w:rsid w:val="0024432E"/>
    <w:rsid w:val="00244AD5"/>
    <w:rsid w:val="00244CE5"/>
    <w:rsid w:val="00244D5B"/>
    <w:rsid w:val="00244E0D"/>
    <w:rsid w:val="00244EC5"/>
    <w:rsid w:val="00245579"/>
    <w:rsid w:val="002455BE"/>
    <w:rsid w:val="002460C4"/>
    <w:rsid w:val="002461C3"/>
    <w:rsid w:val="002466E7"/>
    <w:rsid w:val="002470BB"/>
    <w:rsid w:val="002478CB"/>
    <w:rsid w:val="00247BC2"/>
    <w:rsid w:val="002501CF"/>
    <w:rsid w:val="00250998"/>
    <w:rsid w:val="0025130E"/>
    <w:rsid w:val="00251463"/>
    <w:rsid w:val="00251908"/>
    <w:rsid w:val="00251AE9"/>
    <w:rsid w:val="00251B67"/>
    <w:rsid w:val="00252239"/>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1B7"/>
    <w:rsid w:val="00270F79"/>
    <w:rsid w:val="0027136E"/>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3FCB"/>
    <w:rsid w:val="0028415F"/>
    <w:rsid w:val="0028417E"/>
    <w:rsid w:val="00284391"/>
    <w:rsid w:val="00285070"/>
    <w:rsid w:val="00285299"/>
    <w:rsid w:val="002854F2"/>
    <w:rsid w:val="00285829"/>
    <w:rsid w:val="00285CF2"/>
    <w:rsid w:val="0028617B"/>
    <w:rsid w:val="002865FA"/>
    <w:rsid w:val="002866C4"/>
    <w:rsid w:val="0028685E"/>
    <w:rsid w:val="002869C0"/>
    <w:rsid w:val="00287205"/>
    <w:rsid w:val="002900D1"/>
    <w:rsid w:val="00290FB2"/>
    <w:rsid w:val="0029101E"/>
    <w:rsid w:val="0029138C"/>
    <w:rsid w:val="002921C4"/>
    <w:rsid w:val="0029239C"/>
    <w:rsid w:val="0029286C"/>
    <w:rsid w:val="002932EC"/>
    <w:rsid w:val="00294E11"/>
    <w:rsid w:val="00296186"/>
    <w:rsid w:val="002961A6"/>
    <w:rsid w:val="00296B7E"/>
    <w:rsid w:val="00296FCC"/>
    <w:rsid w:val="002976AF"/>
    <w:rsid w:val="00297836"/>
    <w:rsid w:val="002A0942"/>
    <w:rsid w:val="002A129F"/>
    <w:rsid w:val="002A1AD8"/>
    <w:rsid w:val="002A23C7"/>
    <w:rsid w:val="002A2E43"/>
    <w:rsid w:val="002A3BFD"/>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C8F"/>
    <w:rsid w:val="002B1FD0"/>
    <w:rsid w:val="002B2185"/>
    <w:rsid w:val="002B2C2C"/>
    <w:rsid w:val="002B2C81"/>
    <w:rsid w:val="002B2F66"/>
    <w:rsid w:val="002B31B5"/>
    <w:rsid w:val="002B3B2F"/>
    <w:rsid w:val="002B40E0"/>
    <w:rsid w:val="002B43AE"/>
    <w:rsid w:val="002B4C2E"/>
    <w:rsid w:val="002B4D6F"/>
    <w:rsid w:val="002B53D8"/>
    <w:rsid w:val="002B59E9"/>
    <w:rsid w:val="002B6395"/>
    <w:rsid w:val="002B6A74"/>
    <w:rsid w:val="002B75CC"/>
    <w:rsid w:val="002C034B"/>
    <w:rsid w:val="002C0E6F"/>
    <w:rsid w:val="002C1343"/>
    <w:rsid w:val="002C15A4"/>
    <w:rsid w:val="002C1A95"/>
    <w:rsid w:val="002C27CE"/>
    <w:rsid w:val="002C3086"/>
    <w:rsid w:val="002C3188"/>
    <w:rsid w:val="002C33B8"/>
    <w:rsid w:val="002C3AA2"/>
    <w:rsid w:val="002C40B7"/>
    <w:rsid w:val="002C4394"/>
    <w:rsid w:val="002C4B36"/>
    <w:rsid w:val="002C4E58"/>
    <w:rsid w:val="002C4F68"/>
    <w:rsid w:val="002C6856"/>
    <w:rsid w:val="002C7C8C"/>
    <w:rsid w:val="002D087B"/>
    <w:rsid w:val="002D0BCE"/>
    <w:rsid w:val="002D0C99"/>
    <w:rsid w:val="002D14E8"/>
    <w:rsid w:val="002D1B2B"/>
    <w:rsid w:val="002D2365"/>
    <w:rsid w:val="002D254B"/>
    <w:rsid w:val="002D282D"/>
    <w:rsid w:val="002D2DBA"/>
    <w:rsid w:val="002D3535"/>
    <w:rsid w:val="002D3A61"/>
    <w:rsid w:val="002D417D"/>
    <w:rsid w:val="002D4919"/>
    <w:rsid w:val="002D4A80"/>
    <w:rsid w:val="002D547C"/>
    <w:rsid w:val="002D5DDD"/>
    <w:rsid w:val="002D6794"/>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C27"/>
    <w:rsid w:val="002E4D02"/>
    <w:rsid w:val="002E55A2"/>
    <w:rsid w:val="002E5C6F"/>
    <w:rsid w:val="002E6792"/>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15D"/>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36B"/>
    <w:rsid w:val="00303723"/>
    <w:rsid w:val="003038CB"/>
    <w:rsid w:val="00303E4F"/>
    <w:rsid w:val="00304479"/>
    <w:rsid w:val="003044EF"/>
    <w:rsid w:val="0030450E"/>
    <w:rsid w:val="00304BB7"/>
    <w:rsid w:val="00304EC9"/>
    <w:rsid w:val="00304EE3"/>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8AD"/>
    <w:rsid w:val="00322EBD"/>
    <w:rsid w:val="00323F04"/>
    <w:rsid w:val="00324340"/>
    <w:rsid w:val="00324937"/>
    <w:rsid w:val="00325C68"/>
    <w:rsid w:val="00325D20"/>
    <w:rsid w:val="00326129"/>
    <w:rsid w:val="003267B9"/>
    <w:rsid w:val="0032797F"/>
    <w:rsid w:val="00327B03"/>
    <w:rsid w:val="00327EF9"/>
    <w:rsid w:val="00327FCD"/>
    <w:rsid w:val="00330243"/>
    <w:rsid w:val="0033066C"/>
    <w:rsid w:val="00331B63"/>
    <w:rsid w:val="00331EFF"/>
    <w:rsid w:val="0033249A"/>
    <w:rsid w:val="003324CA"/>
    <w:rsid w:val="00332DD8"/>
    <w:rsid w:val="00332E3C"/>
    <w:rsid w:val="00332FAF"/>
    <w:rsid w:val="003336B2"/>
    <w:rsid w:val="003337D9"/>
    <w:rsid w:val="00333865"/>
    <w:rsid w:val="003338B4"/>
    <w:rsid w:val="003348EF"/>
    <w:rsid w:val="003359A3"/>
    <w:rsid w:val="00335BF9"/>
    <w:rsid w:val="003370EF"/>
    <w:rsid w:val="00337554"/>
    <w:rsid w:val="00337613"/>
    <w:rsid w:val="00337A5E"/>
    <w:rsid w:val="003402F4"/>
    <w:rsid w:val="00340539"/>
    <w:rsid w:val="0034157C"/>
    <w:rsid w:val="00341D2E"/>
    <w:rsid w:val="00341F00"/>
    <w:rsid w:val="003427F4"/>
    <w:rsid w:val="00342D54"/>
    <w:rsid w:val="00343AE0"/>
    <w:rsid w:val="0034497F"/>
    <w:rsid w:val="00344FE2"/>
    <w:rsid w:val="00345CDD"/>
    <w:rsid w:val="00345FDB"/>
    <w:rsid w:val="00345FF9"/>
    <w:rsid w:val="0034613F"/>
    <w:rsid w:val="00346628"/>
    <w:rsid w:val="0034670C"/>
    <w:rsid w:val="00346BAD"/>
    <w:rsid w:val="00346FFE"/>
    <w:rsid w:val="00347822"/>
    <w:rsid w:val="003478F5"/>
    <w:rsid w:val="00347A4B"/>
    <w:rsid w:val="0035071D"/>
    <w:rsid w:val="003508AD"/>
    <w:rsid w:val="00350AEE"/>
    <w:rsid w:val="003512A1"/>
    <w:rsid w:val="00351328"/>
    <w:rsid w:val="003514E1"/>
    <w:rsid w:val="0035163A"/>
    <w:rsid w:val="003517BE"/>
    <w:rsid w:val="003534A5"/>
    <w:rsid w:val="00353D8F"/>
    <w:rsid w:val="00353E83"/>
    <w:rsid w:val="00354768"/>
    <w:rsid w:val="00355206"/>
    <w:rsid w:val="0035576E"/>
    <w:rsid w:val="003557D8"/>
    <w:rsid w:val="00357459"/>
    <w:rsid w:val="003609F7"/>
    <w:rsid w:val="00360B4B"/>
    <w:rsid w:val="003612CF"/>
    <w:rsid w:val="00361435"/>
    <w:rsid w:val="0036172A"/>
    <w:rsid w:val="00361788"/>
    <w:rsid w:val="003626C2"/>
    <w:rsid w:val="00362C3B"/>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4FE7"/>
    <w:rsid w:val="003753EA"/>
    <w:rsid w:val="00375E5A"/>
    <w:rsid w:val="00376303"/>
    <w:rsid w:val="0037657E"/>
    <w:rsid w:val="0037674E"/>
    <w:rsid w:val="00376E48"/>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5043"/>
    <w:rsid w:val="00385B1E"/>
    <w:rsid w:val="00385D57"/>
    <w:rsid w:val="003861E5"/>
    <w:rsid w:val="003878AD"/>
    <w:rsid w:val="00387A87"/>
    <w:rsid w:val="00387BA4"/>
    <w:rsid w:val="00387CB5"/>
    <w:rsid w:val="00390A6F"/>
    <w:rsid w:val="00391826"/>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437"/>
    <w:rsid w:val="003A06B7"/>
    <w:rsid w:val="003A0B91"/>
    <w:rsid w:val="003A1532"/>
    <w:rsid w:val="003A196D"/>
    <w:rsid w:val="003A1C0F"/>
    <w:rsid w:val="003A249A"/>
    <w:rsid w:val="003A3229"/>
    <w:rsid w:val="003A32A2"/>
    <w:rsid w:val="003A3E1F"/>
    <w:rsid w:val="003A4339"/>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2AA"/>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5AB"/>
    <w:rsid w:val="003C7753"/>
    <w:rsid w:val="003C7927"/>
    <w:rsid w:val="003C7B29"/>
    <w:rsid w:val="003D0345"/>
    <w:rsid w:val="003D04DD"/>
    <w:rsid w:val="003D0DEB"/>
    <w:rsid w:val="003D1991"/>
    <w:rsid w:val="003D1B40"/>
    <w:rsid w:val="003D1EFA"/>
    <w:rsid w:val="003D246C"/>
    <w:rsid w:val="003D2A12"/>
    <w:rsid w:val="003D3513"/>
    <w:rsid w:val="003D3737"/>
    <w:rsid w:val="003D3F93"/>
    <w:rsid w:val="003D41F9"/>
    <w:rsid w:val="003D498D"/>
    <w:rsid w:val="003D4B75"/>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EE1"/>
    <w:rsid w:val="00405F8D"/>
    <w:rsid w:val="00406B75"/>
    <w:rsid w:val="00406B81"/>
    <w:rsid w:val="004073F3"/>
    <w:rsid w:val="004079A4"/>
    <w:rsid w:val="00407A40"/>
    <w:rsid w:val="00407FF9"/>
    <w:rsid w:val="004102A2"/>
    <w:rsid w:val="00410579"/>
    <w:rsid w:val="004105DB"/>
    <w:rsid w:val="00411DE9"/>
    <w:rsid w:val="00412138"/>
    <w:rsid w:val="00412BAF"/>
    <w:rsid w:val="0041346E"/>
    <w:rsid w:val="00413489"/>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6DE3"/>
    <w:rsid w:val="0042728D"/>
    <w:rsid w:val="004277CF"/>
    <w:rsid w:val="00427FFA"/>
    <w:rsid w:val="00430080"/>
    <w:rsid w:val="004302EB"/>
    <w:rsid w:val="00430D3C"/>
    <w:rsid w:val="00431830"/>
    <w:rsid w:val="00431DD6"/>
    <w:rsid w:val="004322FC"/>
    <w:rsid w:val="00432343"/>
    <w:rsid w:val="00432517"/>
    <w:rsid w:val="0043285A"/>
    <w:rsid w:val="00432A7E"/>
    <w:rsid w:val="00432C62"/>
    <w:rsid w:val="00432D57"/>
    <w:rsid w:val="0043314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B28"/>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1B30"/>
    <w:rsid w:val="00482236"/>
    <w:rsid w:val="0048263D"/>
    <w:rsid w:val="00482B06"/>
    <w:rsid w:val="0048385F"/>
    <w:rsid w:val="00483B86"/>
    <w:rsid w:val="00483C46"/>
    <w:rsid w:val="00483CF6"/>
    <w:rsid w:val="00483E05"/>
    <w:rsid w:val="004845C1"/>
    <w:rsid w:val="0048493E"/>
    <w:rsid w:val="00484AB9"/>
    <w:rsid w:val="004852CF"/>
    <w:rsid w:val="0048547C"/>
    <w:rsid w:val="004854C9"/>
    <w:rsid w:val="004865CB"/>
    <w:rsid w:val="004865F6"/>
    <w:rsid w:val="00486E77"/>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C00"/>
    <w:rsid w:val="00492E39"/>
    <w:rsid w:val="004937DA"/>
    <w:rsid w:val="00493AAA"/>
    <w:rsid w:val="004943EA"/>
    <w:rsid w:val="00494C37"/>
    <w:rsid w:val="00495090"/>
    <w:rsid w:val="0049519B"/>
    <w:rsid w:val="004955F7"/>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206"/>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3C74"/>
    <w:rsid w:val="004B4139"/>
    <w:rsid w:val="004B4356"/>
    <w:rsid w:val="004B50D1"/>
    <w:rsid w:val="004B51C6"/>
    <w:rsid w:val="004B55C6"/>
    <w:rsid w:val="004B5819"/>
    <w:rsid w:val="004B5E5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52B8"/>
    <w:rsid w:val="004C6A32"/>
    <w:rsid w:val="004C71E6"/>
    <w:rsid w:val="004C72C7"/>
    <w:rsid w:val="004C7862"/>
    <w:rsid w:val="004C7A22"/>
    <w:rsid w:val="004C7AF0"/>
    <w:rsid w:val="004C7F5D"/>
    <w:rsid w:val="004D0378"/>
    <w:rsid w:val="004D05DF"/>
    <w:rsid w:val="004D1346"/>
    <w:rsid w:val="004D1474"/>
    <w:rsid w:val="004D187C"/>
    <w:rsid w:val="004D2348"/>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1B"/>
    <w:rsid w:val="004E1D25"/>
    <w:rsid w:val="004E24CC"/>
    <w:rsid w:val="004E2BE0"/>
    <w:rsid w:val="004E2E65"/>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1FE1"/>
    <w:rsid w:val="004F2600"/>
    <w:rsid w:val="004F2722"/>
    <w:rsid w:val="004F2825"/>
    <w:rsid w:val="004F29AD"/>
    <w:rsid w:val="004F3362"/>
    <w:rsid w:val="004F37F0"/>
    <w:rsid w:val="004F4207"/>
    <w:rsid w:val="004F4210"/>
    <w:rsid w:val="004F4B02"/>
    <w:rsid w:val="004F4D04"/>
    <w:rsid w:val="004F4FB8"/>
    <w:rsid w:val="004F5D10"/>
    <w:rsid w:val="004F5DC5"/>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5386"/>
    <w:rsid w:val="0050583D"/>
    <w:rsid w:val="00505D2D"/>
    <w:rsid w:val="005068E4"/>
    <w:rsid w:val="00506CAE"/>
    <w:rsid w:val="00507279"/>
    <w:rsid w:val="00507514"/>
    <w:rsid w:val="00507B00"/>
    <w:rsid w:val="00507B9C"/>
    <w:rsid w:val="0051139E"/>
    <w:rsid w:val="00511476"/>
    <w:rsid w:val="00511EB5"/>
    <w:rsid w:val="00512B93"/>
    <w:rsid w:val="00512F02"/>
    <w:rsid w:val="005137EF"/>
    <w:rsid w:val="00514F6B"/>
    <w:rsid w:val="00515269"/>
    <w:rsid w:val="00515608"/>
    <w:rsid w:val="00515646"/>
    <w:rsid w:val="00516203"/>
    <w:rsid w:val="00516442"/>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6EBD"/>
    <w:rsid w:val="005375C1"/>
    <w:rsid w:val="00537F2E"/>
    <w:rsid w:val="0054008E"/>
    <w:rsid w:val="00540AD9"/>
    <w:rsid w:val="00540E4D"/>
    <w:rsid w:val="0054188C"/>
    <w:rsid w:val="005427B8"/>
    <w:rsid w:val="00543144"/>
    <w:rsid w:val="00543BDB"/>
    <w:rsid w:val="00543E5A"/>
    <w:rsid w:val="0054477C"/>
    <w:rsid w:val="00544F7A"/>
    <w:rsid w:val="0054518D"/>
    <w:rsid w:val="00545421"/>
    <w:rsid w:val="00545B0C"/>
    <w:rsid w:val="00546005"/>
    <w:rsid w:val="0054607C"/>
    <w:rsid w:val="00546C85"/>
    <w:rsid w:val="0054738D"/>
    <w:rsid w:val="005474E1"/>
    <w:rsid w:val="00547903"/>
    <w:rsid w:val="00547B0A"/>
    <w:rsid w:val="00547B0B"/>
    <w:rsid w:val="00547B57"/>
    <w:rsid w:val="0055072E"/>
    <w:rsid w:val="00550C25"/>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432"/>
    <w:rsid w:val="00562C3D"/>
    <w:rsid w:val="005632E6"/>
    <w:rsid w:val="00563530"/>
    <w:rsid w:val="00563E46"/>
    <w:rsid w:val="00563ECF"/>
    <w:rsid w:val="00563F76"/>
    <w:rsid w:val="005648D7"/>
    <w:rsid w:val="00564C6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B81"/>
    <w:rsid w:val="00586D95"/>
    <w:rsid w:val="00586DF3"/>
    <w:rsid w:val="00586EDD"/>
    <w:rsid w:val="005873E4"/>
    <w:rsid w:val="0058777F"/>
    <w:rsid w:val="00587F45"/>
    <w:rsid w:val="00590180"/>
    <w:rsid w:val="00590253"/>
    <w:rsid w:val="00590442"/>
    <w:rsid w:val="00592161"/>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4ED9"/>
    <w:rsid w:val="005A5109"/>
    <w:rsid w:val="005A5467"/>
    <w:rsid w:val="005A5966"/>
    <w:rsid w:val="005A59CF"/>
    <w:rsid w:val="005A5CD5"/>
    <w:rsid w:val="005A5E67"/>
    <w:rsid w:val="005A64D0"/>
    <w:rsid w:val="005A793C"/>
    <w:rsid w:val="005A7960"/>
    <w:rsid w:val="005A7A96"/>
    <w:rsid w:val="005B047C"/>
    <w:rsid w:val="005B0567"/>
    <w:rsid w:val="005B21F0"/>
    <w:rsid w:val="005B2846"/>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1017"/>
    <w:rsid w:val="005C1723"/>
    <w:rsid w:val="005C17BB"/>
    <w:rsid w:val="005C1907"/>
    <w:rsid w:val="005C222C"/>
    <w:rsid w:val="005C23A2"/>
    <w:rsid w:val="005C2561"/>
    <w:rsid w:val="005C296A"/>
    <w:rsid w:val="005C2BB3"/>
    <w:rsid w:val="005C30D3"/>
    <w:rsid w:val="005C382B"/>
    <w:rsid w:val="005C3FD8"/>
    <w:rsid w:val="005C3FF1"/>
    <w:rsid w:val="005C46CB"/>
    <w:rsid w:val="005C4CA8"/>
    <w:rsid w:val="005C5021"/>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828"/>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6A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CCC"/>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08F"/>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2CD"/>
    <w:rsid w:val="00647ABC"/>
    <w:rsid w:val="0065058F"/>
    <w:rsid w:val="00650B89"/>
    <w:rsid w:val="00650F37"/>
    <w:rsid w:val="0065104B"/>
    <w:rsid w:val="00651DBD"/>
    <w:rsid w:val="006523AD"/>
    <w:rsid w:val="006523C6"/>
    <w:rsid w:val="0065251A"/>
    <w:rsid w:val="00652940"/>
    <w:rsid w:val="00652BD8"/>
    <w:rsid w:val="00652D90"/>
    <w:rsid w:val="00654128"/>
    <w:rsid w:val="006549B1"/>
    <w:rsid w:val="0065508B"/>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9C"/>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4EF6"/>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4"/>
    <w:rsid w:val="006A47FE"/>
    <w:rsid w:val="006A481B"/>
    <w:rsid w:val="006A4B02"/>
    <w:rsid w:val="006A4FF4"/>
    <w:rsid w:val="006A50B5"/>
    <w:rsid w:val="006A549A"/>
    <w:rsid w:val="006A5CBD"/>
    <w:rsid w:val="006A616F"/>
    <w:rsid w:val="006A6470"/>
    <w:rsid w:val="006A64C8"/>
    <w:rsid w:val="006A79F6"/>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347"/>
    <w:rsid w:val="006C0A93"/>
    <w:rsid w:val="006C0B36"/>
    <w:rsid w:val="006C1228"/>
    <w:rsid w:val="006C18B7"/>
    <w:rsid w:val="006C19D1"/>
    <w:rsid w:val="006C27A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1A7B"/>
    <w:rsid w:val="006D2020"/>
    <w:rsid w:val="006D32D6"/>
    <w:rsid w:val="006D3D0F"/>
    <w:rsid w:val="006D4101"/>
    <w:rsid w:val="006D4A70"/>
    <w:rsid w:val="006D5170"/>
    <w:rsid w:val="006D54CC"/>
    <w:rsid w:val="006D5D38"/>
    <w:rsid w:val="006D7134"/>
    <w:rsid w:val="006D765E"/>
    <w:rsid w:val="006D7813"/>
    <w:rsid w:val="006E1113"/>
    <w:rsid w:val="006E1B28"/>
    <w:rsid w:val="006E249F"/>
    <w:rsid w:val="006E27C5"/>
    <w:rsid w:val="006E2C7A"/>
    <w:rsid w:val="006E3112"/>
    <w:rsid w:val="006E42B8"/>
    <w:rsid w:val="006E4356"/>
    <w:rsid w:val="006E46D0"/>
    <w:rsid w:val="006E491B"/>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6C5"/>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5C3"/>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3D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5FC0"/>
    <w:rsid w:val="0072664F"/>
    <w:rsid w:val="00726CE3"/>
    <w:rsid w:val="00726E61"/>
    <w:rsid w:val="00727071"/>
    <w:rsid w:val="00727242"/>
    <w:rsid w:val="007302F2"/>
    <w:rsid w:val="00730A49"/>
    <w:rsid w:val="00731475"/>
    <w:rsid w:val="00731D02"/>
    <w:rsid w:val="00732837"/>
    <w:rsid w:val="00732D90"/>
    <w:rsid w:val="0073334B"/>
    <w:rsid w:val="00733723"/>
    <w:rsid w:val="0073383C"/>
    <w:rsid w:val="0073413D"/>
    <w:rsid w:val="0073419D"/>
    <w:rsid w:val="007357FB"/>
    <w:rsid w:val="00737096"/>
    <w:rsid w:val="0073715A"/>
    <w:rsid w:val="0074077F"/>
    <w:rsid w:val="00740E45"/>
    <w:rsid w:val="00740E7B"/>
    <w:rsid w:val="0074249E"/>
    <w:rsid w:val="0074296A"/>
    <w:rsid w:val="00742990"/>
    <w:rsid w:val="00742F1A"/>
    <w:rsid w:val="0074320E"/>
    <w:rsid w:val="007444C0"/>
    <w:rsid w:val="0074457E"/>
    <w:rsid w:val="00744B8C"/>
    <w:rsid w:val="007452CF"/>
    <w:rsid w:val="00745894"/>
    <w:rsid w:val="007468F3"/>
    <w:rsid w:val="0074697D"/>
    <w:rsid w:val="00746C63"/>
    <w:rsid w:val="00746F72"/>
    <w:rsid w:val="007500E4"/>
    <w:rsid w:val="00750434"/>
    <w:rsid w:val="00751CF0"/>
    <w:rsid w:val="00751D05"/>
    <w:rsid w:val="00752B1A"/>
    <w:rsid w:val="00753A6B"/>
    <w:rsid w:val="00753B19"/>
    <w:rsid w:val="00754D7D"/>
    <w:rsid w:val="007550B4"/>
    <w:rsid w:val="007550B8"/>
    <w:rsid w:val="00755C11"/>
    <w:rsid w:val="00755D21"/>
    <w:rsid w:val="00756013"/>
    <w:rsid w:val="00756027"/>
    <w:rsid w:val="00756EDA"/>
    <w:rsid w:val="00757096"/>
    <w:rsid w:val="0075711F"/>
    <w:rsid w:val="00757F1E"/>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689"/>
    <w:rsid w:val="007719DB"/>
    <w:rsid w:val="00771BBF"/>
    <w:rsid w:val="007724E6"/>
    <w:rsid w:val="00772D93"/>
    <w:rsid w:val="00772F91"/>
    <w:rsid w:val="0077333A"/>
    <w:rsid w:val="0077344F"/>
    <w:rsid w:val="00773968"/>
    <w:rsid w:val="007739A8"/>
    <w:rsid w:val="00773AFC"/>
    <w:rsid w:val="00773F65"/>
    <w:rsid w:val="00774004"/>
    <w:rsid w:val="0077434B"/>
    <w:rsid w:val="007744E9"/>
    <w:rsid w:val="007747B8"/>
    <w:rsid w:val="00774924"/>
    <w:rsid w:val="007754EA"/>
    <w:rsid w:val="00776855"/>
    <w:rsid w:val="007771C3"/>
    <w:rsid w:val="00777E61"/>
    <w:rsid w:val="00780428"/>
    <w:rsid w:val="0078063F"/>
    <w:rsid w:val="007810DC"/>
    <w:rsid w:val="007810F2"/>
    <w:rsid w:val="00781352"/>
    <w:rsid w:val="00781653"/>
    <w:rsid w:val="00782404"/>
    <w:rsid w:val="007824A3"/>
    <w:rsid w:val="00782606"/>
    <w:rsid w:val="00782785"/>
    <w:rsid w:val="00783033"/>
    <w:rsid w:val="0078309C"/>
    <w:rsid w:val="0078360F"/>
    <w:rsid w:val="0078443B"/>
    <w:rsid w:val="007846E1"/>
    <w:rsid w:val="007846F4"/>
    <w:rsid w:val="00784FE7"/>
    <w:rsid w:val="007850F8"/>
    <w:rsid w:val="00785429"/>
    <w:rsid w:val="0078574E"/>
    <w:rsid w:val="00786A8F"/>
    <w:rsid w:val="00790FEC"/>
    <w:rsid w:val="007910CE"/>
    <w:rsid w:val="00791133"/>
    <w:rsid w:val="00791761"/>
    <w:rsid w:val="00791CC0"/>
    <w:rsid w:val="00791DAA"/>
    <w:rsid w:val="0079227B"/>
    <w:rsid w:val="00792480"/>
    <w:rsid w:val="0079338E"/>
    <w:rsid w:val="007933AC"/>
    <w:rsid w:val="007933BE"/>
    <w:rsid w:val="007941DA"/>
    <w:rsid w:val="007942A6"/>
    <w:rsid w:val="007942B9"/>
    <w:rsid w:val="0079485D"/>
    <w:rsid w:val="00794E0C"/>
    <w:rsid w:val="00795163"/>
    <w:rsid w:val="007951C7"/>
    <w:rsid w:val="00795625"/>
    <w:rsid w:val="0079596F"/>
    <w:rsid w:val="00796590"/>
    <w:rsid w:val="00796FBD"/>
    <w:rsid w:val="0079758B"/>
    <w:rsid w:val="007975A0"/>
    <w:rsid w:val="00797BC0"/>
    <w:rsid w:val="007A065B"/>
    <w:rsid w:val="007A0BD1"/>
    <w:rsid w:val="007A0DB3"/>
    <w:rsid w:val="007A175F"/>
    <w:rsid w:val="007A1DAB"/>
    <w:rsid w:val="007A2462"/>
    <w:rsid w:val="007A2464"/>
    <w:rsid w:val="007A26DB"/>
    <w:rsid w:val="007A2782"/>
    <w:rsid w:val="007A2850"/>
    <w:rsid w:val="007A323B"/>
    <w:rsid w:val="007A393B"/>
    <w:rsid w:val="007A4322"/>
    <w:rsid w:val="007A4535"/>
    <w:rsid w:val="007A456B"/>
    <w:rsid w:val="007A4A27"/>
    <w:rsid w:val="007A5490"/>
    <w:rsid w:val="007A5574"/>
    <w:rsid w:val="007A5B0B"/>
    <w:rsid w:val="007A5E77"/>
    <w:rsid w:val="007A65C7"/>
    <w:rsid w:val="007A66A5"/>
    <w:rsid w:val="007A6809"/>
    <w:rsid w:val="007A72FB"/>
    <w:rsid w:val="007A7B89"/>
    <w:rsid w:val="007B050D"/>
    <w:rsid w:val="007B0C6C"/>
    <w:rsid w:val="007B0D5D"/>
    <w:rsid w:val="007B0DE3"/>
    <w:rsid w:val="007B1635"/>
    <w:rsid w:val="007B1E57"/>
    <w:rsid w:val="007B2724"/>
    <w:rsid w:val="007B27D2"/>
    <w:rsid w:val="007B296A"/>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00C"/>
    <w:rsid w:val="007C6E00"/>
    <w:rsid w:val="007C72A8"/>
    <w:rsid w:val="007D09AF"/>
    <w:rsid w:val="007D16F6"/>
    <w:rsid w:val="007D192A"/>
    <w:rsid w:val="007D1D86"/>
    <w:rsid w:val="007D2289"/>
    <w:rsid w:val="007D2899"/>
    <w:rsid w:val="007D4554"/>
    <w:rsid w:val="007D4584"/>
    <w:rsid w:val="007D47CD"/>
    <w:rsid w:val="007D4D07"/>
    <w:rsid w:val="007D5806"/>
    <w:rsid w:val="007D60A9"/>
    <w:rsid w:val="007D6988"/>
    <w:rsid w:val="007D6CE6"/>
    <w:rsid w:val="007D759E"/>
    <w:rsid w:val="007D7E70"/>
    <w:rsid w:val="007E0DF7"/>
    <w:rsid w:val="007E1193"/>
    <w:rsid w:val="007E1275"/>
    <w:rsid w:val="007E1E78"/>
    <w:rsid w:val="007E211F"/>
    <w:rsid w:val="007E2178"/>
    <w:rsid w:val="007E2DC3"/>
    <w:rsid w:val="007E2EC2"/>
    <w:rsid w:val="007E32D9"/>
    <w:rsid w:val="007E3565"/>
    <w:rsid w:val="007E3A4D"/>
    <w:rsid w:val="007E3A90"/>
    <w:rsid w:val="007E40AE"/>
    <w:rsid w:val="007E4A76"/>
    <w:rsid w:val="007E4E9E"/>
    <w:rsid w:val="007E4FED"/>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243"/>
    <w:rsid w:val="007F247A"/>
    <w:rsid w:val="007F275A"/>
    <w:rsid w:val="007F2B2B"/>
    <w:rsid w:val="007F2B6A"/>
    <w:rsid w:val="007F3094"/>
    <w:rsid w:val="007F321F"/>
    <w:rsid w:val="007F406C"/>
    <w:rsid w:val="007F4C7A"/>
    <w:rsid w:val="007F51CC"/>
    <w:rsid w:val="007F5B69"/>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6FBE"/>
    <w:rsid w:val="008070E2"/>
    <w:rsid w:val="0080737A"/>
    <w:rsid w:val="00807535"/>
    <w:rsid w:val="008075BF"/>
    <w:rsid w:val="008077EA"/>
    <w:rsid w:val="008079BC"/>
    <w:rsid w:val="00807B5C"/>
    <w:rsid w:val="00807FB7"/>
    <w:rsid w:val="00810344"/>
    <w:rsid w:val="0081161D"/>
    <w:rsid w:val="008116BD"/>
    <w:rsid w:val="008125C7"/>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BA1"/>
    <w:rsid w:val="00816C32"/>
    <w:rsid w:val="00817528"/>
    <w:rsid w:val="00817E33"/>
    <w:rsid w:val="0082098A"/>
    <w:rsid w:val="008209B8"/>
    <w:rsid w:val="00821285"/>
    <w:rsid w:val="00821480"/>
    <w:rsid w:val="0082276A"/>
    <w:rsid w:val="00822D64"/>
    <w:rsid w:val="008238B8"/>
    <w:rsid w:val="0082472F"/>
    <w:rsid w:val="00824D2A"/>
    <w:rsid w:val="008272EC"/>
    <w:rsid w:val="00827B7C"/>
    <w:rsid w:val="00827F68"/>
    <w:rsid w:val="008302A1"/>
    <w:rsid w:val="0083059D"/>
    <w:rsid w:val="00830633"/>
    <w:rsid w:val="0083089C"/>
    <w:rsid w:val="008310D9"/>
    <w:rsid w:val="00831375"/>
    <w:rsid w:val="00831816"/>
    <w:rsid w:val="008318A3"/>
    <w:rsid w:val="00831C53"/>
    <w:rsid w:val="0083247C"/>
    <w:rsid w:val="00832A8E"/>
    <w:rsid w:val="00833022"/>
    <w:rsid w:val="00833222"/>
    <w:rsid w:val="0083418A"/>
    <w:rsid w:val="00834639"/>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24B3"/>
    <w:rsid w:val="0084318E"/>
    <w:rsid w:val="0084342E"/>
    <w:rsid w:val="008436A4"/>
    <w:rsid w:val="008436D5"/>
    <w:rsid w:val="0084379E"/>
    <w:rsid w:val="00843EF9"/>
    <w:rsid w:val="00844161"/>
    <w:rsid w:val="00844D48"/>
    <w:rsid w:val="00845A0A"/>
    <w:rsid w:val="00846038"/>
    <w:rsid w:val="008461DE"/>
    <w:rsid w:val="00846244"/>
    <w:rsid w:val="0084627F"/>
    <w:rsid w:val="0084692B"/>
    <w:rsid w:val="00846A26"/>
    <w:rsid w:val="008475CA"/>
    <w:rsid w:val="00847D73"/>
    <w:rsid w:val="008503DA"/>
    <w:rsid w:val="008505D7"/>
    <w:rsid w:val="008509C9"/>
    <w:rsid w:val="008523CC"/>
    <w:rsid w:val="00852E67"/>
    <w:rsid w:val="00853B27"/>
    <w:rsid w:val="0085400A"/>
    <w:rsid w:val="0085443D"/>
    <w:rsid w:val="00854ADF"/>
    <w:rsid w:val="00854E3F"/>
    <w:rsid w:val="0085554B"/>
    <w:rsid w:val="00855B90"/>
    <w:rsid w:val="0085616A"/>
    <w:rsid w:val="008562A0"/>
    <w:rsid w:val="0085660A"/>
    <w:rsid w:val="008567F9"/>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D07"/>
    <w:rsid w:val="008740BB"/>
    <w:rsid w:val="00874DFD"/>
    <w:rsid w:val="00875013"/>
    <w:rsid w:val="0087541C"/>
    <w:rsid w:val="00875E39"/>
    <w:rsid w:val="00875ECC"/>
    <w:rsid w:val="008760A4"/>
    <w:rsid w:val="008772BE"/>
    <w:rsid w:val="00877518"/>
    <w:rsid w:val="00877B01"/>
    <w:rsid w:val="00877C6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270"/>
    <w:rsid w:val="0089367F"/>
    <w:rsid w:val="008939BE"/>
    <w:rsid w:val="0089466D"/>
    <w:rsid w:val="00894B1A"/>
    <w:rsid w:val="008951A8"/>
    <w:rsid w:val="00895737"/>
    <w:rsid w:val="0089624D"/>
    <w:rsid w:val="008968D7"/>
    <w:rsid w:val="00896DB2"/>
    <w:rsid w:val="00896EB8"/>
    <w:rsid w:val="00897A69"/>
    <w:rsid w:val="00897F83"/>
    <w:rsid w:val="008A0E21"/>
    <w:rsid w:val="008A19FC"/>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2F7E"/>
    <w:rsid w:val="008B302F"/>
    <w:rsid w:val="008B356B"/>
    <w:rsid w:val="008B3770"/>
    <w:rsid w:val="008B3906"/>
    <w:rsid w:val="008B3ED7"/>
    <w:rsid w:val="008B45BC"/>
    <w:rsid w:val="008B463F"/>
    <w:rsid w:val="008B49AE"/>
    <w:rsid w:val="008B4A4A"/>
    <w:rsid w:val="008B4E9B"/>
    <w:rsid w:val="008B4FE8"/>
    <w:rsid w:val="008B5836"/>
    <w:rsid w:val="008B5ED3"/>
    <w:rsid w:val="008B64A6"/>
    <w:rsid w:val="008B64B0"/>
    <w:rsid w:val="008B6932"/>
    <w:rsid w:val="008B6C12"/>
    <w:rsid w:val="008B6F0E"/>
    <w:rsid w:val="008B75C3"/>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3567"/>
    <w:rsid w:val="008D3952"/>
    <w:rsid w:val="008D3AAB"/>
    <w:rsid w:val="008D3BDE"/>
    <w:rsid w:val="008D3F73"/>
    <w:rsid w:val="008D59F7"/>
    <w:rsid w:val="008D5A2D"/>
    <w:rsid w:val="008D5B0A"/>
    <w:rsid w:val="008D6BDB"/>
    <w:rsid w:val="008D7109"/>
    <w:rsid w:val="008D748B"/>
    <w:rsid w:val="008D77D6"/>
    <w:rsid w:val="008D7D34"/>
    <w:rsid w:val="008D7E55"/>
    <w:rsid w:val="008E02A9"/>
    <w:rsid w:val="008E0739"/>
    <w:rsid w:val="008E0B1E"/>
    <w:rsid w:val="008E1130"/>
    <w:rsid w:val="008E2080"/>
    <w:rsid w:val="008E23B5"/>
    <w:rsid w:val="008E2C15"/>
    <w:rsid w:val="008E2C29"/>
    <w:rsid w:val="008E33EB"/>
    <w:rsid w:val="008E3533"/>
    <w:rsid w:val="008E4365"/>
    <w:rsid w:val="008E44C5"/>
    <w:rsid w:val="008E4FB2"/>
    <w:rsid w:val="008E51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7FBA"/>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AEE"/>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49A"/>
    <w:rsid w:val="009136DA"/>
    <w:rsid w:val="00913FF8"/>
    <w:rsid w:val="0091417E"/>
    <w:rsid w:val="00914799"/>
    <w:rsid w:val="009148B8"/>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28"/>
    <w:rsid w:val="00922DE5"/>
    <w:rsid w:val="00922F0C"/>
    <w:rsid w:val="009232D9"/>
    <w:rsid w:val="00923911"/>
    <w:rsid w:val="00923B7C"/>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1C33"/>
    <w:rsid w:val="00932891"/>
    <w:rsid w:val="00932D51"/>
    <w:rsid w:val="009339EC"/>
    <w:rsid w:val="009340B4"/>
    <w:rsid w:val="00934277"/>
    <w:rsid w:val="009343B2"/>
    <w:rsid w:val="00934C0E"/>
    <w:rsid w:val="00934D40"/>
    <w:rsid w:val="00935285"/>
    <w:rsid w:val="009355B9"/>
    <w:rsid w:val="00935FC1"/>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22B"/>
    <w:rsid w:val="00945ECD"/>
    <w:rsid w:val="0094654A"/>
    <w:rsid w:val="00946558"/>
    <w:rsid w:val="00946572"/>
    <w:rsid w:val="00946B58"/>
    <w:rsid w:val="00946BBA"/>
    <w:rsid w:val="009470D1"/>
    <w:rsid w:val="00947582"/>
    <w:rsid w:val="00947CE3"/>
    <w:rsid w:val="00947FA3"/>
    <w:rsid w:val="00950649"/>
    <w:rsid w:val="00950813"/>
    <w:rsid w:val="0095192B"/>
    <w:rsid w:val="0095240E"/>
    <w:rsid w:val="009526C6"/>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A95"/>
    <w:rsid w:val="00960905"/>
    <w:rsid w:val="00960B59"/>
    <w:rsid w:val="00960BC2"/>
    <w:rsid w:val="00960C08"/>
    <w:rsid w:val="00960E3B"/>
    <w:rsid w:val="009614BD"/>
    <w:rsid w:val="009619C2"/>
    <w:rsid w:val="00961EBB"/>
    <w:rsid w:val="00961FE2"/>
    <w:rsid w:val="00962597"/>
    <w:rsid w:val="0096288D"/>
    <w:rsid w:val="00962D9B"/>
    <w:rsid w:val="0096407B"/>
    <w:rsid w:val="00964226"/>
    <w:rsid w:val="00964255"/>
    <w:rsid w:val="00964583"/>
    <w:rsid w:val="00964D68"/>
    <w:rsid w:val="00965077"/>
    <w:rsid w:val="009657FE"/>
    <w:rsid w:val="00965DC9"/>
    <w:rsid w:val="0096751F"/>
    <w:rsid w:val="0096766A"/>
    <w:rsid w:val="00970028"/>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1B95"/>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293"/>
    <w:rsid w:val="009A2612"/>
    <w:rsid w:val="009A3970"/>
    <w:rsid w:val="009A3C45"/>
    <w:rsid w:val="009A41BB"/>
    <w:rsid w:val="009A4651"/>
    <w:rsid w:val="009A49A2"/>
    <w:rsid w:val="009A4D02"/>
    <w:rsid w:val="009A59F3"/>
    <w:rsid w:val="009A5FD3"/>
    <w:rsid w:val="009A6D4C"/>
    <w:rsid w:val="009A7566"/>
    <w:rsid w:val="009A7E3C"/>
    <w:rsid w:val="009B0165"/>
    <w:rsid w:val="009B1475"/>
    <w:rsid w:val="009B15FC"/>
    <w:rsid w:val="009B17EC"/>
    <w:rsid w:val="009B23DD"/>
    <w:rsid w:val="009B26F6"/>
    <w:rsid w:val="009B27D6"/>
    <w:rsid w:val="009B2851"/>
    <w:rsid w:val="009B2DD8"/>
    <w:rsid w:val="009B3CD8"/>
    <w:rsid w:val="009B45EB"/>
    <w:rsid w:val="009B4881"/>
    <w:rsid w:val="009B4B74"/>
    <w:rsid w:val="009B5880"/>
    <w:rsid w:val="009B5ACD"/>
    <w:rsid w:val="009B5BF1"/>
    <w:rsid w:val="009B6246"/>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C92"/>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4E19"/>
    <w:rsid w:val="009D518E"/>
    <w:rsid w:val="009D53AC"/>
    <w:rsid w:val="009D5745"/>
    <w:rsid w:val="009D5DA2"/>
    <w:rsid w:val="009D7624"/>
    <w:rsid w:val="009D780D"/>
    <w:rsid w:val="009D7E52"/>
    <w:rsid w:val="009D7F29"/>
    <w:rsid w:val="009E0166"/>
    <w:rsid w:val="009E01B6"/>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7216"/>
    <w:rsid w:val="009F7497"/>
    <w:rsid w:val="00A00386"/>
    <w:rsid w:val="00A00DD6"/>
    <w:rsid w:val="00A00E73"/>
    <w:rsid w:val="00A00ED0"/>
    <w:rsid w:val="00A01008"/>
    <w:rsid w:val="00A0124B"/>
    <w:rsid w:val="00A020D5"/>
    <w:rsid w:val="00A027AF"/>
    <w:rsid w:val="00A02815"/>
    <w:rsid w:val="00A033AD"/>
    <w:rsid w:val="00A0365B"/>
    <w:rsid w:val="00A036D6"/>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257"/>
    <w:rsid w:val="00A13382"/>
    <w:rsid w:val="00A13408"/>
    <w:rsid w:val="00A13D4D"/>
    <w:rsid w:val="00A14118"/>
    <w:rsid w:val="00A14E3E"/>
    <w:rsid w:val="00A15094"/>
    <w:rsid w:val="00A15658"/>
    <w:rsid w:val="00A157A4"/>
    <w:rsid w:val="00A159D7"/>
    <w:rsid w:val="00A15A19"/>
    <w:rsid w:val="00A15FFD"/>
    <w:rsid w:val="00A16631"/>
    <w:rsid w:val="00A16647"/>
    <w:rsid w:val="00A16AC2"/>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29C"/>
    <w:rsid w:val="00A23444"/>
    <w:rsid w:val="00A235BD"/>
    <w:rsid w:val="00A23D27"/>
    <w:rsid w:val="00A23D86"/>
    <w:rsid w:val="00A23EB5"/>
    <w:rsid w:val="00A24673"/>
    <w:rsid w:val="00A24918"/>
    <w:rsid w:val="00A24A88"/>
    <w:rsid w:val="00A25CB6"/>
    <w:rsid w:val="00A262F3"/>
    <w:rsid w:val="00A26D09"/>
    <w:rsid w:val="00A2732D"/>
    <w:rsid w:val="00A27820"/>
    <w:rsid w:val="00A27887"/>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64D0"/>
    <w:rsid w:val="00A364F4"/>
    <w:rsid w:val="00A36F93"/>
    <w:rsid w:val="00A36FC4"/>
    <w:rsid w:val="00A40206"/>
    <w:rsid w:val="00A40958"/>
    <w:rsid w:val="00A40A6D"/>
    <w:rsid w:val="00A41640"/>
    <w:rsid w:val="00A41D8A"/>
    <w:rsid w:val="00A429AA"/>
    <w:rsid w:val="00A42C0B"/>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0B4C"/>
    <w:rsid w:val="00A50CEE"/>
    <w:rsid w:val="00A51BFF"/>
    <w:rsid w:val="00A51D95"/>
    <w:rsid w:val="00A51E1F"/>
    <w:rsid w:val="00A520E1"/>
    <w:rsid w:val="00A5226F"/>
    <w:rsid w:val="00A52C37"/>
    <w:rsid w:val="00A52DD9"/>
    <w:rsid w:val="00A52ED7"/>
    <w:rsid w:val="00A542C8"/>
    <w:rsid w:val="00A54576"/>
    <w:rsid w:val="00A5554F"/>
    <w:rsid w:val="00A55C0E"/>
    <w:rsid w:val="00A55CB5"/>
    <w:rsid w:val="00A55E46"/>
    <w:rsid w:val="00A55E59"/>
    <w:rsid w:val="00A55E60"/>
    <w:rsid w:val="00A5606A"/>
    <w:rsid w:val="00A562F5"/>
    <w:rsid w:val="00A56A0E"/>
    <w:rsid w:val="00A56DCF"/>
    <w:rsid w:val="00A57C83"/>
    <w:rsid w:val="00A57D58"/>
    <w:rsid w:val="00A60442"/>
    <w:rsid w:val="00A605DA"/>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6CE"/>
    <w:rsid w:val="00A70A64"/>
    <w:rsid w:val="00A70A7B"/>
    <w:rsid w:val="00A71E21"/>
    <w:rsid w:val="00A722EA"/>
    <w:rsid w:val="00A728D6"/>
    <w:rsid w:val="00A7299B"/>
    <w:rsid w:val="00A7399B"/>
    <w:rsid w:val="00A73A33"/>
    <w:rsid w:val="00A73ADE"/>
    <w:rsid w:val="00A73CC6"/>
    <w:rsid w:val="00A745F2"/>
    <w:rsid w:val="00A74703"/>
    <w:rsid w:val="00A74ECA"/>
    <w:rsid w:val="00A74F01"/>
    <w:rsid w:val="00A7605F"/>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3C2"/>
    <w:rsid w:val="00A83401"/>
    <w:rsid w:val="00A834BF"/>
    <w:rsid w:val="00A83663"/>
    <w:rsid w:val="00A86144"/>
    <w:rsid w:val="00A8696F"/>
    <w:rsid w:val="00A8711A"/>
    <w:rsid w:val="00A8769B"/>
    <w:rsid w:val="00A87954"/>
    <w:rsid w:val="00A903C8"/>
    <w:rsid w:val="00A91634"/>
    <w:rsid w:val="00A91C25"/>
    <w:rsid w:val="00A91D58"/>
    <w:rsid w:val="00A924E5"/>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4D8"/>
    <w:rsid w:val="00AA145D"/>
    <w:rsid w:val="00AA1A94"/>
    <w:rsid w:val="00AA1CC0"/>
    <w:rsid w:val="00AA1ED0"/>
    <w:rsid w:val="00AA2A27"/>
    <w:rsid w:val="00AA3476"/>
    <w:rsid w:val="00AA37E1"/>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1DF"/>
    <w:rsid w:val="00AB34AD"/>
    <w:rsid w:val="00AB3909"/>
    <w:rsid w:val="00AB393C"/>
    <w:rsid w:val="00AB4143"/>
    <w:rsid w:val="00AB488E"/>
    <w:rsid w:val="00AB4A58"/>
    <w:rsid w:val="00AB4D6C"/>
    <w:rsid w:val="00AB51DD"/>
    <w:rsid w:val="00AB58A4"/>
    <w:rsid w:val="00AB5A32"/>
    <w:rsid w:val="00AB617A"/>
    <w:rsid w:val="00AB6814"/>
    <w:rsid w:val="00AB6943"/>
    <w:rsid w:val="00AB6DFE"/>
    <w:rsid w:val="00AB7883"/>
    <w:rsid w:val="00AC01A2"/>
    <w:rsid w:val="00AC161C"/>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05"/>
    <w:rsid w:val="00AC7471"/>
    <w:rsid w:val="00AC7521"/>
    <w:rsid w:val="00AC7580"/>
    <w:rsid w:val="00AC7E61"/>
    <w:rsid w:val="00AC7F54"/>
    <w:rsid w:val="00AD032F"/>
    <w:rsid w:val="00AD04B4"/>
    <w:rsid w:val="00AD0A1A"/>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479"/>
    <w:rsid w:val="00AE0CAE"/>
    <w:rsid w:val="00AE0D65"/>
    <w:rsid w:val="00AE0EDD"/>
    <w:rsid w:val="00AE11A3"/>
    <w:rsid w:val="00AE14D5"/>
    <w:rsid w:val="00AE16A0"/>
    <w:rsid w:val="00AE18D3"/>
    <w:rsid w:val="00AE193F"/>
    <w:rsid w:val="00AE1BFE"/>
    <w:rsid w:val="00AE1ECE"/>
    <w:rsid w:val="00AE28E9"/>
    <w:rsid w:val="00AE2AED"/>
    <w:rsid w:val="00AE2DBB"/>
    <w:rsid w:val="00AE3305"/>
    <w:rsid w:val="00AE3816"/>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251A"/>
    <w:rsid w:val="00AF2A89"/>
    <w:rsid w:val="00AF37CB"/>
    <w:rsid w:val="00AF3988"/>
    <w:rsid w:val="00AF4983"/>
    <w:rsid w:val="00AF4EB8"/>
    <w:rsid w:val="00AF5455"/>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4D9"/>
    <w:rsid w:val="00B048D4"/>
    <w:rsid w:val="00B04EC5"/>
    <w:rsid w:val="00B05290"/>
    <w:rsid w:val="00B05458"/>
    <w:rsid w:val="00B05B45"/>
    <w:rsid w:val="00B05D0D"/>
    <w:rsid w:val="00B0637D"/>
    <w:rsid w:val="00B064CA"/>
    <w:rsid w:val="00B06B40"/>
    <w:rsid w:val="00B07386"/>
    <w:rsid w:val="00B0757A"/>
    <w:rsid w:val="00B075C2"/>
    <w:rsid w:val="00B07D3B"/>
    <w:rsid w:val="00B10062"/>
    <w:rsid w:val="00B10832"/>
    <w:rsid w:val="00B10ABD"/>
    <w:rsid w:val="00B121C9"/>
    <w:rsid w:val="00B128D7"/>
    <w:rsid w:val="00B12B67"/>
    <w:rsid w:val="00B12D6A"/>
    <w:rsid w:val="00B13D1E"/>
    <w:rsid w:val="00B14639"/>
    <w:rsid w:val="00B14745"/>
    <w:rsid w:val="00B153E3"/>
    <w:rsid w:val="00B157E5"/>
    <w:rsid w:val="00B1623F"/>
    <w:rsid w:val="00B162B7"/>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4EC4"/>
    <w:rsid w:val="00B352AE"/>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307"/>
    <w:rsid w:val="00B4741F"/>
    <w:rsid w:val="00B47A0E"/>
    <w:rsid w:val="00B503C1"/>
    <w:rsid w:val="00B50940"/>
    <w:rsid w:val="00B509FF"/>
    <w:rsid w:val="00B517A3"/>
    <w:rsid w:val="00B5194E"/>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57D47"/>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50F9"/>
    <w:rsid w:val="00B755FD"/>
    <w:rsid w:val="00B7658D"/>
    <w:rsid w:val="00B766C5"/>
    <w:rsid w:val="00B76F26"/>
    <w:rsid w:val="00B77365"/>
    <w:rsid w:val="00B778AA"/>
    <w:rsid w:val="00B77CB7"/>
    <w:rsid w:val="00B802EF"/>
    <w:rsid w:val="00B806A3"/>
    <w:rsid w:val="00B807B0"/>
    <w:rsid w:val="00B814E8"/>
    <w:rsid w:val="00B81794"/>
    <w:rsid w:val="00B827D1"/>
    <w:rsid w:val="00B82E89"/>
    <w:rsid w:val="00B82F31"/>
    <w:rsid w:val="00B83AE9"/>
    <w:rsid w:val="00B84406"/>
    <w:rsid w:val="00B84464"/>
    <w:rsid w:val="00B8482D"/>
    <w:rsid w:val="00B8490A"/>
    <w:rsid w:val="00B84AB6"/>
    <w:rsid w:val="00B84DBA"/>
    <w:rsid w:val="00B852B5"/>
    <w:rsid w:val="00B8623B"/>
    <w:rsid w:val="00B86269"/>
    <w:rsid w:val="00B872BE"/>
    <w:rsid w:val="00B877AA"/>
    <w:rsid w:val="00B905F0"/>
    <w:rsid w:val="00B90722"/>
    <w:rsid w:val="00B90B7A"/>
    <w:rsid w:val="00B9125A"/>
    <w:rsid w:val="00B920BB"/>
    <w:rsid w:val="00B92511"/>
    <w:rsid w:val="00B92633"/>
    <w:rsid w:val="00B929C2"/>
    <w:rsid w:val="00B92B00"/>
    <w:rsid w:val="00B92BCC"/>
    <w:rsid w:val="00B92BD1"/>
    <w:rsid w:val="00B93286"/>
    <w:rsid w:val="00B934CD"/>
    <w:rsid w:val="00B935A4"/>
    <w:rsid w:val="00B93D6F"/>
    <w:rsid w:val="00B93E60"/>
    <w:rsid w:val="00B94097"/>
    <w:rsid w:val="00B947A2"/>
    <w:rsid w:val="00B94B09"/>
    <w:rsid w:val="00B94DD0"/>
    <w:rsid w:val="00B95415"/>
    <w:rsid w:val="00B955C3"/>
    <w:rsid w:val="00B9579A"/>
    <w:rsid w:val="00B958FF"/>
    <w:rsid w:val="00B9657C"/>
    <w:rsid w:val="00B96992"/>
    <w:rsid w:val="00B9788E"/>
    <w:rsid w:val="00B97B6E"/>
    <w:rsid w:val="00B97DB5"/>
    <w:rsid w:val="00BA0B91"/>
    <w:rsid w:val="00BA15F9"/>
    <w:rsid w:val="00BA1811"/>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19"/>
    <w:rsid w:val="00BA4A39"/>
    <w:rsid w:val="00BA5016"/>
    <w:rsid w:val="00BA5D55"/>
    <w:rsid w:val="00BA6143"/>
    <w:rsid w:val="00BA6295"/>
    <w:rsid w:val="00BA687D"/>
    <w:rsid w:val="00BA787B"/>
    <w:rsid w:val="00BA7FAD"/>
    <w:rsid w:val="00BB03B5"/>
    <w:rsid w:val="00BB057B"/>
    <w:rsid w:val="00BB073C"/>
    <w:rsid w:val="00BB0848"/>
    <w:rsid w:val="00BB09C2"/>
    <w:rsid w:val="00BB0E3E"/>
    <w:rsid w:val="00BB1770"/>
    <w:rsid w:val="00BB1BE9"/>
    <w:rsid w:val="00BB1E35"/>
    <w:rsid w:val="00BB27D6"/>
    <w:rsid w:val="00BB32F0"/>
    <w:rsid w:val="00BB34E4"/>
    <w:rsid w:val="00BB3627"/>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65E4"/>
    <w:rsid w:val="00BC720D"/>
    <w:rsid w:val="00BC76A1"/>
    <w:rsid w:val="00BC7C48"/>
    <w:rsid w:val="00BC7EA8"/>
    <w:rsid w:val="00BD0248"/>
    <w:rsid w:val="00BD0897"/>
    <w:rsid w:val="00BD0AD0"/>
    <w:rsid w:val="00BD0AED"/>
    <w:rsid w:val="00BD0FC7"/>
    <w:rsid w:val="00BD10E4"/>
    <w:rsid w:val="00BD113A"/>
    <w:rsid w:val="00BD1468"/>
    <w:rsid w:val="00BD154F"/>
    <w:rsid w:val="00BD1602"/>
    <w:rsid w:val="00BD1DA4"/>
    <w:rsid w:val="00BD25E8"/>
    <w:rsid w:val="00BD3361"/>
    <w:rsid w:val="00BD33E3"/>
    <w:rsid w:val="00BD3974"/>
    <w:rsid w:val="00BD4727"/>
    <w:rsid w:val="00BD47D5"/>
    <w:rsid w:val="00BD5377"/>
    <w:rsid w:val="00BD54ED"/>
    <w:rsid w:val="00BD5737"/>
    <w:rsid w:val="00BD5AF5"/>
    <w:rsid w:val="00BD5C2D"/>
    <w:rsid w:val="00BD5E82"/>
    <w:rsid w:val="00BD63BF"/>
    <w:rsid w:val="00BD6C06"/>
    <w:rsid w:val="00BD735E"/>
    <w:rsid w:val="00BD74BF"/>
    <w:rsid w:val="00BE02EC"/>
    <w:rsid w:val="00BE0884"/>
    <w:rsid w:val="00BE0D12"/>
    <w:rsid w:val="00BE175F"/>
    <w:rsid w:val="00BE1E8B"/>
    <w:rsid w:val="00BE2082"/>
    <w:rsid w:val="00BE21E8"/>
    <w:rsid w:val="00BE22CC"/>
    <w:rsid w:val="00BE22CF"/>
    <w:rsid w:val="00BE22E0"/>
    <w:rsid w:val="00BE287E"/>
    <w:rsid w:val="00BE2BB2"/>
    <w:rsid w:val="00BE3383"/>
    <w:rsid w:val="00BE38EB"/>
    <w:rsid w:val="00BE3E92"/>
    <w:rsid w:val="00BE3F08"/>
    <w:rsid w:val="00BE4B1B"/>
    <w:rsid w:val="00BE4DB0"/>
    <w:rsid w:val="00BE7900"/>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311D"/>
    <w:rsid w:val="00C13256"/>
    <w:rsid w:val="00C141EB"/>
    <w:rsid w:val="00C143C1"/>
    <w:rsid w:val="00C14563"/>
    <w:rsid w:val="00C149F6"/>
    <w:rsid w:val="00C14BAC"/>
    <w:rsid w:val="00C15058"/>
    <w:rsid w:val="00C15D84"/>
    <w:rsid w:val="00C15FB0"/>
    <w:rsid w:val="00C1650C"/>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686D"/>
    <w:rsid w:val="00C27668"/>
    <w:rsid w:val="00C278D5"/>
    <w:rsid w:val="00C27DD1"/>
    <w:rsid w:val="00C27F21"/>
    <w:rsid w:val="00C30499"/>
    <w:rsid w:val="00C31031"/>
    <w:rsid w:val="00C3111E"/>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DCA"/>
    <w:rsid w:val="00C45891"/>
    <w:rsid w:val="00C458B5"/>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6CB"/>
    <w:rsid w:val="00C5481B"/>
    <w:rsid w:val="00C5497A"/>
    <w:rsid w:val="00C55E50"/>
    <w:rsid w:val="00C56370"/>
    <w:rsid w:val="00C57176"/>
    <w:rsid w:val="00C571F6"/>
    <w:rsid w:val="00C5751B"/>
    <w:rsid w:val="00C60DE1"/>
    <w:rsid w:val="00C6124F"/>
    <w:rsid w:val="00C615C8"/>
    <w:rsid w:val="00C61B32"/>
    <w:rsid w:val="00C6255C"/>
    <w:rsid w:val="00C63FEE"/>
    <w:rsid w:val="00C64668"/>
    <w:rsid w:val="00C64915"/>
    <w:rsid w:val="00C64A66"/>
    <w:rsid w:val="00C64D20"/>
    <w:rsid w:val="00C64D52"/>
    <w:rsid w:val="00C65088"/>
    <w:rsid w:val="00C65181"/>
    <w:rsid w:val="00C65556"/>
    <w:rsid w:val="00C6560E"/>
    <w:rsid w:val="00C65686"/>
    <w:rsid w:val="00C656FA"/>
    <w:rsid w:val="00C662C9"/>
    <w:rsid w:val="00C67146"/>
    <w:rsid w:val="00C6771F"/>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77AE8"/>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2020"/>
    <w:rsid w:val="00C9278A"/>
    <w:rsid w:val="00C93479"/>
    <w:rsid w:val="00C93E4C"/>
    <w:rsid w:val="00C94DC8"/>
    <w:rsid w:val="00C94E77"/>
    <w:rsid w:val="00C95B50"/>
    <w:rsid w:val="00C96481"/>
    <w:rsid w:val="00C97032"/>
    <w:rsid w:val="00CA082F"/>
    <w:rsid w:val="00CA09C2"/>
    <w:rsid w:val="00CA0AB3"/>
    <w:rsid w:val="00CA0D64"/>
    <w:rsid w:val="00CA181E"/>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952"/>
    <w:rsid w:val="00CB1ABD"/>
    <w:rsid w:val="00CB1E40"/>
    <w:rsid w:val="00CB2910"/>
    <w:rsid w:val="00CB2AC8"/>
    <w:rsid w:val="00CB31FF"/>
    <w:rsid w:val="00CB32F7"/>
    <w:rsid w:val="00CB3579"/>
    <w:rsid w:val="00CB44D3"/>
    <w:rsid w:val="00CB4665"/>
    <w:rsid w:val="00CB4F5D"/>
    <w:rsid w:val="00CB4FEF"/>
    <w:rsid w:val="00CB6044"/>
    <w:rsid w:val="00CB6A42"/>
    <w:rsid w:val="00CB6D97"/>
    <w:rsid w:val="00CB74E3"/>
    <w:rsid w:val="00CB74F2"/>
    <w:rsid w:val="00CB7D19"/>
    <w:rsid w:val="00CC026C"/>
    <w:rsid w:val="00CC02E0"/>
    <w:rsid w:val="00CC08F5"/>
    <w:rsid w:val="00CC0991"/>
    <w:rsid w:val="00CC1167"/>
    <w:rsid w:val="00CC117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054"/>
    <w:rsid w:val="00CD273A"/>
    <w:rsid w:val="00CD2AF4"/>
    <w:rsid w:val="00CD2B17"/>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61"/>
    <w:rsid w:val="00CD6EBF"/>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1E5D"/>
    <w:rsid w:val="00D22CAC"/>
    <w:rsid w:val="00D22E7A"/>
    <w:rsid w:val="00D23354"/>
    <w:rsid w:val="00D248F7"/>
    <w:rsid w:val="00D252E9"/>
    <w:rsid w:val="00D25446"/>
    <w:rsid w:val="00D2558D"/>
    <w:rsid w:val="00D26312"/>
    <w:rsid w:val="00D26419"/>
    <w:rsid w:val="00D26485"/>
    <w:rsid w:val="00D268F8"/>
    <w:rsid w:val="00D273DE"/>
    <w:rsid w:val="00D274B0"/>
    <w:rsid w:val="00D2761C"/>
    <w:rsid w:val="00D2775C"/>
    <w:rsid w:val="00D277F2"/>
    <w:rsid w:val="00D27D0A"/>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3EE0"/>
    <w:rsid w:val="00D5416E"/>
    <w:rsid w:val="00D54194"/>
    <w:rsid w:val="00D54497"/>
    <w:rsid w:val="00D548D5"/>
    <w:rsid w:val="00D54BAD"/>
    <w:rsid w:val="00D54E77"/>
    <w:rsid w:val="00D5501D"/>
    <w:rsid w:val="00D550E6"/>
    <w:rsid w:val="00D55AD6"/>
    <w:rsid w:val="00D5648A"/>
    <w:rsid w:val="00D56625"/>
    <w:rsid w:val="00D5689B"/>
    <w:rsid w:val="00D56B30"/>
    <w:rsid w:val="00D60342"/>
    <w:rsid w:val="00D603DC"/>
    <w:rsid w:val="00D60E23"/>
    <w:rsid w:val="00D62203"/>
    <w:rsid w:val="00D62E5B"/>
    <w:rsid w:val="00D6320B"/>
    <w:rsid w:val="00D63479"/>
    <w:rsid w:val="00D635E9"/>
    <w:rsid w:val="00D63DCB"/>
    <w:rsid w:val="00D64006"/>
    <w:rsid w:val="00D642BF"/>
    <w:rsid w:val="00D64324"/>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77C97"/>
    <w:rsid w:val="00D77F39"/>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4B78"/>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08C"/>
    <w:rsid w:val="00D9422C"/>
    <w:rsid w:val="00D9497B"/>
    <w:rsid w:val="00D94C42"/>
    <w:rsid w:val="00D95116"/>
    <w:rsid w:val="00D95406"/>
    <w:rsid w:val="00D95770"/>
    <w:rsid w:val="00D95EAB"/>
    <w:rsid w:val="00D96830"/>
    <w:rsid w:val="00D97318"/>
    <w:rsid w:val="00D97937"/>
    <w:rsid w:val="00DA0407"/>
    <w:rsid w:val="00DA0610"/>
    <w:rsid w:val="00DA06EA"/>
    <w:rsid w:val="00DA0EA4"/>
    <w:rsid w:val="00DA0EF4"/>
    <w:rsid w:val="00DA14F9"/>
    <w:rsid w:val="00DA193B"/>
    <w:rsid w:val="00DA1C8A"/>
    <w:rsid w:val="00DA1DEA"/>
    <w:rsid w:val="00DA20E9"/>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1F06"/>
    <w:rsid w:val="00DC2307"/>
    <w:rsid w:val="00DC2995"/>
    <w:rsid w:val="00DC2AB7"/>
    <w:rsid w:val="00DC346E"/>
    <w:rsid w:val="00DC3A53"/>
    <w:rsid w:val="00DC4208"/>
    <w:rsid w:val="00DC4D9D"/>
    <w:rsid w:val="00DC5754"/>
    <w:rsid w:val="00DC6670"/>
    <w:rsid w:val="00DC71C3"/>
    <w:rsid w:val="00DC743A"/>
    <w:rsid w:val="00DC7A31"/>
    <w:rsid w:val="00DD0195"/>
    <w:rsid w:val="00DD0F8E"/>
    <w:rsid w:val="00DD0FDE"/>
    <w:rsid w:val="00DD1079"/>
    <w:rsid w:val="00DD10C7"/>
    <w:rsid w:val="00DD14C1"/>
    <w:rsid w:val="00DD27DC"/>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1E3E"/>
    <w:rsid w:val="00DF201C"/>
    <w:rsid w:val="00DF23CA"/>
    <w:rsid w:val="00DF255E"/>
    <w:rsid w:val="00DF2ECA"/>
    <w:rsid w:val="00DF4C20"/>
    <w:rsid w:val="00DF4C7C"/>
    <w:rsid w:val="00DF51C0"/>
    <w:rsid w:val="00DF53E9"/>
    <w:rsid w:val="00DF54A5"/>
    <w:rsid w:val="00DF5633"/>
    <w:rsid w:val="00DF6058"/>
    <w:rsid w:val="00DF6787"/>
    <w:rsid w:val="00DF6A7F"/>
    <w:rsid w:val="00DF6F8C"/>
    <w:rsid w:val="00DF7330"/>
    <w:rsid w:val="00DF79C3"/>
    <w:rsid w:val="00DF7C4C"/>
    <w:rsid w:val="00DF7EB3"/>
    <w:rsid w:val="00E00BE1"/>
    <w:rsid w:val="00E01B92"/>
    <w:rsid w:val="00E01D73"/>
    <w:rsid w:val="00E02049"/>
    <w:rsid w:val="00E0222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2206"/>
    <w:rsid w:val="00E12531"/>
    <w:rsid w:val="00E12E73"/>
    <w:rsid w:val="00E13333"/>
    <w:rsid w:val="00E13CE9"/>
    <w:rsid w:val="00E14ACF"/>
    <w:rsid w:val="00E1538E"/>
    <w:rsid w:val="00E1543D"/>
    <w:rsid w:val="00E15CC0"/>
    <w:rsid w:val="00E15E63"/>
    <w:rsid w:val="00E161A3"/>
    <w:rsid w:val="00E1689F"/>
    <w:rsid w:val="00E16CAC"/>
    <w:rsid w:val="00E1714C"/>
    <w:rsid w:val="00E17789"/>
    <w:rsid w:val="00E17C36"/>
    <w:rsid w:val="00E17D20"/>
    <w:rsid w:val="00E2017B"/>
    <w:rsid w:val="00E2122D"/>
    <w:rsid w:val="00E2249B"/>
    <w:rsid w:val="00E2343F"/>
    <w:rsid w:val="00E23813"/>
    <w:rsid w:val="00E243CE"/>
    <w:rsid w:val="00E246DB"/>
    <w:rsid w:val="00E24908"/>
    <w:rsid w:val="00E24A42"/>
    <w:rsid w:val="00E25241"/>
    <w:rsid w:val="00E26647"/>
    <w:rsid w:val="00E26A6F"/>
    <w:rsid w:val="00E26B6B"/>
    <w:rsid w:val="00E26BEC"/>
    <w:rsid w:val="00E2797A"/>
    <w:rsid w:val="00E30460"/>
    <w:rsid w:val="00E31E1A"/>
    <w:rsid w:val="00E31F40"/>
    <w:rsid w:val="00E32A79"/>
    <w:rsid w:val="00E33CB9"/>
    <w:rsid w:val="00E343BD"/>
    <w:rsid w:val="00E35A26"/>
    <w:rsid w:val="00E35B6C"/>
    <w:rsid w:val="00E35BC4"/>
    <w:rsid w:val="00E36579"/>
    <w:rsid w:val="00E36B2F"/>
    <w:rsid w:val="00E36D90"/>
    <w:rsid w:val="00E371C2"/>
    <w:rsid w:val="00E374C5"/>
    <w:rsid w:val="00E377D8"/>
    <w:rsid w:val="00E37EB2"/>
    <w:rsid w:val="00E403AD"/>
    <w:rsid w:val="00E408DB"/>
    <w:rsid w:val="00E40900"/>
    <w:rsid w:val="00E40E76"/>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664"/>
    <w:rsid w:val="00E4693F"/>
    <w:rsid w:val="00E474E8"/>
    <w:rsid w:val="00E47C6A"/>
    <w:rsid w:val="00E5057C"/>
    <w:rsid w:val="00E50C8F"/>
    <w:rsid w:val="00E50CF3"/>
    <w:rsid w:val="00E50D0D"/>
    <w:rsid w:val="00E517C8"/>
    <w:rsid w:val="00E51ADE"/>
    <w:rsid w:val="00E52700"/>
    <w:rsid w:val="00E52ADA"/>
    <w:rsid w:val="00E53C5E"/>
    <w:rsid w:val="00E5436C"/>
    <w:rsid w:val="00E5448C"/>
    <w:rsid w:val="00E545B7"/>
    <w:rsid w:val="00E5470D"/>
    <w:rsid w:val="00E54D84"/>
    <w:rsid w:val="00E55033"/>
    <w:rsid w:val="00E55073"/>
    <w:rsid w:val="00E564FD"/>
    <w:rsid w:val="00E57073"/>
    <w:rsid w:val="00E57238"/>
    <w:rsid w:val="00E57ADD"/>
    <w:rsid w:val="00E57BEA"/>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2FA1"/>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87F81"/>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51"/>
    <w:rsid w:val="00E974EB"/>
    <w:rsid w:val="00E9766A"/>
    <w:rsid w:val="00E978BC"/>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544B"/>
    <w:rsid w:val="00EA55CA"/>
    <w:rsid w:val="00EA596F"/>
    <w:rsid w:val="00EA59A0"/>
    <w:rsid w:val="00EA5FF9"/>
    <w:rsid w:val="00EA6358"/>
    <w:rsid w:val="00EA643B"/>
    <w:rsid w:val="00EA645F"/>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07F"/>
    <w:rsid w:val="00EC02AE"/>
    <w:rsid w:val="00EC0C2B"/>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D7EC8"/>
    <w:rsid w:val="00EE0027"/>
    <w:rsid w:val="00EE02B8"/>
    <w:rsid w:val="00EE075A"/>
    <w:rsid w:val="00EE076E"/>
    <w:rsid w:val="00EE07FF"/>
    <w:rsid w:val="00EE0950"/>
    <w:rsid w:val="00EE1502"/>
    <w:rsid w:val="00EE1B73"/>
    <w:rsid w:val="00EE230A"/>
    <w:rsid w:val="00EE2478"/>
    <w:rsid w:val="00EE249C"/>
    <w:rsid w:val="00EE2E39"/>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3ED"/>
    <w:rsid w:val="00EF366C"/>
    <w:rsid w:val="00EF40A5"/>
    <w:rsid w:val="00EF4798"/>
    <w:rsid w:val="00EF47D6"/>
    <w:rsid w:val="00EF5243"/>
    <w:rsid w:val="00EF5F75"/>
    <w:rsid w:val="00EF61F8"/>
    <w:rsid w:val="00EF638A"/>
    <w:rsid w:val="00EF6714"/>
    <w:rsid w:val="00EF6B9A"/>
    <w:rsid w:val="00EF738A"/>
    <w:rsid w:val="00EF74F9"/>
    <w:rsid w:val="00EF7C60"/>
    <w:rsid w:val="00EF7E5E"/>
    <w:rsid w:val="00F002E7"/>
    <w:rsid w:val="00F00AED"/>
    <w:rsid w:val="00F00C6A"/>
    <w:rsid w:val="00F00CB7"/>
    <w:rsid w:val="00F00ED9"/>
    <w:rsid w:val="00F00F67"/>
    <w:rsid w:val="00F01AFB"/>
    <w:rsid w:val="00F023E8"/>
    <w:rsid w:val="00F02502"/>
    <w:rsid w:val="00F02647"/>
    <w:rsid w:val="00F03822"/>
    <w:rsid w:val="00F03B3A"/>
    <w:rsid w:val="00F03D2F"/>
    <w:rsid w:val="00F03E56"/>
    <w:rsid w:val="00F044B5"/>
    <w:rsid w:val="00F04846"/>
    <w:rsid w:val="00F04D2A"/>
    <w:rsid w:val="00F0511D"/>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0993"/>
    <w:rsid w:val="00F11D0E"/>
    <w:rsid w:val="00F11D7F"/>
    <w:rsid w:val="00F12617"/>
    <w:rsid w:val="00F12E37"/>
    <w:rsid w:val="00F12FCC"/>
    <w:rsid w:val="00F1313D"/>
    <w:rsid w:val="00F138D8"/>
    <w:rsid w:val="00F13B95"/>
    <w:rsid w:val="00F140FE"/>
    <w:rsid w:val="00F14195"/>
    <w:rsid w:val="00F1436C"/>
    <w:rsid w:val="00F1468E"/>
    <w:rsid w:val="00F1471D"/>
    <w:rsid w:val="00F14CD9"/>
    <w:rsid w:val="00F1506C"/>
    <w:rsid w:val="00F15511"/>
    <w:rsid w:val="00F1596A"/>
    <w:rsid w:val="00F15F85"/>
    <w:rsid w:val="00F163F9"/>
    <w:rsid w:val="00F16479"/>
    <w:rsid w:val="00F177E3"/>
    <w:rsid w:val="00F17DAF"/>
    <w:rsid w:val="00F20795"/>
    <w:rsid w:val="00F20C2B"/>
    <w:rsid w:val="00F21135"/>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8B6"/>
    <w:rsid w:val="00F36A11"/>
    <w:rsid w:val="00F36C90"/>
    <w:rsid w:val="00F36D83"/>
    <w:rsid w:val="00F3756B"/>
    <w:rsid w:val="00F375E7"/>
    <w:rsid w:val="00F4013A"/>
    <w:rsid w:val="00F40694"/>
    <w:rsid w:val="00F4288E"/>
    <w:rsid w:val="00F42BC0"/>
    <w:rsid w:val="00F434D7"/>
    <w:rsid w:val="00F437E7"/>
    <w:rsid w:val="00F44A09"/>
    <w:rsid w:val="00F453EE"/>
    <w:rsid w:val="00F45965"/>
    <w:rsid w:val="00F46FDC"/>
    <w:rsid w:val="00F47367"/>
    <w:rsid w:val="00F47BEA"/>
    <w:rsid w:val="00F47CAD"/>
    <w:rsid w:val="00F50F32"/>
    <w:rsid w:val="00F5110D"/>
    <w:rsid w:val="00F51233"/>
    <w:rsid w:val="00F5187D"/>
    <w:rsid w:val="00F520BD"/>
    <w:rsid w:val="00F52547"/>
    <w:rsid w:val="00F52855"/>
    <w:rsid w:val="00F52867"/>
    <w:rsid w:val="00F5292D"/>
    <w:rsid w:val="00F53A5A"/>
    <w:rsid w:val="00F53BC0"/>
    <w:rsid w:val="00F54746"/>
    <w:rsid w:val="00F5503E"/>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1FEE"/>
    <w:rsid w:val="00F6225F"/>
    <w:rsid w:val="00F622F3"/>
    <w:rsid w:val="00F6274A"/>
    <w:rsid w:val="00F62B53"/>
    <w:rsid w:val="00F62CBF"/>
    <w:rsid w:val="00F645DF"/>
    <w:rsid w:val="00F65345"/>
    <w:rsid w:val="00F65E8D"/>
    <w:rsid w:val="00F66144"/>
    <w:rsid w:val="00F66838"/>
    <w:rsid w:val="00F66854"/>
    <w:rsid w:val="00F670D6"/>
    <w:rsid w:val="00F670F0"/>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3E24"/>
    <w:rsid w:val="00F74537"/>
    <w:rsid w:val="00F74642"/>
    <w:rsid w:val="00F7598B"/>
    <w:rsid w:val="00F75AC7"/>
    <w:rsid w:val="00F75FF6"/>
    <w:rsid w:val="00F76803"/>
    <w:rsid w:val="00F7689F"/>
    <w:rsid w:val="00F77167"/>
    <w:rsid w:val="00F802EE"/>
    <w:rsid w:val="00F823BD"/>
    <w:rsid w:val="00F826CA"/>
    <w:rsid w:val="00F8374B"/>
    <w:rsid w:val="00F83DDB"/>
    <w:rsid w:val="00F84499"/>
    <w:rsid w:val="00F84965"/>
    <w:rsid w:val="00F84DCD"/>
    <w:rsid w:val="00F85299"/>
    <w:rsid w:val="00F85976"/>
    <w:rsid w:val="00F859E5"/>
    <w:rsid w:val="00F85BD6"/>
    <w:rsid w:val="00F85D53"/>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4B2B"/>
    <w:rsid w:val="00F94C27"/>
    <w:rsid w:val="00F95391"/>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B04"/>
    <w:rsid w:val="00FB1DD5"/>
    <w:rsid w:val="00FB241F"/>
    <w:rsid w:val="00FB2FFF"/>
    <w:rsid w:val="00FB32BF"/>
    <w:rsid w:val="00FB33AD"/>
    <w:rsid w:val="00FB3A04"/>
    <w:rsid w:val="00FB3A69"/>
    <w:rsid w:val="00FB4096"/>
    <w:rsid w:val="00FB4845"/>
    <w:rsid w:val="00FB4C76"/>
    <w:rsid w:val="00FB6560"/>
    <w:rsid w:val="00FB678B"/>
    <w:rsid w:val="00FB6CE4"/>
    <w:rsid w:val="00FB75B5"/>
    <w:rsid w:val="00FB7E90"/>
    <w:rsid w:val="00FC0685"/>
    <w:rsid w:val="00FC069F"/>
    <w:rsid w:val="00FC100C"/>
    <w:rsid w:val="00FC10D3"/>
    <w:rsid w:val="00FC13BC"/>
    <w:rsid w:val="00FC1614"/>
    <w:rsid w:val="00FC1696"/>
    <w:rsid w:val="00FC1848"/>
    <w:rsid w:val="00FC2417"/>
    <w:rsid w:val="00FC2762"/>
    <w:rsid w:val="00FC31A5"/>
    <w:rsid w:val="00FC502D"/>
    <w:rsid w:val="00FC50C6"/>
    <w:rsid w:val="00FC5AA5"/>
    <w:rsid w:val="00FC6066"/>
    <w:rsid w:val="00FC6354"/>
    <w:rsid w:val="00FC692F"/>
    <w:rsid w:val="00FC6995"/>
    <w:rsid w:val="00FC7EE0"/>
    <w:rsid w:val="00FD09D0"/>
    <w:rsid w:val="00FD0AAD"/>
    <w:rsid w:val="00FD0D8C"/>
    <w:rsid w:val="00FD1000"/>
    <w:rsid w:val="00FD1527"/>
    <w:rsid w:val="00FD1F75"/>
    <w:rsid w:val="00FD33DB"/>
    <w:rsid w:val="00FD46F5"/>
    <w:rsid w:val="00FD4A2D"/>
    <w:rsid w:val="00FD5200"/>
    <w:rsid w:val="00FD52B3"/>
    <w:rsid w:val="00FD5312"/>
    <w:rsid w:val="00FD57AF"/>
    <w:rsid w:val="00FD5C90"/>
    <w:rsid w:val="00FD6525"/>
    <w:rsid w:val="00FD699B"/>
    <w:rsid w:val="00FD6ED6"/>
    <w:rsid w:val="00FD73BA"/>
    <w:rsid w:val="00FD7575"/>
    <w:rsid w:val="00FD77B8"/>
    <w:rsid w:val="00FD7F93"/>
    <w:rsid w:val="00FE122E"/>
    <w:rsid w:val="00FE130E"/>
    <w:rsid w:val="00FE1714"/>
    <w:rsid w:val="00FE1F88"/>
    <w:rsid w:val="00FE21F8"/>
    <w:rsid w:val="00FE26B0"/>
    <w:rsid w:val="00FE2DB8"/>
    <w:rsid w:val="00FE2E74"/>
    <w:rsid w:val="00FE2E7B"/>
    <w:rsid w:val="00FE2FB8"/>
    <w:rsid w:val="00FE3499"/>
    <w:rsid w:val="00FE40E7"/>
    <w:rsid w:val="00FE434B"/>
    <w:rsid w:val="00FE451F"/>
    <w:rsid w:val="00FE45BF"/>
    <w:rsid w:val="00FE4C55"/>
    <w:rsid w:val="00FE4E88"/>
    <w:rsid w:val="00FE510C"/>
    <w:rsid w:val="00FE5D31"/>
    <w:rsid w:val="00FE69C5"/>
    <w:rsid w:val="00FE79E2"/>
    <w:rsid w:val="00FE7DD1"/>
    <w:rsid w:val="00FF0C34"/>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character" w:styleId="PlaceholderText">
    <w:name w:val="Placeholder Text"/>
    <w:basedOn w:val="DefaultParagraphFont"/>
    <w:uiPriority w:val="99"/>
    <w:semiHidden/>
    <w:rsid w:val="00D9408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58486369">
      <w:bodyDiv w:val="1"/>
      <w:marLeft w:val="0"/>
      <w:marRight w:val="0"/>
      <w:marTop w:val="0"/>
      <w:marBottom w:val="0"/>
      <w:divBdr>
        <w:top w:val="none" w:sz="0" w:space="0" w:color="auto"/>
        <w:left w:val="none" w:sz="0" w:space="0" w:color="auto"/>
        <w:bottom w:val="none" w:sz="0" w:space="0" w:color="auto"/>
        <w:right w:val="none" w:sz="0" w:space="0" w:color="auto"/>
      </w:divBdr>
      <w:divsChild>
        <w:div w:id="950555905">
          <w:marLeft w:val="360"/>
          <w:marRight w:val="0"/>
          <w:marTop w:val="2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3</Pages>
  <Words>1499</Words>
  <Characters>8546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2021-05-11T15:44:00Z</dcterms:created>
  <dcterms:modified xsi:type="dcterms:W3CDTF">2021-05-11T15:44:00Z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