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0"/>
          <w:lang w:val="en-GB" w:eastAsia="zh-CN"/>
        </w:rPr>
      </w:pPr>
      <w:bookmarkStart w:id="0" w:name="OLE_LINK6"/>
      <w:bookmarkStart w:id="1" w:name="OLE_LINK5"/>
      <w:r>
        <w:rPr>
          <w:rFonts w:ascii="Arial" w:hAnsi="Arial" w:eastAsia="宋体" w:cs="Times New Roman"/>
          <w:b/>
          <w:bCs/>
          <w:sz w:val="24"/>
          <w:szCs w:val="20"/>
          <w:lang w:val="en-GB"/>
        </w:rPr>
        <w:t>3GPP T</w:t>
      </w:r>
      <w:bookmarkStart w:id="2" w:name="_Ref452454252"/>
      <w:bookmarkEnd w:id="2"/>
      <w:r>
        <w:rPr>
          <w:rFonts w:ascii="Arial" w:hAnsi="Arial" w:eastAsia="宋体" w:cs="Times New Roman"/>
          <w:b/>
          <w:bCs/>
          <w:sz w:val="24"/>
          <w:szCs w:val="20"/>
          <w:lang w:val="en-GB"/>
        </w:rPr>
        <w:t xml:space="preserve">SG-RAN </w:t>
      </w:r>
      <w:r>
        <w:rPr>
          <w:rFonts w:ascii="Arial" w:hAnsi="Arial" w:eastAsia="宋体" w:cs="Times New Roman"/>
          <w:b/>
          <w:sz w:val="24"/>
          <w:szCs w:val="20"/>
          <w:lang w:val="en-GB"/>
        </w:rPr>
        <w:t>WG4 Meeting # 9</w:t>
      </w:r>
      <w:r>
        <w:rPr>
          <w:rFonts w:hint="eastAsia" w:ascii="Arial" w:hAnsi="Arial" w:eastAsia="宋体" w:cs="Times New Roman"/>
          <w:b/>
          <w:sz w:val="24"/>
          <w:szCs w:val="20"/>
          <w:lang w:val="en-US" w:eastAsia="zh-CN"/>
        </w:rPr>
        <w:t>9</w:t>
      </w:r>
      <w:r>
        <w:rPr>
          <w:rFonts w:ascii="Arial" w:hAnsi="Arial" w:eastAsia="宋体" w:cs="Times New Roman"/>
          <w:b/>
          <w:sz w:val="24"/>
          <w:szCs w:val="20"/>
          <w:lang w:val="en-GB"/>
        </w:rPr>
        <w:t xml:space="preserve">-e                </w:t>
      </w:r>
      <w:r>
        <w:rPr>
          <w:rFonts w:ascii="Arial" w:hAnsi="Arial" w:eastAsia="宋体" w:cs="Times New Roman"/>
          <w:b/>
          <w:bCs/>
          <w:sz w:val="24"/>
          <w:szCs w:val="20"/>
          <w:lang w:val="en-GB"/>
        </w:rPr>
        <w:tab/>
      </w:r>
      <w:r>
        <w:rPr>
          <w:rFonts w:hint="eastAsia" w:ascii="Arial" w:hAnsi="Arial" w:eastAsia="宋体" w:cs="Times New Roman"/>
          <w:b/>
          <w:bCs/>
          <w:sz w:val="24"/>
          <w:szCs w:val="20"/>
          <w:lang w:val="en-GB"/>
        </w:rPr>
        <w:t>R4-2110605</w:t>
      </w:r>
    </w:p>
    <w:bookmarkEnd w:id="0"/>
    <w:bookmarkEnd w:id="1"/>
    <w:p>
      <w:pPr>
        <w:rPr>
          <w:rFonts w:ascii="Arial" w:hAnsi="Arial" w:eastAsia="宋体" w:cs="Times New Roman"/>
          <w:b/>
          <w:bCs/>
          <w:sz w:val="24"/>
          <w:szCs w:val="20"/>
          <w:lang w:val="en-GB" w:eastAsia="ja-JP"/>
        </w:rPr>
      </w:pPr>
      <w:bookmarkStart w:id="6" w:name="_GoBack"/>
      <w:bookmarkEnd w:id="6"/>
      <w:r>
        <w:rPr>
          <w:rFonts w:hint="eastAsia" w:ascii="Arial" w:hAnsi="Arial" w:cs="Arial"/>
          <w:b/>
          <w:sz w:val="24"/>
          <w:szCs w:val="24"/>
        </w:rPr>
        <w:t>E-meeting,</w:t>
      </w:r>
      <w:r>
        <w:rPr>
          <w:rFonts w:hint="eastAsia" w:ascii="Arial" w:hAnsi="Arial" w:cs="Arial"/>
          <w:b/>
          <w:sz w:val="24"/>
          <w:szCs w:val="24"/>
          <w:lang w:val="en-US" w:eastAsia="zh-CN"/>
        </w:rPr>
        <w:t>19</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27</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rPr>
        <w:t>21</w:t>
      </w:r>
    </w:p>
    <w:p>
      <w:pPr>
        <w:tabs>
          <w:tab w:val="left" w:pos="1985"/>
        </w:tabs>
        <w:spacing w:after="180"/>
        <w:ind w:left="1980" w:hanging="1980"/>
        <w:rPr>
          <w:rFonts w:hint="eastAsia" w:ascii="Arial" w:hAnsi="Arial" w:cs="Arial" w:eastAsiaTheme="minorEastAsia"/>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9</w:t>
      </w:r>
      <w:r>
        <w:rPr>
          <w:rFonts w:hint="eastAsia" w:ascii="Arial" w:hAnsi="Arial" w:cs="Arial"/>
          <w:b/>
          <w:sz w:val="24"/>
          <w:szCs w:val="24"/>
        </w:rPr>
        <w:t>.</w:t>
      </w:r>
      <w:r>
        <w:rPr>
          <w:rFonts w:hint="eastAsia" w:ascii="Arial" w:hAnsi="Arial" w:cs="Arial"/>
          <w:b/>
          <w:sz w:val="24"/>
          <w:szCs w:val="24"/>
          <w:lang w:val="en-US" w:eastAsia="zh-CN"/>
        </w:rPr>
        <w:t>15</w:t>
      </w:r>
      <w:r>
        <w:rPr>
          <w:rFonts w:hint="eastAsia" w:ascii="Arial" w:hAnsi="Arial" w:cs="Arial"/>
          <w:b/>
          <w:sz w:val="24"/>
          <w:szCs w:val="24"/>
        </w:rPr>
        <w:t>.</w:t>
      </w:r>
      <w:r>
        <w:rPr>
          <w:rFonts w:hint="eastAsia" w:ascii="Arial" w:hAnsi="Arial" w:cs="Arial"/>
          <w:b/>
          <w:sz w:val="24"/>
          <w:szCs w:val="24"/>
          <w:lang w:val="en-US" w:eastAsia="zh-CN"/>
        </w:rPr>
        <w:t>7</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switching delay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3" w:name="DocumentFor"/>
      <w:bookmarkEnd w:id="3"/>
      <w:r>
        <w:rPr>
          <w:rFonts w:hint="eastAsia" w:ascii="Arial" w:hAnsi="Arial" w:eastAsia="宋体" w:cs="Arial"/>
          <w:b/>
          <w:sz w:val="24"/>
          <w:szCs w:val="24"/>
          <w:lang w:val="en-US" w:eastAsia="zh-CN"/>
        </w:rPr>
        <w:t>Approval</w:t>
      </w:r>
      <w:r>
        <w:rPr>
          <w:rFonts w:hint="eastAsia" w:ascii="Arial" w:hAnsi="Arial" w:cs="Arial"/>
          <w:b/>
          <w:sz w:val="24"/>
          <w:szCs w:val="24"/>
        </w:rPr>
        <w:t xml:space="preserve">  </w:t>
      </w:r>
    </w:p>
    <w:p>
      <w:pPr>
        <w:pStyle w:val="28"/>
        <w:ind w:left="357" w:hanging="357"/>
      </w:pPr>
      <w:r>
        <w:t>Background</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w:t>
      </w:r>
      <w:r>
        <w:rPr>
          <w:rFonts w:hint="eastAsia" w:ascii="Times New Roman" w:hAnsi="Times New Roman" w:cs="Times New Roman"/>
          <w:sz w:val="20"/>
          <w:szCs w:val="20"/>
          <w:lang w:val="en-US" w:eastAsia="zh-CN"/>
        </w:rPr>
        <w:t>the previous RAN1#104-e meeting, one LS on beam switching gap for 60GHz to RAN4 was approved to seek the feedback on the following aspect. In the last RAN4#98-bis-e meeting, there were some initial discussions on the proposed values, however no much progress has been achieved. Therefore in this contribution, we want to share more further understandings on these aspects.</w:t>
      </w:r>
    </w:p>
    <w:p>
      <w:pPr>
        <w:pBdr>
          <w:top w:val="single" w:color="auto" w:sz="4" w:space="0"/>
        </w:pBdr>
        <w:rPr>
          <w:rFonts w:hint="default" w:ascii="Times New Roman" w:hAnsi="Times New Roman" w:cs="Times New Roman"/>
          <w:sz w:val="20"/>
          <w:szCs w:val="20"/>
        </w:rPr>
      </w:pPr>
      <w:r>
        <w:rPr>
          <w:rFonts w:hint="default" w:ascii="Times New Roman" w:hAnsi="Times New Roman" w:cs="Times New Roman"/>
          <w:sz w:val="20"/>
          <w:szCs w:val="20"/>
        </w:rPr>
        <w:t>RAN1 would like to ask RAN4 on time required for gNBs and UEs operating in 52.6 GHz to 71 GHz to perform the following operations:</w:t>
      </w:r>
    </w:p>
    <w:p>
      <w:pPr>
        <w:pStyle w:val="23"/>
        <w:numPr>
          <w:ilvl w:val="0"/>
          <w:numId w:val="2"/>
        </w:numPr>
        <w:ind w:leftChars="0"/>
        <w:rPr>
          <w:rFonts w:hint="default" w:ascii="Times New Roman" w:hAnsi="Times New Roman" w:cs="Times New Roman"/>
          <w:sz w:val="20"/>
          <w:szCs w:val="20"/>
        </w:rPr>
      </w:pPr>
      <w:r>
        <w:rPr>
          <w:rFonts w:hint="default" w:ascii="Times New Roman" w:hAnsi="Times New Roman" w:cs="Times New Roman"/>
          <w:sz w:val="20"/>
          <w:szCs w:val="20"/>
        </w:rPr>
        <w:t>Switching Tx beams</w:t>
      </w:r>
    </w:p>
    <w:p>
      <w:pPr>
        <w:pStyle w:val="23"/>
        <w:numPr>
          <w:ilvl w:val="0"/>
          <w:numId w:val="2"/>
        </w:numPr>
        <w:ind w:leftChars="0"/>
        <w:rPr>
          <w:rFonts w:hint="default" w:ascii="Times New Roman" w:hAnsi="Times New Roman" w:cs="Times New Roman"/>
          <w:sz w:val="20"/>
          <w:szCs w:val="20"/>
        </w:rPr>
      </w:pPr>
      <w:r>
        <w:rPr>
          <w:rFonts w:hint="default" w:ascii="Times New Roman" w:hAnsi="Times New Roman" w:cs="Times New Roman"/>
          <w:sz w:val="20"/>
          <w:szCs w:val="20"/>
        </w:rPr>
        <w:t>Switching Rx beams</w:t>
      </w:r>
    </w:p>
    <w:p>
      <w:pPr>
        <w:pStyle w:val="23"/>
        <w:numPr>
          <w:ilvl w:val="0"/>
          <w:numId w:val="2"/>
        </w:numPr>
        <w:ind w:leftChars="0"/>
        <w:rPr>
          <w:rFonts w:hint="default" w:ascii="Times New Roman" w:hAnsi="Times New Roman" w:cs="Times New Roman"/>
          <w:sz w:val="20"/>
          <w:szCs w:val="20"/>
        </w:rPr>
      </w:pPr>
      <w:r>
        <w:rPr>
          <w:rFonts w:hint="default" w:ascii="Times New Roman" w:hAnsi="Times New Roman" w:cs="Times New Roman"/>
          <w:sz w:val="20"/>
          <w:szCs w:val="20"/>
        </w:rPr>
        <w:t>Switching from DL to UL</w:t>
      </w:r>
    </w:p>
    <w:p>
      <w:pPr>
        <w:pStyle w:val="23"/>
        <w:numPr>
          <w:ilvl w:val="0"/>
          <w:numId w:val="2"/>
        </w:numPr>
        <w:pBdr>
          <w:bottom w:val="none" w:color="auto" w:sz="0" w:space="0"/>
        </w:pBdr>
        <w:ind w:leftChars="0"/>
        <w:rPr>
          <w:rFonts w:hint="default" w:ascii="Times New Roman" w:hAnsi="Times New Roman" w:cs="Times New Roman"/>
          <w:sz w:val="20"/>
          <w:szCs w:val="20"/>
        </w:rPr>
      </w:pPr>
      <w:r>
        <w:rPr>
          <w:rFonts w:hint="default" w:ascii="Times New Roman" w:hAnsi="Times New Roman" w:cs="Times New Roman"/>
          <w:sz w:val="20"/>
          <w:szCs w:val="20"/>
        </w:rPr>
        <w:t xml:space="preserve">Switching from UL to DL </w:t>
      </w:r>
    </w:p>
    <w:p>
      <w:pPr>
        <w:pBdr>
          <w:top w:val="single" w:color="auto" w:sz="4" w:space="0"/>
        </w:pBdr>
        <w:rPr>
          <w:rFonts w:hint="default" w:ascii="Times New Roman" w:hAnsi="Times New Roman" w:cs="Times New Roman"/>
          <w:lang w:val="en-US" w:eastAsia="zh-CN"/>
        </w:rPr>
      </w:pPr>
    </w:p>
    <w:p>
      <w:pPr>
        <w:pStyle w:val="28"/>
        <w:ind w:left="357" w:hanging="357"/>
      </w:pPr>
      <w:r>
        <w:rPr>
          <w:rFonts w:hint="eastAsia"/>
          <w:lang w:val="en-US" w:eastAsia="zh-CN"/>
        </w:rPr>
        <w:t>Discussion</w:t>
      </w:r>
    </w:p>
    <w:p>
      <w:pPr>
        <w:keepNext w:val="0"/>
        <w:keepLines w:val="0"/>
        <w:pageBreakBefore w:val="0"/>
        <w:widowControl/>
        <w:kinsoku/>
        <w:wordWrap/>
        <w:overflowPunct/>
        <w:topLinePunct w:val="0"/>
        <w:autoSpaceDE/>
        <w:autoSpaceDN/>
        <w:bidi w:val="0"/>
        <w:adjustRightInd/>
        <w:snapToGrid/>
        <w:spacing w:line="260" w:lineRule="auto"/>
        <w:textAlignment w:val="auto"/>
        <w:outlineLvl w:val="1"/>
        <w:rPr>
          <w:rFonts w:hint="default" w:ascii="Arial" w:hAnsi="Arial" w:cs="Arial"/>
          <w:sz w:val="24"/>
          <w:szCs w:val="24"/>
          <w:lang w:val="en-US" w:eastAsia="zh-CN"/>
        </w:rPr>
      </w:pPr>
      <w:r>
        <w:rPr>
          <w:rFonts w:hint="default" w:ascii="Arial" w:hAnsi="Arial" w:cs="Arial"/>
          <w:sz w:val="24"/>
          <w:szCs w:val="24"/>
          <w:lang w:val="en-US" w:eastAsia="zh-CN"/>
        </w:rPr>
        <w:t>2.1</w:t>
      </w:r>
      <w:r>
        <w:rPr>
          <w:rFonts w:hint="eastAsia" w:ascii="Arial" w:hAnsi="Arial" w:cs="Arial"/>
          <w:sz w:val="24"/>
          <w:szCs w:val="24"/>
          <w:lang w:val="en-US" w:eastAsia="zh-CN"/>
        </w:rPr>
        <w:t>.</w:t>
      </w:r>
      <w:r>
        <w:rPr>
          <w:rFonts w:hint="default" w:ascii="Arial" w:hAnsi="Arial" w:cs="Arial"/>
          <w:sz w:val="24"/>
          <w:szCs w:val="24"/>
          <w:lang w:val="en-US" w:eastAsia="zh-CN"/>
        </w:rPr>
        <w:t xml:space="preserve"> beam switching delay for Tx and Rx beams</w:t>
      </w:r>
    </w:p>
    <w:p>
      <w:pPr>
        <w:pStyle w:val="23"/>
        <w:numPr>
          <w:ilvl w:val="0"/>
          <w:numId w:val="2"/>
        </w:numPr>
        <w:ind w:leftChars="0"/>
        <w:rPr>
          <w:rFonts w:hint="default" w:ascii="Times New Roman" w:hAnsi="Times New Roman" w:cs="Times New Roman"/>
          <w:sz w:val="20"/>
          <w:szCs w:val="20"/>
        </w:rPr>
      </w:pPr>
      <w:r>
        <w:rPr>
          <w:rFonts w:hint="default" w:ascii="Times New Roman" w:hAnsi="Times New Roman" w:cs="Times New Roman"/>
          <w:sz w:val="20"/>
          <w:szCs w:val="20"/>
        </w:rPr>
        <w:t>Switching Tx beams</w:t>
      </w:r>
    </w:p>
    <w:p>
      <w:pPr>
        <w:pStyle w:val="23"/>
        <w:numPr>
          <w:ilvl w:val="0"/>
          <w:numId w:val="2"/>
        </w:numPr>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rPr>
        <w:t>Switching Rx beams</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For switching Tx beams and Rx beams, it’s well known that those beam switching delay should mainly depend on response delay of analog beam shifter within mmWave antenna array and common RF components are used for Tx and Rx beam switching, therefore switching delay for Tx and Rx beams should be same. </w:t>
      </w:r>
    </w:p>
    <w:p>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Observation 1:  switching delay for Tx and Rx beams should be the same.</w:t>
      </w:r>
    </w:p>
    <w:p>
      <w:pPr>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the specific beam switching delay, it was documented in TR 38.817-02 that the worst case for analog phase shifter for 28GHz should be 100ns, for switched phase shifter, like GaAs switches react in the approximately 10ns</w:t>
      </w:r>
      <w:r>
        <w:rPr>
          <w:rFonts w:hint="eastAsia" w:ascii="Times New Roman" w:hAnsi="Times New Roman" w:cs="Times New Roman"/>
          <w:sz w:val="20"/>
          <w:szCs w:val="20"/>
          <w:lang w:val="en-US" w:eastAsia="zh-CN"/>
        </w:rPr>
        <w:t xml:space="preserve">. As far as we know that, response delay for analog phase shifter is not quite dependent on the operation frequency, in other words, the proposed value of analog phase shifter for beam switching delay in Rel-15 could also been applied for 60GHz in Rel-17. </w:t>
      </w:r>
    </w:p>
    <w:p>
      <w:pPr>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lang w:val="en-US" w:eastAsia="zh-CN"/>
        </w:rPr>
        <w:t xml:space="preserve">For 60GHz WID, due to the introduction of 480 kHz and 960 kHz SCS, then the length of CP as listed in Table 1 usually used to accommodate beam switching would be much shorter than that of 60 kHz and 120 kHz SCS in Rel-15/16. Especially for 960kHz SCS, then analog phase shifter with reaction delay around 100ns or 10s of ns might be not approximate choice for the implementation anymore, then switched based phase shifter should be more reasonable alternative, however whether GaAs based phase shifter with apprixmately10ns reaction delay should be used as baseline for further analysis need more discussion in RAN4. </w:t>
      </w:r>
      <w:r>
        <w:rPr>
          <w:rFonts w:hint="eastAsia" w:ascii="Times New Roman" w:hAnsi="Times New Roman" w:cs="Times New Roman"/>
          <w:sz w:val="20"/>
          <w:szCs w:val="20"/>
          <w:highlight w:val="none"/>
          <w:lang w:val="en-US" w:eastAsia="zh-CN"/>
        </w:rPr>
        <w:t>From our initial understandings, switched phase shifter with apprximately10ns reaction delay [1+1+7] should be the optimum performance achieved based on current state of the art, however from massive manufacturing</w:t>
      </w:r>
      <w:r>
        <w:rPr>
          <w:rFonts w:hint="default"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val="en-US" w:eastAsia="zh-CN"/>
        </w:rPr>
        <w:t xml:space="preserve">s perspective for the practical deployment, some manufacturing variation  (e.g. due to delay variation of PCB controlling line) should be also been considered for better ecosystem prosperity. Based on the above considerations, the feasible beam switching delay for 60GHz WID should be around 20ns. </w:t>
      </w:r>
    </w:p>
    <w:p>
      <w:pPr>
        <w:jc w:val="center"/>
      </w:pPr>
      <w:r>
        <w:drawing>
          <wp:inline distT="0" distB="0" distL="114300" distR="114300">
            <wp:extent cx="5457825" cy="1752600"/>
            <wp:effectExtent l="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5457825" cy="1752600"/>
                    </a:xfrm>
                    <a:prstGeom prst="rect">
                      <a:avLst/>
                    </a:prstGeom>
                    <a:noFill/>
                    <a:ln>
                      <a:noFill/>
                    </a:ln>
                  </pic:spPr>
                </pic:pic>
              </a:graphicData>
            </a:graphic>
          </wp:inline>
        </w:drawing>
      </w:r>
    </w:p>
    <w:p>
      <w:pPr>
        <w:jc w:val="center"/>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Figure 1.</w:t>
      </w:r>
      <w:r>
        <w:rPr>
          <w:rFonts w:hint="eastAsia" w:ascii="Times New Roman" w:hAnsi="Times New Roman" w:cs="Times New Roman"/>
          <w:b/>
          <w:bCs/>
          <w:sz w:val="20"/>
          <w:szCs w:val="20"/>
          <w:highlight w:val="none"/>
          <w:lang w:val="en-US" w:eastAsia="zh-CN"/>
        </w:rPr>
        <w:t xml:space="preserve"> diagram on the implementation of beam switching </w:t>
      </w:r>
    </w:p>
    <w:tbl>
      <w:tblPr>
        <w:tblStyle w:val="10"/>
        <w:tblW w:w="958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080"/>
        <w:gridCol w:w="1080"/>
        <w:gridCol w:w="1515"/>
        <w:gridCol w:w="2858"/>
        <w:gridCol w:w="30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u</w:t>
            </w:r>
          </w:p>
        </w:tc>
        <w:tc>
          <w:tcPr>
            <w:tcW w:w="108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SCS</w:t>
            </w:r>
          </w:p>
        </w:tc>
        <w:tc>
          <w:tcPr>
            <w:tcW w:w="151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CP[ns]</w:t>
            </w:r>
          </w:p>
        </w:tc>
        <w:tc>
          <w:tcPr>
            <w:tcW w:w="285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data[ns]</w:t>
            </w:r>
          </w:p>
        </w:tc>
        <w:tc>
          <w:tcPr>
            <w:tcW w:w="3053"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Sampling Rate [MHz]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60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1171.875</w:t>
            </w:r>
          </w:p>
        </w:tc>
        <w:tc>
          <w:tcPr>
            <w:tcW w:w="28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16666.6</w:t>
            </w:r>
          </w:p>
        </w:tc>
        <w:tc>
          <w:tcPr>
            <w:tcW w:w="30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245.76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120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585.9375</w:t>
            </w:r>
          </w:p>
        </w:tc>
        <w:tc>
          <w:tcPr>
            <w:tcW w:w="285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8333.3</w:t>
            </w:r>
          </w:p>
        </w:tc>
        <w:tc>
          <w:tcPr>
            <w:tcW w:w="3053"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491.52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240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292.96875</w:t>
            </w:r>
          </w:p>
        </w:tc>
        <w:tc>
          <w:tcPr>
            <w:tcW w:w="28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4166.6</w:t>
            </w:r>
          </w:p>
        </w:tc>
        <w:tc>
          <w:tcPr>
            <w:tcW w:w="30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983.04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480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146.484375</w:t>
            </w:r>
          </w:p>
        </w:tc>
        <w:tc>
          <w:tcPr>
            <w:tcW w:w="28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2083.3</w:t>
            </w:r>
          </w:p>
        </w:tc>
        <w:tc>
          <w:tcPr>
            <w:tcW w:w="30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1966.08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960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highlight w:val="none"/>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73.2421875</w:t>
            </w:r>
          </w:p>
        </w:tc>
        <w:tc>
          <w:tcPr>
            <w:tcW w:w="28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highlight w:val="none"/>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1041.6</w:t>
            </w:r>
          </w:p>
        </w:tc>
        <w:tc>
          <w:tcPr>
            <w:tcW w:w="30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3932.16</w:t>
            </w:r>
          </w:p>
        </w:tc>
      </w:tr>
    </w:tbl>
    <w:p>
      <w:pPr>
        <w:jc w:val="center"/>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Table 1. Summary for CP and data length for different SCS</w:t>
      </w:r>
    </w:p>
    <w:p>
      <w:pPr>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Proposal</w:t>
      </w:r>
      <w:r>
        <w:rPr>
          <w:rFonts w:hint="eastAsia" w:ascii="Times New Roman" w:hAnsi="Times New Roman" w:cs="Times New Roman"/>
          <w:b/>
          <w:bCs/>
          <w:sz w:val="20"/>
          <w:szCs w:val="20"/>
          <w:lang w:val="en-US" w:eastAsia="zh-CN"/>
        </w:rPr>
        <w:t xml:space="preserve"> 1</w:t>
      </w:r>
      <w:r>
        <w:rPr>
          <w:rFonts w:hint="default" w:ascii="Times New Roman" w:hAnsi="Times New Roman" w:cs="Times New Roman"/>
          <w:b/>
          <w:bCs/>
          <w:sz w:val="20"/>
          <w:szCs w:val="20"/>
          <w:lang w:val="en-US" w:eastAsia="zh-CN"/>
        </w:rPr>
        <w:t xml:space="preserve">: </w:t>
      </w:r>
      <w:r>
        <w:rPr>
          <w:rFonts w:hint="eastAsia" w:ascii="Times New Roman" w:hAnsi="Times New Roman" w:cs="Times New Roman"/>
          <w:b/>
          <w:bCs/>
          <w:sz w:val="20"/>
          <w:szCs w:val="20"/>
          <w:lang w:val="en-US" w:eastAsia="zh-CN"/>
        </w:rPr>
        <w:t xml:space="preserve">from gNB perspective, </w:t>
      </w:r>
      <w:r>
        <w:rPr>
          <w:rFonts w:hint="default" w:ascii="Times New Roman" w:hAnsi="Times New Roman" w:cs="Times New Roman"/>
          <w:b/>
          <w:bCs/>
          <w:sz w:val="20"/>
          <w:szCs w:val="20"/>
          <w:lang w:val="en-US" w:eastAsia="zh-CN"/>
        </w:rPr>
        <w:t xml:space="preserve"> the feasible beam switching delay </w:t>
      </w:r>
      <w:r>
        <w:rPr>
          <w:rFonts w:hint="eastAsia" w:ascii="Times New Roman" w:hAnsi="Times New Roman" w:cs="Times New Roman"/>
          <w:b/>
          <w:bCs/>
          <w:sz w:val="20"/>
          <w:szCs w:val="20"/>
          <w:lang w:val="en-US" w:eastAsia="zh-CN"/>
        </w:rPr>
        <w:t xml:space="preserve">for 60GHz </w:t>
      </w:r>
      <w:r>
        <w:rPr>
          <w:rFonts w:hint="default" w:ascii="Times New Roman" w:hAnsi="Times New Roman" w:cs="Times New Roman"/>
          <w:b/>
          <w:bCs/>
          <w:sz w:val="20"/>
          <w:szCs w:val="20"/>
          <w:lang w:val="en-US" w:eastAsia="zh-CN"/>
        </w:rPr>
        <w:t xml:space="preserve">should be around 20ns </w:t>
      </w:r>
      <w:r>
        <w:rPr>
          <w:rFonts w:hint="eastAsia" w:ascii="Times New Roman" w:hAnsi="Times New Roman" w:cs="Times New Roman"/>
          <w:b/>
          <w:bCs/>
          <w:sz w:val="20"/>
          <w:szCs w:val="20"/>
          <w:lang w:val="en-US" w:eastAsia="zh-CN"/>
        </w:rPr>
        <w:t xml:space="preserve">with considerations of </w:t>
      </w:r>
      <w:r>
        <w:rPr>
          <w:rFonts w:hint="default" w:ascii="Times New Roman" w:hAnsi="Times New Roman" w:cs="Times New Roman"/>
          <w:b/>
          <w:bCs/>
          <w:sz w:val="20"/>
          <w:szCs w:val="20"/>
          <w:lang w:val="en-US" w:eastAsia="zh-CN"/>
        </w:rPr>
        <w:t xml:space="preserve"> manufacturin</w:t>
      </w:r>
      <w:r>
        <w:rPr>
          <w:rFonts w:hint="eastAsia" w:ascii="Times New Roman" w:hAnsi="Times New Roman" w:cs="Times New Roman"/>
          <w:b/>
          <w:bCs/>
          <w:sz w:val="20"/>
          <w:szCs w:val="20"/>
          <w:lang w:val="en-US" w:eastAsia="zh-CN"/>
        </w:rPr>
        <w:t>g</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s</w:t>
      </w:r>
      <w:r>
        <w:rPr>
          <w:rFonts w:hint="default" w:ascii="Times New Roman" w:hAnsi="Times New Roman" w:cs="Times New Roman"/>
          <w:b/>
          <w:bCs/>
          <w:sz w:val="20"/>
          <w:szCs w:val="20"/>
          <w:lang w:val="en-US" w:eastAsia="zh-CN"/>
        </w:rPr>
        <w:t xml:space="preserve"> variations.  </w:t>
      </w:r>
    </w:p>
    <w:p>
      <w:pPr>
        <w:keepNext w:val="0"/>
        <w:keepLines w:val="0"/>
        <w:pageBreakBefore w:val="0"/>
        <w:widowControl/>
        <w:kinsoku/>
        <w:wordWrap/>
        <w:overflowPunct/>
        <w:topLinePunct w:val="0"/>
        <w:autoSpaceDE/>
        <w:autoSpaceDN/>
        <w:bidi w:val="0"/>
        <w:adjustRightInd/>
        <w:snapToGrid/>
        <w:spacing w:line="260" w:lineRule="auto"/>
        <w:textAlignment w:val="auto"/>
        <w:outlineLvl w:val="1"/>
        <w:rPr>
          <w:rFonts w:hint="default" w:ascii="Arial" w:hAnsi="Arial" w:cs="Arial"/>
          <w:sz w:val="24"/>
          <w:szCs w:val="24"/>
          <w:lang w:val="en-US" w:eastAsia="zh-CN"/>
        </w:rPr>
      </w:pPr>
      <w:r>
        <w:rPr>
          <w:rFonts w:hint="eastAsia" w:ascii="Arial" w:hAnsi="Arial" w:cs="Arial"/>
          <w:sz w:val="24"/>
          <w:szCs w:val="24"/>
          <w:lang w:val="en-US" w:eastAsia="zh-CN"/>
        </w:rPr>
        <w:t>2.2. switching time between DL an UL</w:t>
      </w:r>
    </w:p>
    <w:p>
      <w:pPr>
        <w:pStyle w:val="23"/>
        <w:keepNext w:val="0"/>
        <w:keepLines w:val="0"/>
        <w:pageBreakBefore w:val="0"/>
        <w:widowControl/>
        <w:numPr>
          <w:ilvl w:val="0"/>
          <w:numId w:val="2"/>
        </w:numPr>
        <w:kinsoku/>
        <w:wordWrap/>
        <w:overflowPunct/>
        <w:topLinePunct w:val="0"/>
        <w:autoSpaceDE/>
        <w:autoSpaceDN/>
        <w:bidi w:val="0"/>
        <w:adjustRightInd/>
        <w:snapToGrid/>
        <w:ind w:left="726" w:leftChars="0" w:hanging="363"/>
        <w:textAlignment w:val="auto"/>
        <w:rPr>
          <w:rFonts w:hint="default" w:ascii="Times New Roman" w:hAnsi="Times New Roman" w:cs="Times New Roman"/>
          <w:sz w:val="20"/>
          <w:szCs w:val="20"/>
        </w:rPr>
      </w:pPr>
      <w:r>
        <w:rPr>
          <w:rFonts w:hint="default" w:ascii="Times New Roman" w:hAnsi="Times New Roman" w:cs="Times New Roman"/>
          <w:sz w:val="20"/>
          <w:szCs w:val="20"/>
        </w:rPr>
        <w:t>Switching from DL to UL</w:t>
      </w:r>
    </w:p>
    <w:p>
      <w:pPr>
        <w:pStyle w:val="23"/>
        <w:keepNext w:val="0"/>
        <w:keepLines w:val="0"/>
        <w:pageBreakBefore w:val="0"/>
        <w:widowControl/>
        <w:numPr>
          <w:ilvl w:val="0"/>
          <w:numId w:val="2"/>
        </w:numPr>
        <w:pBdr>
          <w:bottom w:val="none" w:color="auto" w:sz="0" w:space="0"/>
        </w:pBdr>
        <w:kinsoku/>
        <w:wordWrap/>
        <w:overflowPunct/>
        <w:topLinePunct w:val="0"/>
        <w:autoSpaceDE/>
        <w:autoSpaceDN/>
        <w:bidi w:val="0"/>
        <w:adjustRightInd/>
        <w:snapToGrid/>
        <w:ind w:left="726" w:leftChars="0" w:hanging="363"/>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rPr>
        <w:t xml:space="preserve">Switching from UL to DL </w:t>
      </w:r>
    </w:p>
    <w:p>
      <w:pPr>
        <w:pStyle w:val="8"/>
        <w:rPr>
          <w:rFonts w:hint="eastAsia" w:ascii="Times New Roman" w:hAnsi="Times New Roman" w:cs="Times New Roman"/>
          <w:b w:val="0"/>
          <w:sz w:val="20"/>
          <w:szCs w:val="20"/>
          <w:highlight w:val="none"/>
          <w:lang w:val="en-US" w:eastAsia="zh-CN" w:bidi="ar-SA"/>
        </w:rPr>
      </w:pPr>
      <w:r>
        <w:rPr>
          <w:rFonts w:hint="eastAsia" w:ascii="Times New Roman" w:hAnsi="Times New Roman" w:cs="Times New Roman" w:eastAsiaTheme="minorEastAsia"/>
          <w:b w:val="0"/>
          <w:sz w:val="20"/>
          <w:szCs w:val="20"/>
          <w:highlight w:val="none"/>
          <w:lang w:val="en-US" w:eastAsia="zh-CN" w:bidi="ar-SA"/>
        </w:rPr>
        <w:t xml:space="preserve">For the switching time from DL to UL and UL to DL, since those values are contributed by two major factors, ON-OFF/OFF-ON transient period and  cell synchronization error. For cell synchronization error </w:t>
      </w:r>
      <w:r>
        <w:rPr>
          <w:rFonts w:hint="eastAsia" w:ascii="Times New Roman" w:hAnsi="Times New Roman" w:cs="Times New Roman"/>
          <w:b w:val="0"/>
          <w:sz w:val="20"/>
          <w:szCs w:val="20"/>
          <w:highlight w:val="none"/>
          <w:lang w:val="en-US" w:eastAsia="zh-CN" w:bidi="ar-SA"/>
        </w:rPr>
        <w:t xml:space="preserve">as </w:t>
      </w:r>
      <w:r>
        <w:rPr>
          <w:rFonts w:hint="eastAsia" w:ascii="Times New Roman" w:hAnsi="Times New Roman" w:cs="Times New Roman" w:eastAsiaTheme="minorEastAsia"/>
          <w:b w:val="0"/>
          <w:sz w:val="20"/>
          <w:szCs w:val="20"/>
          <w:highlight w:val="none"/>
          <w:lang w:val="en-US" w:eastAsia="zh-CN" w:bidi="ar-SA"/>
        </w:rPr>
        <w:t>3us, it</w:t>
      </w:r>
      <w:r>
        <w:rPr>
          <w:rFonts w:hint="default" w:ascii="Times New Roman" w:hAnsi="Times New Roman" w:cs="Times New Roman" w:eastAsiaTheme="minorEastAsia"/>
          <w:b w:val="0"/>
          <w:sz w:val="20"/>
          <w:szCs w:val="20"/>
          <w:highlight w:val="none"/>
          <w:lang w:val="en-US" w:eastAsia="zh-CN" w:bidi="ar-SA"/>
        </w:rPr>
        <w:t>’</w:t>
      </w:r>
      <w:r>
        <w:rPr>
          <w:rFonts w:hint="eastAsia" w:ascii="Times New Roman" w:hAnsi="Times New Roman" w:cs="Times New Roman" w:eastAsiaTheme="minorEastAsia"/>
          <w:b w:val="0"/>
          <w:sz w:val="20"/>
          <w:szCs w:val="20"/>
          <w:highlight w:val="none"/>
          <w:lang w:val="en-US" w:eastAsia="zh-CN" w:bidi="ar-SA"/>
        </w:rPr>
        <w:t xml:space="preserve">s unlikely to be changed for 60GHz WID since similar timing network implementation and </w:t>
      </w:r>
      <w:r>
        <w:rPr>
          <w:rFonts w:hint="eastAsia" w:ascii="Times New Roman" w:hAnsi="Times New Roman" w:cs="Times New Roman"/>
          <w:b w:val="0"/>
          <w:sz w:val="20"/>
          <w:szCs w:val="20"/>
          <w:highlight w:val="none"/>
          <w:lang w:val="en-US" w:eastAsia="zh-CN" w:bidi="ar-SA"/>
        </w:rPr>
        <w:t xml:space="preserve">the </w:t>
      </w:r>
      <w:r>
        <w:rPr>
          <w:rFonts w:hint="eastAsia" w:ascii="Times New Roman" w:hAnsi="Times New Roman" w:cs="Times New Roman" w:eastAsiaTheme="minorEastAsia"/>
          <w:b w:val="0"/>
          <w:sz w:val="20"/>
          <w:szCs w:val="20"/>
          <w:highlight w:val="none"/>
          <w:lang w:val="en-US" w:eastAsia="zh-CN" w:bidi="ar-SA"/>
        </w:rPr>
        <w:t>extreme corner case</w:t>
      </w:r>
      <w:r>
        <w:rPr>
          <w:rFonts w:hint="eastAsia" w:ascii="Times New Roman" w:hAnsi="Times New Roman" w:cs="Times New Roman"/>
          <w:b w:val="0"/>
          <w:sz w:val="20"/>
          <w:szCs w:val="20"/>
          <w:highlight w:val="none"/>
          <w:lang w:val="en-US" w:eastAsia="zh-CN" w:bidi="ar-SA"/>
        </w:rPr>
        <w:t xml:space="preserve"> of 3us</w:t>
      </w:r>
      <w:r>
        <w:rPr>
          <w:rFonts w:hint="eastAsia" w:ascii="Times New Roman" w:hAnsi="Times New Roman" w:cs="Times New Roman" w:eastAsiaTheme="minorEastAsia"/>
          <w:b w:val="0"/>
          <w:sz w:val="20"/>
          <w:szCs w:val="20"/>
          <w:highlight w:val="none"/>
          <w:lang w:val="en-US" w:eastAsia="zh-CN" w:bidi="ar-SA"/>
        </w:rPr>
        <w:t xml:space="preserve"> as the existing FR2 network would be expected for 60GHz WID</w:t>
      </w:r>
      <w:r>
        <w:rPr>
          <w:rFonts w:hint="eastAsia" w:ascii="Times New Roman" w:hAnsi="Times New Roman" w:cs="Times New Roman"/>
          <w:b w:val="0"/>
          <w:sz w:val="20"/>
          <w:szCs w:val="20"/>
          <w:highlight w:val="none"/>
          <w:lang w:val="en-US" w:eastAsia="zh-CN" w:bidi="ar-SA"/>
        </w:rPr>
        <w:t xml:space="preserve"> unless there are some other deployment scenarios intended for</w:t>
      </w:r>
      <w:r>
        <w:rPr>
          <w:rFonts w:hint="eastAsia" w:ascii="Times New Roman" w:hAnsi="Times New Roman" w:cs="Times New Roman" w:eastAsiaTheme="minorEastAsia"/>
          <w:b w:val="0"/>
          <w:sz w:val="20"/>
          <w:szCs w:val="20"/>
          <w:highlight w:val="none"/>
          <w:lang w:val="en-US" w:eastAsia="zh-CN" w:bidi="ar-SA"/>
        </w:rPr>
        <w:t>. For ON-OFF/OFF-ON transition period, there were some concerns</w:t>
      </w:r>
      <w:r>
        <w:rPr>
          <w:rFonts w:hint="eastAsia" w:ascii="Times New Roman" w:hAnsi="Times New Roman" w:cs="Times New Roman"/>
          <w:b w:val="0"/>
          <w:sz w:val="20"/>
          <w:szCs w:val="20"/>
          <w:highlight w:val="none"/>
          <w:lang w:val="en-US" w:eastAsia="zh-CN" w:bidi="ar-SA"/>
        </w:rPr>
        <w:t xml:space="preserve"> [2]</w:t>
      </w:r>
      <w:r>
        <w:rPr>
          <w:rFonts w:hint="eastAsia" w:ascii="Times New Roman" w:hAnsi="Times New Roman" w:cs="Times New Roman" w:eastAsiaTheme="minorEastAsia"/>
          <w:b w:val="0"/>
          <w:sz w:val="20"/>
          <w:szCs w:val="20"/>
          <w:highlight w:val="none"/>
          <w:lang w:val="en-US" w:eastAsia="zh-CN" w:bidi="ar-SA"/>
        </w:rPr>
        <w:t xml:space="preserve"> raised in the last meeting on </w:t>
      </w:r>
      <w:r>
        <w:rPr>
          <w:rFonts w:hint="eastAsia" w:ascii="Times New Roman" w:hAnsi="Times New Roman" w:cs="Times New Roman"/>
          <w:b w:val="0"/>
          <w:sz w:val="20"/>
          <w:szCs w:val="20"/>
          <w:highlight w:val="none"/>
          <w:lang w:val="en-US" w:eastAsia="zh-CN" w:bidi="ar-SA"/>
        </w:rPr>
        <w:t>its</w:t>
      </w:r>
      <w:r>
        <w:rPr>
          <w:rFonts w:hint="eastAsia" w:ascii="Times New Roman" w:hAnsi="Times New Roman" w:cs="Times New Roman" w:eastAsiaTheme="minorEastAsia"/>
          <w:b w:val="0"/>
          <w:sz w:val="20"/>
          <w:szCs w:val="20"/>
          <w:highlight w:val="none"/>
          <w:lang w:val="en-US" w:eastAsia="zh-CN" w:bidi="ar-SA"/>
        </w:rPr>
        <w:t xml:space="preserve"> </w:t>
      </w:r>
      <w:r>
        <w:rPr>
          <w:rFonts w:hint="eastAsia" w:ascii="Times New Roman" w:hAnsi="Times New Roman" w:cs="Times New Roman"/>
          <w:b w:val="0"/>
          <w:sz w:val="20"/>
          <w:szCs w:val="20"/>
          <w:highlight w:val="none"/>
          <w:lang w:val="en-US" w:eastAsia="zh-CN" w:bidi="ar-SA"/>
        </w:rPr>
        <w:t xml:space="preserve">high </w:t>
      </w:r>
      <w:r>
        <w:rPr>
          <w:rFonts w:hint="eastAsia" w:ascii="Times New Roman" w:hAnsi="Times New Roman" w:cs="Times New Roman" w:eastAsiaTheme="minorEastAsia"/>
          <w:b w:val="0"/>
          <w:sz w:val="20"/>
          <w:szCs w:val="20"/>
          <w:highlight w:val="none"/>
          <w:lang w:val="en-US" w:eastAsia="zh-CN" w:bidi="ar-SA"/>
        </w:rPr>
        <w:t>overhead</w:t>
      </w:r>
      <w:r>
        <w:rPr>
          <w:rFonts w:hint="eastAsia" w:ascii="Times New Roman" w:hAnsi="Times New Roman" w:cs="Times New Roman"/>
          <w:b w:val="0"/>
          <w:sz w:val="20"/>
          <w:szCs w:val="20"/>
          <w:highlight w:val="none"/>
          <w:lang w:val="en-US" w:eastAsia="zh-CN" w:bidi="ar-SA"/>
        </w:rPr>
        <w:t xml:space="preserve"> especially for 480kHz and 960kHz and some further improvement are encouraged to be investigated.</w:t>
      </w:r>
    </w:p>
    <w:p>
      <w:pPr>
        <w:pStyle w:val="8"/>
        <w:rPr>
          <w:rFonts w:hint="eastAsia" w:ascii="Times New Roman" w:hAnsi="Times New Roman" w:cs="Times New Roman"/>
          <w:b w:val="0"/>
          <w:sz w:val="20"/>
          <w:szCs w:val="20"/>
          <w:highlight w:val="none"/>
          <w:lang w:val="en-US" w:eastAsia="zh-CN" w:bidi="ar-SA"/>
        </w:rPr>
      </w:pPr>
      <w:r>
        <w:rPr>
          <w:rFonts w:hint="eastAsia" w:ascii="Times New Roman" w:hAnsi="Times New Roman" w:cs="Times New Roman"/>
          <w:b w:val="0"/>
          <w:sz w:val="20"/>
          <w:szCs w:val="20"/>
          <w:highlight w:val="none"/>
          <w:lang w:val="en-US" w:eastAsia="zh-CN" w:bidi="ar-SA"/>
        </w:rPr>
        <w:t xml:space="preserve">From the hardware feasibility perspective, with the increasing operation frequency for 60GHz, then settling time for PLL might be shorter compared with that of existing FR2. In addition,  ramping up time and ramping down time of PA is highly related with the supported output power or electric current within the PA, if the output power for 60GHz is on the same level of  that for 45GHz and 28GHz and same PA </w:t>
      </w:r>
      <w:r>
        <w:rPr>
          <w:rFonts w:hint="default" w:ascii="Times New Roman" w:hAnsi="Times New Roman" w:cs="Times New Roman"/>
          <w:b w:val="0"/>
          <w:sz w:val="20"/>
          <w:szCs w:val="20"/>
          <w:highlight w:val="none"/>
          <w:lang w:val="en-US" w:eastAsia="zh-CN" w:bidi="ar-SA"/>
        </w:rPr>
        <w:t>manufacturin</w:t>
      </w:r>
      <w:r>
        <w:rPr>
          <w:rFonts w:hint="eastAsia" w:ascii="Times New Roman" w:hAnsi="Times New Roman" w:cs="Times New Roman"/>
          <w:b w:val="0"/>
          <w:sz w:val="20"/>
          <w:szCs w:val="20"/>
          <w:highlight w:val="none"/>
          <w:lang w:val="en-US" w:eastAsia="zh-CN" w:bidi="ar-SA"/>
        </w:rPr>
        <w:t xml:space="preserve">g material (e.g. GaAs, Si), then similar ramping up time and ramping down time could be expected for 60GHz as the existing FR2. </w:t>
      </w:r>
    </w:p>
    <w:p>
      <w:pPr>
        <w:pStyle w:val="8"/>
        <w:rPr>
          <w:rFonts w:hint="default" w:ascii="Times New Roman" w:hAnsi="Times New Roman" w:cs="Times New Roman"/>
          <w:b w:val="0"/>
          <w:sz w:val="20"/>
          <w:szCs w:val="20"/>
          <w:highlight w:val="none"/>
          <w:lang w:val="en-US" w:eastAsia="zh-CN" w:bidi="ar-SA"/>
        </w:rPr>
      </w:pPr>
    </w:p>
    <w:p>
      <w:pPr>
        <w:pStyle w:val="8"/>
        <w:rPr>
          <w:rFonts w:hint="eastAsia" w:ascii="Times New Roman" w:hAnsi="Times New Roman" w:cs="Times New Roman"/>
          <w:b/>
          <w:bCs/>
          <w:sz w:val="20"/>
          <w:szCs w:val="20"/>
          <w:highlight w:val="none"/>
          <w:lang w:val="en-US" w:eastAsia="zh-CN" w:bidi="ar-SA"/>
        </w:rPr>
      </w:pPr>
      <w:r>
        <w:rPr>
          <w:rFonts w:hint="eastAsia" w:ascii="Times New Roman" w:hAnsi="Times New Roman" w:cs="Times New Roman"/>
          <w:b/>
          <w:bCs/>
          <w:sz w:val="20"/>
          <w:szCs w:val="20"/>
          <w:highlight w:val="none"/>
          <w:lang w:val="en-US" w:eastAsia="zh-CN" w:bidi="ar-SA"/>
        </w:rPr>
        <w:t xml:space="preserve">Observation 2: if the output power for 60GHz is on the same level of  that for the existing FR2 and same PA </w:t>
      </w:r>
      <w:r>
        <w:rPr>
          <w:rFonts w:hint="default" w:ascii="Times New Roman" w:hAnsi="Times New Roman" w:cs="Times New Roman"/>
          <w:b/>
          <w:bCs/>
          <w:sz w:val="20"/>
          <w:szCs w:val="20"/>
          <w:highlight w:val="none"/>
          <w:lang w:val="en-US" w:eastAsia="zh-CN" w:bidi="ar-SA"/>
        </w:rPr>
        <w:t>manufacturin</w:t>
      </w:r>
      <w:r>
        <w:rPr>
          <w:rFonts w:hint="eastAsia" w:ascii="Times New Roman" w:hAnsi="Times New Roman" w:cs="Times New Roman"/>
          <w:b/>
          <w:bCs/>
          <w:sz w:val="20"/>
          <w:szCs w:val="20"/>
          <w:highlight w:val="none"/>
          <w:lang w:val="en-US" w:eastAsia="zh-CN" w:bidi="ar-SA"/>
        </w:rPr>
        <w:t xml:space="preserve">g material (e.g. GaAs, Si), then similar ramping up time and ramping down time could be expected for 60GHz. </w:t>
      </w:r>
    </w:p>
    <w:p>
      <w:pPr>
        <w:pStyle w:val="8"/>
        <w:rPr>
          <w:rFonts w:hint="eastAsia" w:ascii="宋体" w:hAnsi="宋体"/>
          <w:color w:val="000000"/>
          <w:sz w:val="18"/>
          <w:lang w:val="en-US" w:eastAsia="zh-CN"/>
        </w:rPr>
      </w:pPr>
      <w:r>
        <w:rPr>
          <w:rFonts w:hint="eastAsia" w:ascii="Times New Roman" w:hAnsi="Times New Roman" w:cs="Times New Roman"/>
          <w:b/>
          <w:bCs/>
          <w:sz w:val="20"/>
          <w:szCs w:val="20"/>
          <w:highlight w:val="none"/>
          <w:lang w:val="en-US" w:eastAsia="zh-CN" w:bidi="ar-SA"/>
        </w:rPr>
        <w:t xml:space="preserve">Proposal 2: for cell synchronization error for 60GHz WID, 3us should be reused. </w:t>
      </w:r>
    </w:p>
    <w:p>
      <w:pPr>
        <w:pStyle w:val="8"/>
        <w:rPr>
          <w:rFonts w:hint="eastAsia" w:ascii="Times New Roman" w:hAnsi="Times New Roman" w:cs="Times New Roman"/>
          <w:b w:val="0"/>
          <w:sz w:val="20"/>
          <w:szCs w:val="20"/>
          <w:highlight w:val="none"/>
          <w:lang w:val="en-US" w:eastAsia="zh-CN" w:bidi="ar-SA"/>
        </w:rPr>
      </w:pPr>
    </w:p>
    <w:p>
      <w:pPr>
        <w:pStyle w:val="8"/>
        <w:rPr>
          <w:rFonts w:hint="eastAsia" w:ascii="Times New Roman" w:hAnsi="Times New Roman" w:cs="Times New Roman"/>
          <w:b w:val="0"/>
          <w:sz w:val="20"/>
          <w:szCs w:val="20"/>
          <w:highlight w:val="none"/>
          <w:lang w:val="en-US" w:eastAsia="zh-CN" w:bidi="ar-SA"/>
        </w:rPr>
      </w:pPr>
      <w:r>
        <w:rPr>
          <w:rFonts w:hint="eastAsia" w:ascii="Times New Roman" w:hAnsi="Times New Roman" w:cs="Times New Roman"/>
          <w:b w:val="0"/>
          <w:sz w:val="20"/>
          <w:szCs w:val="20"/>
          <w:highlight w:val="none"/>
          <w:lang w:val="en-US" w:eastAsia="zh-CN" w:bidi="ar-SA"/>
        </w:rPr>
        <w:t xml:space="preserve">In addition, the analysis on the GP overhead with the following TDD periodicity assumption is shown in Table 1 and Table 2. It could be found that GP overhead might be too high if the same ON-OFF transition time for the existing FR2 with the proposed TDD periodicity was reused for 60GHz. Alternatives to reduce the GP overhead could be either extend the TDD periodicity for 480kHz and 960kHz or reduce ON-OFF transition time from BS and UE side to shorten the GP time.   </w:t>
      </w:r>
    </w:p>
    <w:p>
      <w:pPr>
        <w:pStyle w:val="8"/>
        <w:rPr>
          <w:rFonts w:hint="default" w:ascii="Times New Roman" w:hAnsi="Times New Roman" w:cs="Times New Roman"/>
          <w:b/>
          <w:bCs/>
          <w:sz w:val="20"/>
          <w:szCs w:val="20"/>
          <w:highlight w:val="none"/>
          <w:lang w:val="en-US" w:eastAsia="zh-CN" w:bidi="ar-SA"/>
        </w:rPr>
      </w:pPr>
      <w:r>
        <w:rPr>
          <w:rFonts w:hint="eastAsia" w:ascii="Times New Roman" w:hAnsi="Times New Roman" w:cs="Times New Roman"/>
          <w:b/>
          <w:bCs/>
          <w:sz w:val="20"/>
          <w:szCs w:val="20"/>
          <w:highlight w:val="none"/>
          <w:lang w:val="en-US" w:eastAsia="zh-CN" w:bidi="ar-SA"/>
        </w:rPr>
        <w:t xml:space="preserve">Observation 2: to reduce the GP overhead for 480kHz and 960kHz of 60GHz, alternatives could be either extend the TDD periodicity or reduce ON-OFF transition time from BS and UE side. </w:t>
      </w:r>
    </w:p>
    <w:p>
      <w:pPr>
        <w:pStyle w:val="4"/>
        <w:jc w:val="center"/>
        <w:rPr>
          <w:rFonts w:hint="eastAsia" w:eastAsia="宋体"/>
          <w:lang w:eastAsia="zh-CN"/>
        </w:rPr>
      </w:pPr>
      <w:bookmarkStart w:id="4" w:name="_Ref485032108"/>
      <w:r>
        <w:t xml:space="preserve">Table </w:t>
      </w:r>
      <w:r>
        <w:fldChar w:fldCharType="begin"/>
      </w:r>
      <w:r>
        <w:instrText xml:space="preserve"> SEQ Table \* ARABIC </w:instrText>
      </w:r>
      <w:r>
        <w:fldChar w:fldCharType="separate"/>
      </w:r>
      <w:r>
        <w:t>1</w:t>
      </w:r>
      <w:r>
        <w:fldChar w:fldCharType="end"/>
      </w:r>
      <w:bookmarkEnd w:id="4"/>
      <w:r>
        <w:rPr>
          <w:rFonts w:hint="eastAsia" w:eastAsia="宋体"/>
          <w:lang w:eastAsia="zh-CN"/>
        </w:rPr>
        <w:t xml:space="preserve"> </w:t>
      </w:r>
      <w:r>
        <w:rPr>
          <w:rFonts w:hint="eastAsia" w:eastAsia="宋体"/>
          <w:lang w:val="en-US" w:eastAsia="zh-CN"/>
        </w:rPr>
        <w:t xml:space="preserve">cell coverage analysis </w:t>
      </w:r>
    </w:p>
    <w:tbl>
      <w:tblPr>
        <w:tblStyle w:val="10"/>
        <w:tblW w:w="72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565"/>
        <w:gridCol w:w="1080"/>
        <w:gridCol w:w="1080"/>
        <w:gridCol w:w="1245"/>
        <w:gridCol w:w="1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256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Frequency range</w:t>
            </w:r>
          </w:p>
        </w:tc>
        <w:tc>
          <w:tcPr>
            <w:tcW w:w="2160" w:type="dxa"/>
            <w:gridSpan w:val="2"/>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Existing FR2</w:t>
            </w:r>
          </w:p>
        </w:tc>
        <w:tc>
          <w:tcPr>
            <w:tcW w:w="2490" w:type="dxa"/>
            <w:gridSpan w:val="2"/>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60GHz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Numerology (kHz)</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60</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120</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480</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GP (symbol)</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8</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GP (us)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Sync error (us)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BS OFF-ON (us)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UE OFF-ON (us)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Tcell (us)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1.3333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1.3333</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1.3332</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1.3328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Cell coverage (m)</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399.99</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399.99</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399.96</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399.84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Periodicity of TDD (ms)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0.25</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yellow"/>
                <w:u w:val="none"/>
              </w:rPr>
            </w:pPr>
            <w:r>
              <w:rPr>
                <w:rFonts w:hint="default" w:ascii="Times New Roman" w:hAnsi="Times New Roman" w:eastAsia="宋体" w:cs="Times New Roman"/>
                <w:i w:val="0"/>
                <w:color w:val="auto"/>
                <w:kern w:val="0"/>
                <w:sz w:val="20"/>
                <w:szCs w:val="20"/>
                <w:highlight w:val="yellow"/>
                <w:u w:val="none"/>
                <w:lang w:val="en-US" w:eastAsia="zh-CN" w:bidi="ar"/>
              </w:rPr>
              <w:t>0.0625</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yellow"/>
                <w:u w:val="none"/>
              </w:rPr>
            </w:pPr>
            <w:r>
              <w:rPr>
                <w:rFonts w:hint="default" w:ascii="Times New Roman" w:hAnsi="Times New Roman" w:eastAsia="宋体" w:cs="Times New Roman"/>
                <w:i w:val="0"/>
                <w:color w:val="auto"/>
                <w:kern w:val="0"/>
                <w:sz w:val="20"/>
                <w:szCs w:val="20"/>
                <w:highlight w:val="yellow"/>
                <w:u w:val="none"/>
                <w:lang w:val="en-US" w:eastAsia="zh-CN" w:bidi="ar"/>
              </w:rPr>
              <w:t>0.03125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GP overhead (%)</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3.58</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7.12</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yellow"/>
                <w:u w:val="none"/>
              </w:rPr>
            </w:pPr>
            <w:r>
              <w:rPr>
                <w:rFonts w:hint="default" w:ascii="Times New Roman" w:hAnsi="Times New Roman" w:eastAsia="宋体" w:cs="Times New Roman"/>
                <w:i w:val="0"/>
                <w:color w:val="auto"/>
                <w:kern w:val="0"/>
                <w:sz w:val="20"/>
                <w:szCs w:val="20"/>
                <w:highlight w:val="yellow"/>
                <w:u w:val="none"/>
                <w:lang w:val="en-US" w:eastAsia="zh-CN" w:bidi="ar"/>
              </w:rPr>
              <w:t xml:space="preserve">26.67 </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yellow"/>
                <w:u w:val="none"/>
              </w:rPr>
            </w:pPr>
            <w:r>
              <w:rPr>
                <w:rFonts w:hint="default" w:ascii="Times New Roman" w:hAnsi="Times New Roman" w:eastAsia="宋体" w:cs="Times New Roman"/>
                <w:i w:val="0"/>
                <w:color w:val="auto"/>
                <w:kern w:val="0"/>
                <w:sz w:val="20"/>
                <w:szCs w:val="20"/>
                <w:highlight w:val="yellow"/>
                <w:u w:val="none"/>
                <w:lang w:val="en-US" w:eastAsia="zh-CN" w:bidi="ar"/>
              </w:rPr>
              <w:t xml:space="preserve">53.33 </w:t>
            </w:r>
          </w:p>
        </w:tc>
      </w:tr>
    </w:tbl>
    <w:p>
      <w:pPr>
        <w:rPr>
          <w:rFonts w:hint="eastAsia" w:eastAsia="宋体"/>
          <w:lang w:eastAsia="zh-CN"/>
        </w:rPr>
      </w:pPr>
    </w:p>
    <w:p>
      <w:pPr>
        <w:pStyle w:val="4"/>
        <w:jc w:val="center"/>
        <w:rPr>
          <w:rFonts w:hint="eastAsia" w:eastAsia="宋体"/>
          <w:lang w:val="en-US" w:eastAsia="zh-CN"/>
        </w:rPr>
      </w:pPr>
      <w:bookmarkStart w:id="5" w:name="_Ref485032115"/>
      <w:r>
        <w:t xml:space="preserve">Table </w:t>
      </w:r>
      <w:r>
        <w:fldChar w:fldCharType="begin"/>
      </w:r>
      <w:r>
        <w:instrText xml:space="preserve"> SEQ Table \* ARABIC </w:instrText>
      </w:r>
      <w:r>
        <w:fldChar w:fldCharType="separate"/>
      </w:r>
      <w:r>
        <w:t>2</w:t>
      </w:r>
      <w:r>
        <w:fldChar w:fldCharType="end"/>
      </w:r>
      <w:bookmarkEnd w:id="5"/>
      <w:r>
        <w:rPr>
          <w:rFonts w:hint="eastAsia" w:eastAsia="宋体"/>
          <w:lang w:eastAsia="zh-CN"/>
        </w:rPr>
        <w:t xml:space="preserve"> </w:t>
      </w:r>
      <w:r>
        <w:rPr>
          <w:rFonts w:hint="eastAsia" w:eastAsia="宋体"/>
          <w:lang w:val="en-US" w:eastAsia="zh-CN"/>
        </w:rPr>
        <w:t xml:space="preserve">BS to BS distance without interference </w:t>
      </w:r>
    </w:p>
    <w:tbl>
      <w:tblPr>
        <w:tblStyle w:val="10"/>
        <w:tblW w:w="674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431"/>
        <w:gridCol w:w="1079"/>
        <w:gridCol w:w="1079"/>
        <w:gridCol w:w="1079"/>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jc w:val="center"/>
        </w:trPr>
        <w:tc>
          <w:tcPr>
            <w:tcW w:w="243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Frequency range</w:t>
            </w:r>
          </w:p>
        </w:tc>
        <w:tc>
          <w:tcPr>
            <w:tcW w:w="2158" w:type="dxa"/>
            <w:gridSpan w:val="2"/>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Existing FR2</w:t>
            </w:r>
          </w:p>
        </w:tc>
        <w:tc>
          <w:tcPr>
            <w:tcW w:w="2159" w:type="dxa"/>
            <w:gridSpan w:val="2"/>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60GHz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Numerology (kHz)</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120</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480</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GP (symbol)</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8</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GP (us)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16.67</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16.67</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Sync error (us)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BS ON-OFF (us)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BS OFF-ON (us)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Tbs-bs (us)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4.67</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4.67</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4.67 </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4.67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Two BSs distance (m)</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1401</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1401</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1399.92</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1399.68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Periodicity of TDD (ms)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0.5</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0.25</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yellow"/>
                <w:u w:val="none"/>
              </w:rPr>
            </w:pPr>
            <w:r>
              <w:rPr>
                <w:rFonts w:hint="default" w:ascii="Times New Roman" w:hAnsi="Times New Roman" w:eastAsia="宋体" w:cs="Times New Roman"/>
                <w:i w:val="0"/>
                <w:color w:val="auto"/>
                <w:kern w:val="0"/>
                <w:sz w:val="20"/>
                <w:szCs w:val="20"/>
                <w:highlight w:val="yellow"/>
                <w:u w:val="none"/>
                <w:lang w:val="en-US" w:eastAsia="zh-CN" w:bidi="ar"/>
              </w:rPr>
              <w:t>0.0625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yellow"/>
                <w:u w:val="none"/>
              </w:rPr>
            </w:pPr>
            <w:r>
              <w:rPr>
                <w:rFonts w:hint="default" w:ascii="Times New Roman" w:hAnsi="Times New Roman" w:eastAsia="宋体" w:cs="Times New Roman"/>
                <w:i w:val="0"/>
                <w:color w:val="auto"/>
                <w:kern w:val="0"/>
                <w:sz w:val="20"/>
                <w:szCs w:val="20"/>
                <w:highlight w:val="yellow"/>
                <w:u w:val="none"/>
                <w:lang w:val="en-US" w:eastAsia="zh-CN" w:bidi="ar"/>
              </w:rPr>
              <w:t>0.03125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GP overhead (%)</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3.334</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6.668</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yellow"/>
                <w:u w:val="none"/>
              </w:rPr>
            </w:pPr>
            <w:r>
              <w:rPr>
                <w:rFonts w:hint="default" w:ascii="Times New Roman" w:hAnsi="Times New Roman" w:eastAsia="宋体" w:cs="Times New Roman"/>
                <w:i w:val="0"/>
                <w:color w:val="auto"/>
                <w:kern w:val="0"/>
                <w:sz w:val="20"/>
                <w:szCs w:val="20"/>
                <w:highlight w:val="yellow"/>
                <w:u w:val="none"/>
                <w:lang w:val="en-US" w:eastAsia="zh-CN" w:bidi="ar"/>
              </w:rPr>
              <w:t xml:space="preserve">26.67 </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yellow"/>
                <w:u w:val="none"/>
              </w:rPr>
            </w:pPr>
            <w:r>
              <w:rPr>
                <w:rFonts w:hint="default" w:ascii="Times New Roman" w:hAnsi="Times New Roman" w:eastAsia="宋体" w:cs="Times New Roman"/>
                <w:i w:val="0"/>
                <w:color w:val="auto"/>
                <w:kern w:val="0"/>
                <w:sz w:val="20"/>
                <w:szCs w:val="20"/>
                <w:highlight w:val="yellow"/>
                <w:u w:val="none"/>
                <w:lang w:val="en-US" w:eastAsia="zh-CN" w:bidi="ar"/>
              </w:rPr>
              <w:t xml:space="preserve">53.33 </w:t>
            </w:r>
          </w:p>
        </w:tc>
      </w:tr>
    </w:tbl>
    <w:p>
      <w:pPr>
        <w:keepNext w:val="0"/>
        <w:keepLines w:val="0"/>
        <w:pageBreakBefore w:val="0"/>
        <w:widowControl/>
        <w:numPr>
          <w:ilvl w:val="0"/>
          <w:numId w:val="0"/>
        </w:numPr>
        <w:shd w:val="clear" w:color="auto" w:fill="FFFFFF"/>
        <w:kinsoku/>
        <w:wordWrap/>
        <w:overflowPunct/>
        <w:topLinePunct w:val="0"/>
        <w:autoSpaceDE/>
        <w:autoSpaceDN/>
        <w:bidi w:val="0"/>
        <w:adjustRightInd/>
        <w:snapToGrid/>
        <w:textAlignment w:val="auto"/>
        <w:outlineLvl w:val="9"/>
        <w:rPr>
          <w:rFonts w:hint="eastAsia" w:ascii="宋体" w:hAnsi="宋体" w:eastAsia="宋体" w:cs="Times New Roman"/>
          <w:color w:val="000000"/>
          <w:kern w:val="0"/>
          <w:sz w:val="12"/>
          <w:szCs w:val="12"/>
          <w:highlight w:val="none"/>
          <w:lang w:val="en-US" w:eastAsia="zh-CN"/>
        </w:rPr>
      </w:pPr>
    </w:p>
    <w:p>
      <w:pPr>
        <w:pStyle w:val="28"/>
        <w:ind w:left="357" w:hanging="357"/>
      </w:pPr>
      <w:r>
        <w:rPr>
          <w:rFonts w:hint="eastAsia"/>
          <w:lang w:val="en-US" w:eastAsia="zh-CN"/>
        </w:rPr>
        <w:t>Conclusion</w:t>
      </w:r>
    </w:p>
    <w:p>
      <w:pPr>
        <w:rPr>
          <w:rFonts w:ascii="Arial" w:hAnsi="Arial" w:cs="Arial"/>
          <w:sz w:val="20"/>
          <w:szCs w:val="20"/>
          <w:lang w:val="en-US"/>
        </w:rPr>
      </w:pPr>
      <w:r>
        <w:rPr>
          <w:rFonts w:hint="eastAsia" w:ascii="Times New Roman" w:hAnsi="Times New Roman" w:cs="Times New Roman"/>
          <w:sz w:val="20"/>
          <w:szCs w:val="20"/>
          <w:lang w:val="en-US" w:eastAsia="zh-CN"/>
        </w:rPr>
        <w:t>In this contribution, we want to share more initial understandings on these aspects.</w:t>
      </w:r>
    </w:p>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Observation 1:  switching delay for Tx and Rx beams should be the same.</w:t>
      </w:r>
    </w:p>
    <w:p>
      <w:pPr>
        <w:pStyle w:val="8"/>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highlight w:val="none"/>
          <w:lang w:val="en-US" w:eastAsia="zh-CN" w:bidi="ar-SA"/>
        </w:rPr>
        <w:t xml:space="preserve">Observation 2: if the output power for 60GHz is on the same level of  that for the existing FR2 and same PA </w:t>
      </w:r>
      <w:r>
        <w:rPr>
          <w:rFonts w:hint="default" w:ascii="Times New Roman" w:hAnsi="Times New Roman" w:cs="Times New Roman"/>
          <w:b/>
          <w:bCs/>
          <w:sz w:val="20"/>
          <w:szCs w:val="20"/>
          <w:highlight w:val="none"/>
          <w:lang w:val="en-US" w:eastAsia="zh-CN" w:bidi="ar-SA"/>
        </w:rPr>
        <w:t>manufacturin</w:t>
      </w:r>
      <w:r>
        <w:rPr>
          <w:rFonts w:hint="eastAsia" w:ascii="Times New Roman" w:hAnsi="Times New Roman" w:cs="Times New Roman"/>
          <w:b/>
          <w:bCs/>
          <w:sz w:val="20"/>
          <w:szCs w:val="20"/>
          <w:highlight w:val="none"/>
          <w:lang w:val="en-US" w:eastAsia="zh-CN" w:bidi="ar-SA"/>
        </w:rPr>
        <w:t xml:space="preserve">g material (e.g. GaAs, Si), then similar ramping up time and ramping down time could be expected for 60GHz. </w:t>
      </w:r>
    </w:p>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Proposal</w:t>
      </w:r>
      <w:r>
        <w:rPr>
          <w:rFonts w:hint="eastAsia" w:ascii="Times New Roman" w:hAnsi="Times New Roman" w:cs="Times New Roman"/>
          <w:b/>
          <w:bCs/>
          <w:sz w:val="20"/>
          <w:szCs w:val="20"/>
          <w:lang w:val="en-US" w:eastAsia="zh-CN"/>
        </w:rPr>
        <w:t xml:space="preserve"> 1</w:t>
      </w:r>
      <w:r>
        <w:rPr>
          <w:rFonts w:hint="default" w:ascii="Times New Roman" w:hAnsi="Times New Roman" w:cs="Times New Roman"/>
          <w:b/>
          <w:bCs/>
          <w:sz w:val="20"/>
          <w:szCs w:val="20"/>
          <w:lang w:val="en-US" w:eastAsia="zh-CN"/>
        </w:rPr>
        <w:t xml:space="preserve">: </w:t>
      </w:r>
      <w:r>
        <w:rPr>
          <w:rFonts w:hint="eastAsia" w:ascii="Times New Roman" w:hAnsi="Times New Roman" w:cs="Times New Roman"/>
          <w:b/>
          <w:bCs/>
          <w:sz w:val="20"/>
          <w:szCs w:val="20"/>
          <w:lang w:val="en-US" w:eastAsia="zh-CN"/>
        </w:rPr>
        <w:t xml:space="preserve">from gNB perspective, </w:t>
      </w:r>
      <w:r>
        <w:rPr>
          <w:rFonts w:hint="default" w:ascii="Times New Roman" w:hAnsi="Times New Roman" w:cs="Times New Roman"/>
          <w:b/>
          <w:bCs/>
          <w:sz w:val="20"/>
          <w:szCs w:val="20"/>
          <w:lang w:val="en-US" w:eastAsia="zh-CN"/>
        </w:rPr>
        <w:t xml:space="preserve"> the feasible beam switching delay </w:t>
      </w:r>
      <w:r>
        <w:rPr>
          <w:rFonts w:hint="eastAsia" w:ascii="Times New Roman" w:hAnsi="Times New Roman" w:cs="Times New Roman"/>
          <w:b/>
          <w:bCs/>
          <w:sz w:val="20"/>
          <w:szCs w:val="20"/>
          <w:lang w:val="en-US" w:eastAsia="zh-CN"/>
        </w:rPr>
        <w:t xml:space="preserve">for 60GHz </w:t>
      </w:r>
      <w:r>
        <w:rPr>
          <w:rFonts w:hint="default" w:ascii="Times New Roman" w:hAnsi="Times New Roman" w:cs="Times New Roman"/>
          <w:b/>
          <w:bCs/>
          <w:sz w:val="20"/>
          <w:szCs w:val="20"/>
          <w:lang w:val="en-US" w:eastAsia="zh-CN"/>
        </w:rPr>
        <w:t xml:space="preserve">should be around 20ns </w:t>
      </w:r>
      <w:r>
        <w:rPr>
          <w:rFonts w:hint="eastAsia" w:ascii="Times New Roman" w:hAnsi="Times New Roman" w:cs="Times New Roman"/>
          <w:b/>
          <w:bCs/>
          <w:sz w:val="20"/>
          <w:szCs w:val="20"/>
          <w:lang w:val="en-US" w:eastAsia="zh-CN"/>
        </w:rPr>
        <w:t xml:space="preserve">with considerations of </w:t>
      </w:r>
      <w:r>
        <w:rPr>
          <w:rFonts w:hint="default" w:ascii="Times New Roman" w:hAnsi="Times New Roman" w:cs="Times New Roman"/>
          <w:b/>
          <w:bCs/>
          <w:sz w:val="20"/>
          <w:szCs w:val="20"/>
          <w:lang w:val="en-US" w:eastAsia="zh-CN"/>
        </w:rPr>
        <w:t xml:space="preserve"> manufacturin</w:t>
      </w:r>
      <w:r>
        <w:rPr>
          <w:rFonts w:hint="eastAsia" w:ascii="Times New Roman" w:hAnsi="Times New Roman" w:cs="Times New Roman"/>
          <w:b/>
          <w:bCs/>
          <w:sz w:val="20"/>
          <w:szCs w:val="20"/>
          <w:lang w:val="en-US" w:eastAsia="zh-CN"/>
        </w:rPr>
        <w:t>g</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s</w:t>
      </w:r>
      <w:r>
        <w:rPr>
          <w:rFonts w:hint="default" w:ascii="Times New Roman" w:hAnsi="Times New Roman" w:cs="Times New Roman"/>
          <w:b/>
          <w:bCs/>
          <w:sz w:val="20"/>
          <w:szCs w:val="20"/>
          <w:lang w:val="en-US" w:eastAsia="zh-CN"/>
        </w:rPr>
        <w:t xml:space="preserve"> variation</w:t>
      </w:r>
      <w:r>
        <w:rPr>
          <w:rFonts w:hint="default" w:ascii="Times New Roman" w:hAnsi="Times New Roman" w:cs="Times New Roman"/>
          <w:sz w:val="20"/>
          <w:szCs w:val="20"/>
          <w:lang w:val="en-US" w:eastAsia="zh-CN"/>
        </w:rPr>
        <w:t xml:space="preserve">s.  </w:t>
      </w:r>
      <w:r>
        <w:rPr>
          <w:rFonts w:hint="default" w:ascii="Times New Roman" w:hAnsi="Times New Roman" w:cs="Times New Roman"/>
          <w:b/>
          <w:bCs/>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eastAsia" w:ascii="Times New Roman" w:hAnsi="Times New Roman" w:cs="Times New Roman"/>
          <w:b/>
          <w:bCs/>
          <w:sz w:val="20"/>
          <w:szCs w:val="20"/>
          <w:highlight w:val="none"/>
          <w:lang w:val="en-US" w:eastAsia="zh-CN" w:bidi="ar-SA"/>
        </w:rPr>
      </w:pPr>
      <w:r>
        <w:rPr>
          <w:rFonts w:hint="eastAsia" w:ascii="Times New Roman" w:hAnsi="Times New Roman" w:cs="Times New Roman"/>
          <w:b/>
          <w:bCs/>
          <w:sz w:val="20"/>
          <w:szCs w:val="20"/>
          <w:highlight w:val="none"/>
          <w:lang w:val="en-US" w:eastAsia="zh-CN" w:bidi="ar-SA"/>
        </w:rPr>
        <w:t xml:space="preserve">Proposal 2: for cell synchronization error for 60GHz WID, 3us should be reused. </w:t>
      </w:r>
    </w:p>
    <w:p>
      <w:pPr>
        <w:pStyle w:val="8"/>
        <w:rPr>
          <w:rFonts w:hint="default" w:ascii="Times New Roman" w:hAnsi="Times New Roman" w:cs="Times New Roman"/>
          <w:b/>
          <w:bCs/>
          <w:sz w:val="20"/>
          <w:szCs w:val="20"/>
          <w:highlight w:val="none"/>
          <w:lang w:val="en-US" w:eastAsia="zh-CN" w:bidi="ar-SA"/>
        </w:rPr>
      </w:pPr>
      <w:r>
        <w:rPr>
          <w:rFonts w:hint="eastAsia" w:ascii="Times New Roman" w:hAnsi="Times New Roman" w:cs="Times New Roman"/>
          <w:b/>
          <w:bCs/>
          <w:sz w:val="20"/>
          <w:szCs w:val="20"/>
          <w:highlight w:val="none"/>
          <w:lang w:val="en-US" w:eastAsia="zh-CN" w:bidi="ar-SA"/>
        </w:rPr>
        <w:t xml:space="preserve">Observation 2: to reduce the GP overhead for 480kHz and 960kHz of 60GHz, alternatives could be either extend the TDD periodicity or reduce ON-OFF transition time from BS and UE side. </w:t>
      </w:r>
    </w:p>
    <w:p>
      <w:pPr>
        <w:pStyle w:val="28"/>
        <w:ind w:left="357" w:hanging="357"/>
      </w:pPr>
      <w:r>
        <w:rPr>
          <w:rFonts w:hint="eastAsia"/>
          <w:lang w:val="en-US" w:eastAsia="zh-CN"/>
        </w:rPr>
        <w:t>Reference</w:t>
      </w:r>
    </w:p>
    <w:p>
      <w:pPr>
        <w:numPr>
          <w:ilvl w:val="0"/>
          <w:numId w:val="3"/>
        </w:num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TR 38.817-02</w:t>
      </w:r>
    </w:p>
    <w:p>
      <w:pPr>
        <w:numPr>
          <w:ilvl w:val="0"/>
          <w:numId w:val="3"/>
        </w:numPr>
        <w:ind w:left="0" w:leftChars="0" w:firstLine="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R4-2105413</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Way forward on 60GHz beam switching, Noted</w:t>
      </w:r>
    </w:p>
    <w:p>
      <w:pPr>
        <w:numPr>
          <w:ilvl w:val="0"/>
          <w:numId w:val="3"/>
        </w:numPr>
        <w:ind w:left="0" w:leftChars="0" w:firstLine="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R4-2105414</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LS out on 60GHz beam switching, Noted</w:t>
      </w:r>
    </w:p>
    <w:p>
      <w:pPr>
        <w:pStyle w:val="8"/>
        <w:tabs>
          <w:tab w:val="right" w:pos="10440"/>
          <w:tab w:val="right" w:pos="13323"/>
        </w:tabs>
        <w:rPr>
          <w:rFonts w:hint="default" w:eastAsia="宋体" w:cs="Arial"/>
          <w:sz w:val="24"/>
          <w:szCs w:val="24"/>
          <w:lang w:val="en-US" w:eastAsia="ja-JP"/>
        </w:rPr>
      </w:pPr>
    </w:p>
    <w:p>
      <w:pPr>
        <w:rPr>
          <w:rFonts w:hint="default" w:ascii="Times New Roman" w:hAnsi="Times New Roman" w:cs="Times New Roman"/>
          <w:sz w:val="20"/>
          <w:szCs w:val="20"/>
          <w:lang w:val="en-US" w:eastAsia="zh-CN"/>
        </w:rPr>
      </w:pPr>
    </w:p>
    <w:p>
      <w:pPr>
        <w:rPr>
          <w:rFonts w:hint="default" w:ascii="Times New Roman" w:hAnsi="Times New Roman" w:cs="Times New Roman"/>
          <w:sz w:val="20"/>
          <w:szCs w:val="20"/>
          <w:lang w:val="en-US" w:eastAsia="zh-CN"/>
        </w:rPr>
      </w:pPr>
    </w:p>
    <w:p>
      <w:pPr>
        <w:numPr>
          <w:ilvl w:val="0"/>
          <w:numId w:val="0"/>
        </w:numPr>
        <w:rPr>
          <w:rFonts w:hint="eastAsia" w:ascii="Times New Roman" w:hAnsi="Times New Roman" w:cs="Times New Roman"/>
          <w:lang w:val="en-US" w:eastAsia="zh-CN"/>
        </w:rPr>
      </w:pPr>
    </w:p>
    <w:p>
      <w:pPr>
        <w:rPr>
          <w:sz w:val="2"/>
          <w:szCs w:val="2"/>
          <w:lang w:val="en-GB"/>
        </w:rPr>
      </w:pPr>
    </w:p>
    <w:sectPr>
      <w:pgSz w:w="11906" w:h="16838"/>
      <w:pgMar w:top="1417" w:right="1134" w:bottom="1417" w:left="1134" w:header="708" w:footer="708" w:gutter="0"/>
      <w:pgBorders>
        <w:top w:val="single" w:color="auto" w:sz="4" w:space="1"/>
        <w:left w:val="single" w:color="auto" w:sz="4" w:space="4"/>
        <w:bottom w:val="single" w:color="auto" w:sz="4" w:space="1"/>
        <w:right w:val="single" w:color="auto" w:sz="4" w:space="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E237E"/>
    <w:multiLevelType w:val="multilevel"/>
    <w:tmpl w:val="41DE237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F83DE84"/>
    <w:multiLevelType w:val="singleLevel"/>
    <w:tmpl w:val="5F83DE84"/>
    <w:lvl w:ilvl="0" w:tentative="0">
      <w:start w:val="1"/>
      <w:numFmt w:val="decimal"/>
      <w:suff w:val="space"/>
      <w:lvlText w:val="[%1]"/>
      <w:lvlJc w:val="left"/>
    </w:lvl>
  </w:abstractNum>
  <w:abstractNum w:abstractNumId="2">
    <w:nsid w:val="665C217B"/>
    <w:multiLevelType w:val="multilevel"/>
    <w:tmpl w:val="665C217B"/>
    <w:lvl w:ilvl="0" w:tentative="0">
      <w:start w:val="1"/>
      <w:numFmt w:val="decimal"/>
      <w:pStyle w:val="28"/>
      <w:lvlText w:val="%1"/>
      <w:lvlJc w:val="left"/>
      <w:pPr>
        <w:ind w:left="5322" w:hanging="360"/>
      </w:pPr>
      <w:rPr>
        <w:rFonts w:hint="default"/>
      </w:rPr>
    </w:lvl>
    <w:lvl w:ilvl="1" w:tentative="0">
      <w:start w:val="1"/>
      <w:numFmt w:val="decimal"/>
      <w:pStyle w:val="27"/>
      <w:lvlText w:val="%1.%2"/>
      <w:lvlJc w:val="left"/>
      <w:pPr>
        <w:ind w:left="792" w:hanging="432"/>
      </w:pPr>
      <w:rPr>
        <w:rFonts w:hint="default"/>
        <w:lang w:val="en-US"/>
      </w:rPr>
    </w:lvl>
    <w:lvl w:ilvl="2" w:tentative="0">
      <w:start w:val="1"/>
      <w:numFmt w:val="decimal"/>
      <w:pStyle w:val="30"/>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A6A"/>
    <w:rsid w:val="00046F87"/>
    <w:rsid w:val="00082DBA"/>
    <w:rsid w:val="000B2E84"/>
    <w:rsid w:val="000C2305"/>
    <w:rsid w:val="00122AA1"/>
    <w:rsid w:val="00175954"/>
    <w:rsid w:val="001A1AB5"/>
    <w:rsid w:val="00250E71"/>
    <w:rsid w:val="00287C3E"/>
    <w:rsid w:val="002C1256"/>
    <w:rsid w:val="002E3CF4"/>
    <w:rsid w:val="00327E6C"/>
    <w:rsid w:val="00383D11"/>
    <w:rsid w:val="003B04FB"/>
    <w:rsid w:val="00493745"/>
    <w:rsid w:val="004B67A8"/>
    <w:rsid w:val="004C5466"/>
    <w:rsid w:val="004E7E9D"/>
    <w:rsid w:val="0050312E"/>
    <w:rsid w:val="00526459"/>
    <w:rsid w:val="00533501"/>
    <w:rsid w:val="00592F0F"/>
    <w:rsid w:val="005F4B9F"/>
    <w:rsid w:val="005F4D4C"/>
    <w:rsid w:val="00631CE4"/>
    <w:rsid w:val="00635802"/>
    <w:rsid w:val="00653678"/>
    <w:rsid w:val="0066786F"/>
    <w:rsid w:val="006A65C1"/>
    <w:rsid w:val="006B5BE9"/>
    <w:rsid w:val="006C0AED"/>
    <w:rsid w:val="006C59A2"/>
    <w:rsid w:val="006E0357"/>
    <w:rsid w:val="006F7242"/>
    <w:rsid w:val="00702E51"/>
    <w:rsid w:val="007464CF"/>
    <w:rsid w:val="007B6EF9"/>
    <w:rsid w:val="007C2B39"/>
    <w:rsid w:val="007C5A87"/>
    <w:rsid w:val="007E145E"/>
    <w:rsid w:val="00821446"/>
    <w:rsid w:val="008266A6"/>
    <w:rsid w:val="0084769B"/>
    <w:rsid w:val="00850585"/>
    <w:rsid w:val="00867845"/>
    <w:rsid w:val="0087697D"/>
    <w:rsid w:val="008A0FFE"/>
    <w:rsid w:val="008B02EF"/>
    <w:rsid w:val="008C0A4D"/>
    <w:rsid w:val="00902649"/>
    <w:rsid w:val="00907F01"/>
    <w:rsid w:val="00936EBA"/>
    <w:rsid w:val="00937031"/>
    <w:rsid w:val="009627CA"/>
    <w:rsid w:val="009873D9"/>
    <w:rsid w:val="009B75AE"/>
    <w:rsid w:val="009D0DF6"/>
    <w:rsid w:val="00A14548"/>
    <w:rsid w:val="00A33A8F"/>
    <w:rsid w:val="00A65080"/>
    <w:rsid w:val="00A747A1"/>
    <w:rsid w:val="00A767A5"/>
    <w:rsid w:val="00AE00F6"/>
    <w:rsid w:val="00AE698B"/>
    <w:rsid w:val="00AF57B8"/>
    <w:rsid w:val="00B6166E"/>
    <w:rsid w:val="00B712F1"/>
    <w:rsid w:val="00BE6601"/>
    <w:rsid w:val="00CA5C5D"/>
    <w:rsid w:val="00CC3291"/>
    <w:rsid w:val="00CD7649"/>
    <w:rsid w:val="00CE0568"/>
    <w:rsid w:val="00D16C2B"/>
    <w:rsid w:val="00DC0577"/>
    <w:rsid w:val="00DE384E"/>
    <w:rsid w:val="00E704F3"/>
    <w:rsid w:val="00F54A4B"/>
    <w:rsid w:val="00F8093B"/>
    <w:rsid w:val="00FD0B27"/>
    <w:rsid w:val="011F2F24"/>
    <w:rsid w:val="015E4232"/>
    <w:rsid w:val="01700061"/>
    <w:rsid w:val="01A65967"/>
    <w:rsid w:val="01EC722D"/>
    <w:rsid w:val="02412FA9"/>
    <w:rsid w:val="0250155B"/>
    <w:rsid w:val="026E511D"/>
    <w:rsid w:val="028A04A8"/>
    <w:rsid w:val="02D115CF"/>
    <w:rsid w:val="02D53AE2"/>
    <w:rsid w:val="03274C7D"/>
    <w:rsid w:val="03A53295"/>
    <w:rsid w:val="042E1F69"/>
    <w:rsid w:val="045E05B4"/>
    <w:rsid w:val="04B61819"/>
    <w:rsid w:val="04F82E8F"/>
    <w:rsid w:val="058F1907"/>
    <w:rsid w:val="05C84DFD"/>
    <w:rsid w:val="0610298E"/>
    <w:rsid w:val="062B5503"/>
    <w:rsid w:val="06423291"/>
    <w:rsid w:val="0675264F"/>
    <w:rsid w:val="06A378CE"/>
    <w:rsid w:val="06C21E7F"/>
    <w:rsid w:val="072B542B"/>
    <w:rsid w:val="0747465C"/>
    <w:rsid w:val="07C84095"/>
    <w:rsid w:val="07CA3AB8"/>
    <w:rsid w:val="07EE4F66"/>
    <w:rsid w:val="07F05D66"/>
    <w:rsid w:val="08720720"/>
    <w:rsid w:val="08BE52F7"/>
    <w:rsid w:val="08FE47BF"/>
    <w:rsid w:val="09250C6C"/>
    <w:rsid w:val="094125E6"/>
    <w:rsid w:val="095D2018"/>
    <w:rsid w:val="09633366"/>
    <w:rsid w:val="096A56B8"/>
    <w:rsid w:val="096D34E7"/>
    <w:rsid w:val="0A154DBC"/>
    <w:rsid w:val="0B0D502B"/>
    <w:rsid w:val="0B473866"/>
    <w:rsid w:val="0B57018A"/>
    <w:rsid w:val="0B8B1CF0"/>
    <w:rsid w:val="0BA26A23"/>
    <w:rsid w:val="0BF312F3"/>
    <w:rsid w:val="0C8A6BEA"/>
    <w:rsid w:val="0D0103DD"/>
    <w:rsid w:val="0D4B3E85"/>
    <w:rsid w:val="0D584E99"/>
    <w:rsid w:val="0D63739B"/>
    <w:rsid w:val="0DFE1899"/>
    <w:rsid w:val="0E147F5D"/>
    <w:rsid w:val="0E5B090F"/>
    <w:rsid w:val="0F00462F"/>
    <w:rsid w:val="0F4A40B0"/>
    <w:rsid w:val="0F95455A"/>
    <w:rsid w:val="0F964F69"/>
    <w:rsid w:val="0F9B7E21"/>
    <w:rsid w:val="0FA01B12"/>
    <w:rsid w:val="0FA74CB9"/>
    <w:rsid w:val="0FA76D4B"/>
    <w:rsid w:val="0FED1C74"/>
    <w:rsid w:val="10B1451D"/>
    <w:rsid w:val="10D56BFF"/>
    <w:rsid w:val="10ED53A3"/>
    <w:rsid w:val="10F15B46"/>
    <w:rsid w:val="10FA5524"/>
    <w:rsid w:val="114429B1"/>
    <w:rsid w:val="11571A01"/>
    <w:rsid w:val="116A1ADB"/>
    <w:rsid w:val="116E5C05"/>
    <w:rsid w:val="119975E6"/>
    <w:rsid w:val="11AB368D"/>
    <w:rsid w:val="11B555E3"/>
    <w:rsid w:val="11DF4DD5"/>
    <w:rsid w:val="12413694"/>
    <w:rsid w:val="127D4D14"/>
    <w:rsid w:val="12EF1D14"/>
    <w:rsid w:val="134A50F6"/>
    <w:rsid w:val="1355293B"/>
    <w:rsid w:val="13D127A7"/>
    <w:rsid w:val="14DB6530"/>
    <w:rsid w:val="14DD571E"/>
    <w:rsid w:val="14EC230C"/>
    <w:rsid w:val="14FC3D3F"/>
    <w:rsid w:val="15502B44"/>
    <w:rsid w:val="15D62E11"/>
    <w:rsid w:val="16B2440A"/>
    <w:rsid w:val="16B67E2E"/>
    <w:rsid w:val="16C30031"/>
    <w:rsid w:val="16D373E2"/>
    <w:rsid w:val="16D51E73"/>
    <w:rsid w:val="16DD174A"/>
    <w:rsid w:val="17480112"/>
    <w:rsid w:val="174E56B4"/>
    <w:rsid w:val="17751D02"/>
    <w:rsid w:val="17FE46F6"/>
    <w:rsid w:val="17FE4A8D"/>
    <w:rsid w:val="180B674F"/>
    <w:rsid w:val="1835144B"/>
    <w:rsid w:val="184274EC"/>
    <w:rsid w:val="18483708"/>
    <w:rsid w:val="18513FAD"/>
    <w:rsid w:val="18A2447E"/>
    <w:rsid w:val="18D8528B"/>
    <w:rsid w:val="18E21ABA"/>
    <w:rsid w:val="18F31591"/>
    <w:rsid w:val="190004B4"/>
    <w:rsid w:val="1918542A"/>
    <w:rsid w:val="192A7A76"/>
    <w:rsid w:val="193B0232"/>
    <w:rsid w:val="19973FAC"/>
    <w:rsid w:val="19DB5CB9"/>
    <w:rsid w:val="19E54FE8"/>
    <w:rsid w:val="1A1F50AD"/>
    <w:rsid w:val="1A2A3ED6"/>
    <w:rsid w:val="1A6D0F36"/>
    <w:rsid w:val="1AD45518"/>
    <w:rsid w:val="1B074673"/>
    <w:rsid w:val="1B167875"/>
    <w:rsid w:val="1B284D48"/>
    <w:rsid w:val="1B7539A1"/>
    <w:rsid w:val="1B8B39A2"/>
    <w:rsid w:val="1B962B49"/>
    <w:rsid w:val="1BE60B0A"/>
    <w:rsid w:val="1BF91E15"/>
    <w:rsid w:val="1C345DA5"/>
    <w:rsid w:val="1C933032"/>
    <w:rsid w:val="1CB311C5"/>
    <w:rsid w:val="1CB40473"/>
    <w:rsid w:val="1CCD7219"/>
    <w:rsid w:val="1CE819CE"/>
    <w:rsid w:val="1D3A5803"/>
    <w:rsid w:val="1D3B40F8"/>
    <w:rsid w:val="1D4110F7"/>
    <w:rsid w:val="1D437361"/>
    <w:rsid w:val="1D7E7319"/>
    <w:rsid w:val="1D8263AC"/>
    <w:rsid w:val="1DCF3DCB"/>
    <w:rsid w:val="1DD678F3"/>
    <w:rsid w:val="1DD973E1"/>
    <w:rsid w:val="1DDF12B2"/>
    <w:rsid w:val="1DF51C5D"/>
    <w:rsid w:val="1E5529DB"/>
    <w:rsid w:val="1E9B1753"/>
    <w:rsid w:val="1ED07173"/>
    <w:rsid w:val="1ED56E58"/>
    <w:rsid w:val="1ED75EBD"/>
    <w:rsid w:val="1EDC767F"/>
    <w:rsid w:val="1EEA6814"/>
    <w:rsid w:val="1EF93BE8"/>
    <w:rsid w:val="1EFF3E03"/>
    <w:rsid w:val="1F665C58"/>
    <w:rsid w:val="1FA01395"/>
    <w:rsid w:val="2007051C"/>
    <w:rsid w:val="201B6190"/>
    <w:rsid w:val="204B50CB"/>
    <w:rsid w:val="20A13DFB"/>
    <w:rsid w:val="20CB3F2D"/>
    <w:rsid w:val="20D03FFA"/>
    <w:rsid w:val="211E0A35"/>
    <w:rsid w:val="215D5844"/>
    <w:rsid w:val="2187092C"/>
    <w:rsid w:val="219A3BD1"/>
    <w:rsid w:val="21E91AA5"/>
    <w:rsid w:val="22305865"/>
    <w:rsid w:val="227E4F7F"/>
    <w:rsid w:val="22856798"/>
    <w:rsid w:val="22952478"/>
    <w:rsid w:val="22D85038"/>
    <w:rsid w:val="236C5A40"/>
    <w:rsid w:val="238E7B53"/>
    <w:rsid w:val="23E67EEE"/>
    <w:rsid w:val="23F71FB1"/>
    <w:rsid w:val="24517AC2"/>
    <w:rsid w:val="2490229D"/>
    <w:rsid w:val="250462F2"/>
    <w:rsid w:val="25495FB2"/>
    <w:rsid w:val="257148FD"/>
    <w:rsid w:val="25915232"/>
    <w:rsid w:val="264A0ADC"/>
    <w:rsid w:val="268B0719"/>
    <w:rsid w:val="268ECCE7"/>
    <w:rsid w:val="26C4117D"/>
    <w:rsid w:val="26D22FFA"/>
    <w:rsid w:val="277B7F45"/>
    <w:rsid w:val="27A46F3F"/>
    <w:rsid w:val="27B3298E"/>
    <w:rsid w:val="27CD1D77"/>
    <w:rsid w:val="27D04DEC"/>
    <w:rsid w:val="281F2E7F"/>
    <w:rsid w:val="28600B66"/>
    <w:rsid w:val="28A83FC2"/>
    <w:rsid w:val="28D742DA"/>
    <w:rsid w:val="28DD7362"/>
    <w:rsid w:val="297437D3"/>
    <w:rsid w:val="297E1138"/>
    <w:rsid w:val="29AD51F1"/>
    <w:rsid w:val="29DE78DA"/>
    <w:rsid w:val="29FF6359"/>
    <w:rsid w:val="2A2D2281"/>
    <w:rsid w:val="2A2F545C"/>
    <w:rsid w:val="2A393165"/>
    <w:rsid w:val="2A3E5CE0"/>
    <w:rsid w:val="2A564B1A"/>
    <w:rsid w:val="2A59345D"/>
    <w:rsid w:val="2A7516AE"/>
    <w:rsid w:val="2A8F0811"/>
    <w:rsid w:val="2B1A7123"/>
    <w:rsid w:val="2B323216"/>
    <w:rsid w:val="2B5070C3"/>
    <w:rsid w:val="2B5615F8"/>
    <w:rsid w:val="2B960E47"/>
    <w:rsid w:val="2B9724D3"/>
    <w:rsid w:val="2BD21092"/>
    <w:rsid w:val="2BDF56D0"/>
    <w:rsid w:val="2C8F03EE"/>
    <w:rsid w:val="2D9F2933"/>
    <w:rsid w:val="2DA33F06"/>
    <w:rsid w:val="2DAC49D4"/>
    <w:rsid w:val="2DDE6AD5"/>
    <w:rsid w:val="2DF03BBE"/>
    <w:rsid w:val="2ECE6823"/>
    <w:rsid w:val="2F3D446C"/>
    <w:rsid w:val="2F736200"/>
    <w:rsid w:val="2F8B2EA8"/>
    <w:rsid w:val="2FB31D1D"/>
    <w:rsid w:val="2FFA422E"/>
    <w:rsid w:val="30461A18"/>
    <w:rsid w:val="30BD1FF5"/>
    <w:rsid w:val="31274871"/>
    <w:rsid w:val="313679C0"/>
    <w:rsid w:val="317B7F9A"/>
    <w:rsid w:val="31807D7D"/>
    <w:rsid w:val="318A7926"/>
    <w:rsid w:val="318C2B0A"/>
    <w:rsid w:val="31A51C61"/>
    <w:rsid w:val="31BA642B"/>
    <w:rsid w:val="320A5BC8"/>
    <w:rsid w:val="32173476"/>
    <w:rsid w:val="324F6073"/>
    <w:rsid w:val="32537B6B"/>
    <w:rsid w:val="32B36A31"/>
    <w:rsid w:val="32EA1BE4"/>
    <w:rsid w:val="3326383A"/>
    <w:rsid w:val="333E68B7"/>
    <w:rsid w:val="33D34422"/>
    <w:rsid w:val="33E50A3D"/>
    <w:rsid w:val="33F33CDC"/>
    <w:rsid w:val="34236EAB"/>
    <w:rsid w:val="34331021"/>
    <w:rsid w:val="350C09FB"/>
    <w:rsid w:val="351029CA"/>
    <w:rsid w:val="35A02D52"/>
    <w:rsid w:val="35C40BE4"/>
    <w:rsid w:val="35FF72CB"/>
    <w:rsid w:val="360C46EC"/>
    <w:rsid w:val="36630B18"/>
    <w:rsid w:val="367F175C"/>
    <w:rsid w:val="37061666"/>
    <w:rsid w:val="371A3554"/>
    <w:rsid w:val="377E53BA"/>
    <w:rsid w:val="37D25535"/>
    <w:rsid w:val="37DD3927"/>
    <w:rsid w:val="37E55200"/>
    <w:rsid w:val="38201A3C"/>
    <w:rsid w:val="38672597"/>
    <w:rsid w:val="386A039A"/>
    <w:rsid w:val="38903767"/>
    <w:rsid w:val="38980CA7"/>
    <w:rsid w:val="38B76B06"/>
    <w:rsid w:val="38C61278"/>
    <w:rsid w:val="39152D20"/>
    <w:rsid w:val="393161D9"/>
    <w:rsid w:val="39B21616"/>
    <w:rsid w:val="39CC51A7"/>
    <w:rsid w:val="39E4371E"/>
    <w:rsid w:val="3A257884"/>
    <w:rsid w:val="3A5430B5"/>
    <w:rsid w:val="3AA24AAD"/>
    <w:rsid w:val="3AA813B8"/>
    <w:rsid w:val="3AD938AF"/>
    <w:rsid w:val="3B306F8A"/>
    <w:rsid w:val="3B462AB3"/>
    <w:rsid w:val="3B4E1513"/>
    <w:rsid w:val="3B5D2578"/>
    <w:rsid w:val="3BB816AE"/>
    <w:rsid w:val="3BBB0DE7"/>
    <w:rsid w:val="3BBD047A"/>
    <w:rsid w:val="3C30194D"/>
    <w:rsid w:val="3C845AD4"/>
    <w:rsid w:val="3CA9474E"/>
    <w:rsid w:val="3CC166C6"/>
    <w:rsid w:val="3D0B54D4"/>
    <w:rsid w:val="3D2F437F"/>
    <w:rsid w:val="3D620AEC"/>
    <w:rsid w:val="3D8E1137"/>
    <w:rsid w:val="3D9A0411"/>
    <w:rsid w:val="3DDA1A96"/>
    <w:rsid w:val="3DF142FD"/>
    <w:rsid w:val="3DF23BD4"/>
    <w:rsid w:val="3DFA1AB2"/>
    <w:rsid w:val="3E144DBF"/>
    <w:rsid w:val="3E4C4990"/>
    <w:rsid w:val="3ED441DB"/>
    <w:rsid w:val="3FA946A4"/>
    <w:rsid w:val="3FAF085F"/>
    <w:rsid w:val="3FB87B34"/>
    <w:rsid w:val="3FDF5D8B"/>
    <w:rsid w:val="408F7B93"/>
    <w:rsid w:val="412C7A19"/>
    <w:rsid w:val="41A5580B"/>
    <w:rsid w:val="438C5904"/>
    <w:rsid w:val="43AF4E51"/>
    <w:rsid w:val="440B099A"/>
    <w:rsid w:val="444724C3"/>
    <w:rsid w:val="44734181"/>
    <w:rsid w:val="44786AF5"/>
    <w:rsid w:val="44A83C42"/>
    <w:rsid w:val="44C656E9"/>
    <w:rsid w:val="451A7D67"/>
    <w:rsid w:val="452712C1"/>
    <w:rsid w:val="452A2D40"/>
    <w:rsid w:val="45484D30"/>
    <w:rsid w:val="459C2230"/>
    <w:rsid w:val="45AB60FB"/>
    <w:rsid w:val="4625666F"/>
    <w:rsid w:val="46CF519C"/>
    <w:rsid w:val="46F37733"/>
    <w:rsid w:val="47B44CF5"/>
    <w:rsid w:val="481F4627"/>
    <w:rsid w:val="482350FB"/>
    <w:rsid w:val="483A7313"/>
    <w:rsid w:val="48515D74"/>
    <w:rsid w:val="485355B6"/>
    <w:rsid w:val="49651CD2"/>
    <w:rsid w:val="49B660D4"/>
    <w:rsid w:val="49CB1B43"/>
    <w:rsid w:val="4A423AC4"/>
    <w:rsid w:val="4A5D2FAF"/>
    <w:rsid w:val="4A5F692B"/>
    <w:rsid w:val="4A9A4319"/>
    <w:rsid w:val="4AAA389B"/>
    <w:rsid w:val="4AEB13D7"/>
    <w:rsid w:val="4B1275DC"/>
    <w:rsid w:val="4B137ED7"/>
    <w:rsid w:val="4B7C201B"/>
    <w:rsid w:val="4C8A4722"/>
    <w:rsid w:val="4CD13C7C"/>
    <w:rsid w:val="4CF87B3F"/>
    <w:rsid w:val="4D162412"/>
    <w:rsid w:val="4D4A09B2"/>
    <w:rsid w:val="4D796B65"/>
    <w:rsid w:val="4DDA341C"/>
    <w:rsid w:val="4E054491"/>
    <w:rsid w:val="4E166B26"/>
    <w:rsid w:val="4E3126EA"/>
    <w:rsid w:val="4EA71B47"/>
    <w:rsid w:val="4EB23440"/>
    <w:rsid w:val="4ED013F0"/>
    <w:rsid w:val="4EE30DA5"/>
    <w:rsid w:val="4F616E7F"/>
    <w:rsid w:val="4F6676CA"/>
    <w:rsid w:val="4F710E1B"/>
    <w:rsid w:val="505A0675"/>
    <w:rsid w:val="50622120"/>
    <w:rsid w:val="50B11CB6"/>
    <w:rsid w:val="50CA043D"/>
    <w:rsid w:val="50E66D2E"/>
    <w:rsid w:val="50E67EDA"/>
    <w:rsid w:val="50FA2E24"/>
    <w:rsid w:val="51264429"/>
    <w:rsid w:val="51B83553"/>
    <w:rsid w:val="51CC6774"/>
    <w:rsid w:val="51F85F6D"/>
    <w:rsid w:val="52033137"/>
    <w:rsid w:val="524D5F42"/>
    <w:rsid w:val="52A92E95"/>
    <w:rsid w:val="52F03850"/>
    <w:rsid w:val="53711E3B"/>
    <w:rsid w:val="53BB7382"/>
    <w:rsid w:val="53CD0D32"/>
    <w:rsid w:val="53FB57B4"/>
    <w:rsid w:val="54344ED7"/>
    <w:rsid w:val="543F1E12"/>
    <w:rsid w:val="54E026A7"/>
    <w:rsid w:val="54E663D0"/>
    <w:rsid w:val="54E875CB"/>
    <w:rsid w:val="55443234"/>
    <w:rsid w:val="55460092"/>
    <w:rsid w:val="555A311A"/>
    <w:rsid w:val="55657E06"/>
    <w:rsid w:val="558B40AC"/>
    <w:rsid w:val="55A963BC"/>
    <w:rsid w:val="55B03AA7"/>
    <w:rsid w:val="55D07330"/>
    <w:rsid w:val="560F143B"/>
    <w:rsid w:val="561E122B"/>
    <w:rsid w:val="5649560A"/>
    <w:rsid w:val="569F2A2D"/>
    <w:rsid w:val="56E02DD9"/>
    <w:rsid w:val="56E256F1"/>
    <w:rsid w:val="573524E8"/>
    <w:rsid w:val="57555B2F"/>
    <w:rsid w:val="5804571A"/>
    <w:rsid w:val="58C05A08"/>
    <w:rsid w:val="58D917B1"/>
    <w:rsid w:val="58D91D17"/>
    <w:rsid w:val="5908356E"/>
    <w:rsid w:val="59B42ADB"/>
    <w:rsid w:val="59B6604B"/>
    <w:rsid w:val="5A1E6BB9"/>
    <w:rsid w:val="5A3538F0"/>
    <w:rsid w:val="5A78011B"/>
    <w:rsid w:val="5ABF4DD0"/>
    <w:rsid w:val="5AE5646D"/>
    <w:rsid w:val="5B20492A"/>
    <w:rsid w:val="5B2637FF"/>
    <w:rsid w:val="5B754864"/>
    <w:rsid w:val="5B7F75ED"/>
    <w:rsid w:val="5B9448E0"/>
    <w:rsid w:val="5B9556D7"/>
    <w:rsid w:val="5B9D28A4"/>
    <w:rsid w:val="5BC43C58"/>
    <w:rsid w:val="5C1F53E5"/>
    <w:rsid w:val="5C474A79"/>
    <w:rsid w:val="5CC25487"/>
    <w:rsid w:val="5D463890"/>
    <w:rsid w:val="5DA351DA"/>
    <w:rsid w:val="5E313C33"/>
    <w:rsid w:val="5E5D687A"/>
    <w:rsid w:val="5E8E3441"/>
    <w:rsid w:val="5EAF4AD5"/>
    <w:rsid w:val="5EE87324"/>
    <w:rsid w:val="5F002EB9"/>
    <w:rsid w:val="5F4D7A1C"/>
    <w:rsid w:val="5F701C7F"/>
    <w:rsid w:val="5F713D2D"/>
    <w:rsid w:val="5F9D716C"/>
    <w:rsid w:val="5FEF30F6"/>
    <w:rsid w:val="5FF008D8"/>
    <w:rsid w:val="604A0E3F"/>
    <w:rsid w:val="604D731C"/>
    <w:rsid w:val="605E3AD6"/>
    <w:rsid w:val="60F10B27"/>
    <w:rsid w:val="61431DF6"/>
    <w:rsid w:val="61EA3A83"/>
    <w:rsid w:val="61F05DF2"/>
    <w:rsid w:val="62393C12"/>
    <w:rsid w:val="62786599"/>
    <w:rsid w:val="63972408"/>
    <w:rsid w:val="63A3718F"/>
    <w:rsid w:val="64E877AE"/>
    <w:rsid w:val="65122B9A"/>
    <w:rsid w:val="653A3911"/>
    <w:rsid w:val="658B3245"/>
    <w:rsid w:val="65D344E5"/>
    <w:rsid w:val="66281452"/>
    <w:rsid w:val="66423767"/>
    <w:rsid w:val="66633D47"/>
    <w:rsid w:val="666C539C"/>
    <w:rsid w:val="668521AA"/>
    <w:rsid w:val="66A568EF"/>
    <w:rsid w:val="67287D1E"/>
    <w:rsid w:val="67330108"/>
    <w:rsid w:val="67475D8F"/>
    <w:rsid w:val="67807707"/>
    <w:rsid w:val="67A179BC"/>
    <w:rsid w:val="67CB1EAD"/>
    <w:rsid w:val="67F80619"/>
    <w:rsid w:val="68111616"/>
    <w:rsid w:val="68492CBE"/>
    <w:rsid w:val="685241AF"/>
    <w:rsid w:val="686A1960"/>
    <w:rsid w:val="68A244AD"/>
    <w:rsid w:val="68C40B7C"/>
    <w:rsid w:val="68EF6867"/>
    <w:rsid w:val="69110334"/>
    <w:rsid w:val="69953CA6"/>
    <w:rsid w:val="69A37AFC"/>
    <w:rsid w:val="69BC11A3"/>
    <w:rsid w:val="69C2577A"/>
    <w:rsid w:val="6A16628F"/>
    <w:rsid w:val="6A1F3F49"/>
    <w:rsid w:val="6A240827"/>
    <w:rsid w:val="6A256061"/>
    <w:rsid w:val="6A9D47AC"/>
    <w:rsid w:val="6AA747C0"/>
    <w:rsid w:val="6AC92F8B"/>
    <w:rsid w:val="6AE81992"/>
    <w:rsid w:val="6B16350B"/>
    <w:rsid w:val="6B447303"/>
    <w:rsid w:val="6B723766"/>
    <w:rsid w:val="6C3A7DC0"/>
    <w:rsid w:val="6C6C54A8"/>
    <w:rsid w:val="6CB02E6F"/>
    <w:rsid w:val="6CE92440"/>
    <w:rsid w:val="6CF42A3B"/>
    <w:rsid w:val="6D247286"/>
    <w:rsid w:val="6D7B7A78"/>
    <w:rsid w:val="6E007E6C"/>
    <w:rsid w:val="6E6539FA"/>
    <w:rsid w:val="6E9C1F7D"/>
    <w:rsid w:val="6EA66200"/>
    <w:rsid w:val="6EBA14FC"/>
    <w:rsid w:val="6EEE191C"/>
    <w:rsid w:val="6F3202FF"/>
    <w:rsid w:val="6F4C0241"/>
    <w:rsid w:val="6F5E00F8"/>
    <w:rsid w:val="6F617440"/>
    <w:rsid w:val="6F802244"/>
    <w:rsid w:val="6FEA7A21"/>
    <w:rsid w:val="700F1EEC"/>
    <w:rsid w:val="702421EC"/>
    <w:rsid w:val="706C6E1C"/>
    <w:rsid w:val="706F4F60"/>
    <w:rsid w:val="70F97BEF"/>
    <w:rsid w:val="71056675"/>
    <w:rsid w:val="71217808"/>
    <w:rsid w:val="714C32F8"/>
    <w:rsid w:val="72057A5D"/>
    <w:rsid w:val="72AD27A3"/>
    <w:rsid w:val="72AE660E"/>
    <w:rsid w:val="72AF0BE6"/>
    <w:rsid w:val="72B17246"/>
    <w:rsid w:val="72F677EE"/>
    <w:rsid w:val="72F938B1"/>
    <w:rsid w:val="73356E2F"/>
    <w:rsid w:val="734F7AF0"/>
    <w:rsid w:val="73694C57"/>
    <w:rsid w:val="73E3436D"/>
    <w:rsid w:val="73F74C1B"/>
    <w:rsid w:val="73FB406D"/>
    <w:rsid w:val="740327A1"/>
    <w:rsid w:val="7446045D"/>
    <w:rsid w:val="74805249"/>
    <w:rsid w:val="749361AD"/>
    <w:rsid w:val="749A1AA2"/>
    <w:rsid w:val="74CA3652"/>
    <w:rsid w:val="74FE3C35"/>
    <w:rsid w:val="7533351C"/>
    <w:rsid w:val="75403A38"/>
    <w:rsid w:val="759C5D93"/>
    <w:rsid w:val="7606053C"/>
    <w:rsid w:val="76132EED"/>
    <w:rsid w:val="76234970"/>
    <w:rsid w:val="76701DEE"/>
    <w:rsid w:val="76C71670"/>
    <w:rsid w:val="76E94415"/>
    <w:rsid w:val="772B6DDC"/>
    <w:rsid w:val="778843F2"/>
    <w:rsid w:val="77E062F9"/>
    <w:rsid w:val="77EC3D62"/>
    <w:rsid w:val="77F70538"/>
    <w:rsid w:val="78271C50"/>
    <w:rsid w:val="78446BC0"/>
    <w:rsid w:val="78F83A46"/>
    <w:rsid w:val="78FA7AD7"/>
    <w:rsid w:val="791657D0"/>
    <w:rsid w:val="79265D53"/>
    <w:rsid w:val="792B0267"/>
    <w:rsid w:val="793A0D98"/>
    <w:rsid w:val="79743B4E"/>
    <w:rsid w:val="79976229"/>
    <w:rsid w:val="79B64076"/>
    <w:rsid w:val="79CF3B35"/>
    <w:rsid w:val="7A865FFF"/>
    <w:rsid w:val="7A895431"/>
    <w:rsid w:val="7B4C2D7A"/>
    <w:rsid w:val="7B5372C9"/>
    <w:rsid w:val="7B915EA9"/>
    <w:rsid w:val="7C3E5BBE"/>
    <w:rsid w:val="7CC0644F"/>
    <w:rsid w:val="7CE828AF"/>
    <w:rsid w:val="7CE87237"/>
    <w:rsid w:val="7D033D55"/>
    <w:rsid w:val="7D21741B"/>
    <w:rsid w:val="7D456E5C"/>
    <w:rsid w:val="7D622D63"/>
    <w:rsid w:val="7D9F13C0"/>
    <w:rsid w:val="7DA969A5"/>
    <w:rsid w:val="7DEF7477"/>
    <w:rsid w:val="7E1615DC"/>
    <w:rsid w:val="7E2F690B"/>
    <w:rsid w:val="7E8726B8"/>
    <w:rsid w:val="7E964245"/>
    <w:rsid w:val="7F2B3A71"/>
    <w:rsid w:val="7F4F6393"/>
    <w:rsid w:val="7F6E1773"/>
    <w:rsid w:val="7FBB4867"/>
    <w:rsid w:val="7FD124F5"/>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fi-FI" w:eastAsia="en-US" w:bidi="ar-SA"/>
    </w:rPr>
  </w:style>
  <w:style w:type="paragraph" w:styleId="2">
    <w:name w:val="heading 1"/>
    <w:next w:val="1"/>
    <w:link w:val="24"/>
    <w:qFormat/>
    <w:uiPriority w:val="0"/>
    <w:pPr>
      <w:keepNext/>
      <w:keepLines/>
      <w:pBdr>
        <w:top w:val="single" w:color="auto" w:sz="12" w:space="3"/>
      </w:pBdr>
      <w:spacing w:before="240" w:after="180" w:line="240" w:lineRule="auto"/>
      <w:ind w:left="1134" w:hanging="1134"/>
      <w:outlineLvl w:val="0"/>
    </w:pPr>
    <w:rPr>
      <w:rFonts w:ascii="Arial" w:hAnsi="Arial" w:cs="Times New Roman" w:eastAsiaTheme="minorEastAsia"/>
      <w:sz w:val="36"/>
      <w:szCs w:val="20"/>
      <w:lang w:val="en-GB" w:eastAsia="en-US" w:bidi="ar-SA"/>
    </w:rPr>
  </w:style>
  <w:style w:type="paragraph" w:styleId="3">
    <w:name w:val="heading 2"/>
    <w:basedOn w:val="1"/>
    <w:next w:val="1"/>
    <w:link w:val="31"/>
    <w:semiHidden/>
    <w:unhideWhenUsed/>
    <w:qFormat/>
    <w:uiPriority w:val="9"/>
    <w:pPr>
      <w:keepNext/>
      <w:keepLines/>
      <w:spacing w:before="40" w:after="0"/>
      <w:outlineLvl w:val="1"/>
    </w:pPr>
    <w:rPr>
      <w:rFonts w:asciiTheme="majorHAnsi" w:hAnsiTheme="majorHAnsi" w:eastAsiaTheme="majorEastAsia" w:cstheme="majorBidi"/>
      <w:color w:val="2F5597" w:themeColor="accent1" w:themeShade="BF"/>
      <w:sz w:val="26"/>
      <w:szCs w:val="2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pPr>
      <w:spacing w:before="120" w:after="120"/>
    </w:pPr>
    <w:rPr>
      <w:b/>
    </w:rPr>
  </w:style>
  <w:style w:type="paragraph" w:styleId="5">
    <w:name w:val="annotation text"/>
    <w:basedOn w:val="1"/>
    <w:link w:val="18"/>
    <w:semiHidden/>
    <w:unhideWhenUsed/>
    <w:qFormat/>
    <w:uiPriority w:val="99"/>
    <w:pPr>
      <w:spacing w:line="240" w:lineRule="auto"/>
    </w:pPr>
    <w:rPr>
      <w:sz w:val="20"/>
      <w:szCs w:val="20"/>
    </w:rPr>
  </w:style>
  <w:style w:type="paragraph" w:styleId="6">
    <w:name w:val="Body Text"/>
    <w:basedOn w:val="1"/>
    <w:link w:val="26"/>
    <w:qFormat/>
    <w:uiPriority w:val="99"/>
    <w:pPr>
      <w:spacing w:after="120" w:line="240" w:lineRule="auto"/>
    </w:pPr>
    <w:rPr>
      <w:rFonts w:ascii="Times New Roman" w:hAnsi="Times New Roman" w:cs="Times New Roman"/>
      <w:sz w:val="20"/>
      <w:szCs w:val="20"/>
      <w:lang w:val="en-GB"/>
    </w:rPr>
  </w:style>
  <w:style w:type="paragraph" w:styleId="7">
    <w:name w:val="Balloon Text"/>
    <w:basedOn w:val="1"/>
    <w:link w:val="20"/>
    <w:semiHidden/>
    <w:unhideWhenUsed/>
    <w:qFormat/>
    <w:uiPriority w:val="99"/>
    <w:pPr>
      <w:spacing w:after="0" w:line="240" w:lineRule="auto"/>
    </w:pPr>
    <w:rPr>
      <w:rFonts w:ascii="Segoe UI" w:hAnsi="Segoe UI" w:cs="Segoe UI"/>
      <w:sz w:val="18"/>
      <w:szCs w:val="18"/>
    </w:rPr>
  </w:style>
  <w:style w:type="paragraph" w:styleId="8">
    <w:name w:val="header"/>
    <w:basedOn w:val="1"/>
    <w:link w:val="25"/>
    <w:qFormat/>
    <w:uiPriority w:val="0"/>
    <w:pPr>
      <w:widowControl w:val="0"/>
      <w:overflowPunct w:val="0"/>
      <w:autoSpaceDE w:val="0"/>
      <w:autoSpaceDN w:val="0"/>
      <w:adjustRightInd w:val="0"/>
      <w:spacing w:after="0" w:line="240" w:lineRule="auto"/>
      <w:textAlignment w:val="baseline"/>
    </w:pPr>
    <w:rPr>
      <w:rFonts w:ascii="Arial" w:hAnsi="Arial" w:cs="Times New Roman" w:eastAsiaTheme="minorEastAsia"/>
      <w:b/>
      <w:sz w:val="18"/>
      <w:szCs w:val="20"/>
      <w:lang w:val="en-GB" w:eastAsia="ja-JP" w:bidi="ar-SA"/>
    </w:rPr>
  </w:style>
  <w:style w:type="paragraph" w:styleId="9">
    <w:name w:val="annotation subject"/>
    <w:basedOn w:val="5"/>
    <w:next w:val="5"/>
    <w:link w:val="19"/>
    <w:semiHidden/>
    <w:unhideWhenUsed/>
    <w:qFormat/>
    <w:uiPriority w:val="99"/>
    <w:rPr>
      <w:b/>
      <w:bCs/>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qFormat/>
    <w:uiPriority w:val="99"/>
    <w:rPr>
      <w:color w:val="0000FF"/>
      <w:u w:val="single"/>
    </w:rPr>
  </w:style>
  <w:style w:type="character" w:styleId="14">
    <w:name w:val="annotation reference"/>
    <w:basedOn w:val="12"/>
    <w:semiHidden/>
    <w:unhideWhenUsed/>
    <w:qFormat/>
    <w:uiPriority w:val="99"/>
    <w:rPr>
      <w:sz w:val="16"/>
      <w:szCs w:val="16"/>
    </w:rPr>
  </w:style>
  <w:style w:type="paragraph" w:customStyle="1" w:styleId="15">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fi-FI"/>
    </w:rPr>
  </w:style>
  <w:style w:type="character" w:customStyle="1" w:styleId="16">
    <w:name w:val="normaltextrun"/>
    <w:basedOn w:val="12"/>
    <w:qFormat/>
    <w:uiPriority w:val="0"/>
  </w:style>
  <w:style w:type="character" w:customStyle="1" w:styleId="17">
    <w:name w:val="eop"/>
    <w:basedOn w:val="12"/>
    <w:qFormat/>
    <w:uiPriority w:val="0"/>
  </w:style>
  <w:style w:type="character" w:customStyle="1" w:styleId="18">
    <w:name w:val="Comment Text Char"/>
    <w:basedOn w:val="12"/>
    <w:link w:val="5"/>
    <w:semiHidden/>
    <w:qFormat/>
    <w:uiPriority w:val="99"/>
    <w:rPr>
      <w:sz w:val="20"/>
      <w:szCs w:val="20"/>
    </w:rPr>
  </w:style>
  <w:style w:type="character" w:customStyle="1" w:styleId="19">
    <w:name w:val="Comment Subject Char"/>
    <w:basedOn w:val="18"/>
    <w:link w:val="9"/>
    <w:semiHidden/>
    <w:qFormat/>
    <w:uiPriority w:val="99"/>
    <w:rPr>
      <w:b/>
      <w:bCs/>
      <w:sz w:val="20"/>
      <w:szCs w:val="20"/>
    </w:rPr>
  </w:style>
  <w:style w:type="character" w:customStyle="1" w:styleId="20">
    <w:name w:val="Balloon Text Char"/>
    <w:basedOn w:val="12"/>
    <w:link w:val="7"/>
    <w:semiHidden/>
    <w:qFormat/>
    <w:uiPriority w:val="99"/>
    <w:rPr>
      <w:rFonts w:ascii="Segoe UI" w:hAnsi="Segoe UI" w:cs="Segoe UI"/>
      <w:sz w:val="18"/>
      <w:szCs w:val="18"/>
    </w:rPr>
  </w:style>
  <w:style w:type="character" w:customStyle="1" w:styleId="21">
    <w:name w:val="advancedproofingissue"/>
    <w:basedOn w:val="12"/>
    <w:qFormat/>
    <w:uiPriority w:val="0"/>
  </w:style>
  <w:style w:type="paragraph" w:customStyle="1" w:styleId="22">
    <w:name w:val="Revision"/>
    <w:hidden/>
    <w:semiHidden/>
    <w:qFormat/>
    <w:uiPriority w:val="99"/>
    <w:pPr>
      <w:spacing w:after="0" w:line="240" w:lineRule="auto"/>
    </w:pPr>
    <w:rPr>
      <w:rFonts w:asciiTheme="minorHAnsi" w:hAnsiTheme="minorHAnsi" w:eastAsiaTheme="minorEastAsia" w:cstheme="minorBidi"/>
      <w:sz w:val="22"/>
      <w:szCs w:val="22"/>
      <w:lang w:val="fi-FI" w:eastAsia="en-US" w:bidi="ar-SA"/>
    </w:rPr>
  </w:style>
  <w:style w:type="paragraph" w:styleId="23">
    <w:name w:val="List Paragraph"/>
    <w:basedOn w:val="1"/>
    <w:qFormat/>
    <w:uiPriority w:val="34"/>
    <w:pPr>
      <w:spacing w:after="0" w:line="240" w:lineRule="auto"/>
      <w:ind w:left="720"/>
      <w:contextualSpacing/>
    </w:pPr>
    <w:rPr>
      <w:rFonts w:ascii="Times New Roman" w:hAnsi="Times New Roman" w:eastAsia="Times New Roman" w:cs="Times New Roman"/>
      <w:sz w:val="24"/>
      <w:szCs w:val="24"/>
      <w:lang w:val="da-DK" w:eastAsia="da-DK"/>
    </w:rPr>
  </w:style>
  <w:style w:type="character" w:customStyle="1" w:styleId="24">
    <w:name w:val="Heading 1 Char"/>
    <w:basedOn w:val="12"/>
    <w:link w:val="2"/>
    <w:qFormat/>
    <w:uiPriority w:val="0"/>
    <w:rPr>
      <w:rFonts w:ascii="Arial" w:hAnsi="Arial" w:cs="Times New Roman" w:eastAsiaTheme="minorEastAsia"/>
      <w:sz w:val="36"/>
      <w:szCs w:val="20"/>
      <w:lang w:val="en-GB"/>
    </w:rPr>
  </w:style>
  <w:style w:type="character" w:customStyle="1" w:styleId="25">
    <w:name w:val="Header Char"/>
    <w:basedOn w:val="12"/>
    <w:link w:val="8"/>
    <w:qFormat/>
    <w:uiPriority w:val="0"/>
    <w:rPr>
      <w:rFonts w:ascii="Arial" w:hAnsi="Arial" w:cs="Times New Roman" w:eastAsiaTheme="minorEastAsia"/>
      <w:b/>
      <w:sz w:val="18"/>
      <w:szCs w:val="20"/>
      <w:lang w:val="en-GB" w:eastAsia="ja-JP"/>
    </w:rPr>
  </w:style>
  <w:style w:type="character" w:customStyle="1" w:styleId="26">
    <w:name w:val="Body Text Char"/>
    <w:basedOn w:val="12"/>
    <w:link w:val="6"/>
    <w:qFormat/>
    <w:uiPriority w:val="99"/>
    <w:rPr>
      <w:rFonts w:ascii="Times New Roman" w:hAnsi="Times New Roman" w:cs="Times New Roman" w:eastAsiaTheme="minorEastAsia"/>
      <w:sz w:val="20"/>
      <w:szCs w:val="20"/>
      <w:lang w:val="en-GB"/>
    </w:rPr>
  </w:style>
  <w:style w:type="paragraph" w:customStyle="1" w:styleId="27">
    <w:name w:val="RAN4 H2"/>
    <w:basedOn w:val="3"/>
    <w:next w:val="1"/>
    <w:qFormat/>
    <w:uiPriority w:val="0"/>
    <w:pPr>
      <w:numPr>
        <w:ilvl w:val="1"/>
        <w:numId w:val="1"/>
      </w:numPr>
      <w:spacing w:before="180" w:after="180" w:line="240" w:lineRule="auto"/>
      <w:ind w:left="431" w:hanging="431"/>
    </w:pPr>
    <w:rPr>
      <w:rFonts w:ascii="Arial" w:hAnsi="Arial" w:eastAsia="Times New Roman" w:cs="Times New Roman"/>
      <w:color w:val="auto"/>
      <w:sz w:val="32"/>
      <w:szCs w:val="20"/>
      <w:lang w:val="en-US"/>
    </w:rPr>
  </w:style>
  <w:style w:type="paragraph" w:customStyle="1" w:styleId="28">
    <w:name w:val="RAN4 H1"/>
    <w:basedOn w:val="1"/>
    <w:next w:val="1"/>
    <w:link w:val="29"/>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29">
    <w:name w:val="RAN4 H1 Char"/>
    <w:basedOn w:val="12"/>
    <w:link w:val="28"/>
    <w:qFormat/>
    <w:uiPriority w:val="0"/>
    <w:rPr>
      <w:rFonts w:ascii="Arial" w:hAnsi="Arial" w:eastAsia="宋体" w:cs="Times New Roman"/>
      <w:sz w:val="36"/>
      <w:szCs w:val="20"/>
      <w:lang w:val="en-GB"/>
    </w:rPr>
  </w:style>
  <w:style w:type="paragraph" w:customStyle="1" w:styleId="30">
    <w:name w:val="RAN4 H3"/>
    <w:basedOn w:val="1"/>
    <w:qFormat/>
    <w:uiPriority w:val="0"/>
    <w:pPr>
      <w:numPr>
        <w:ilvl w:val="2"/>
        <w:numId w:val="1"/>
      </w:numPr>
      <w:ind w:left="505" w:hanging="505"/>
    </w:pPr>
    <w:rPr>
      <w:rFonts w:ascii="Arial" w:hAnsi="Arial" w:cs="Arial"/>
      <w:sz w:val="24"/>
      <w:lang w:val="en-US"/>
    </w:rPr>
  </w:style>
  <w:style w:type="character" w:customStyle="1" w:styleId="31">
    <w:name w:val="Heading 2 Char"/>
    <w:basedOn w:val="12"/>
    <w:link w:val="3"/>
    <w:semiHidden/>
    <w:qFormat/>
    <w:uiPriority w:val="9"/>
    <w:rPr>
      <w:rFonts w:asciiTheme="majorHAnsi" w:hAnsiTheme="majorHAnsi" w:eastAsiaTheme="majorEastAsia" w:cstheme="majorBidi"/>
      <w:color w:val="2F5597" w:themeColor="accent1" w:themeShade="BF"/>
      <w:sz w:val="26"/>
      <w:szCs w:val="26"/>
    </w:rPr>
  </w:style>
  <w:style w:type="paragraph" w:customStyle="1" w:styleId="32">
    <w:name w:val="B1"/>
    <w:basedOn w:val="1"/>
    <w:qFormat/>
    <w:uiPriority w:val="0"/>
    <w:pPr>
      <w:ind w:left="568" w:hanging="284"/>
    </w:pPr>
    <w:rPr>
      <w:lang w:eastAsia="zh-CN"/>
    </w:rPr>
  </w:style>
  <w:style w:type="paragraph" w:customStyle="1" w:styleId="33">
    <w:name w:val="B2"/>
    <w:basedOn w:val="1"/>
    <w:qFormat/>
    <w:uiPriority w:val="0"/>
    <w:pPr>
      <w:ind w:left="851"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A82A88594623E45A54E434C9E0D57E9" ma:contentTypeVersion="14" ma:contentTypeDescription="Create a new document." ma:contentTypeScope="" ma:versionID="cfd15e9316fe505b895c26adf9dbad4a">
  <xsd:schema xmlns:xsd="http://www.w3.org/2001/XMLSchema" xmlns:xs="http://www.w3.org/2001/XMLSchema" xmlns:p="http://schemas.microsoft.com/office/2006/metadata/properties" xmlns:ns3="71c5aaf6-e6ce-465b-b873-5148d2a4c105" xmlns:ns4="563531dd-8789-4578-8cd9-d1943f0784b1" xmlns:ns5="053b6cbc-f77b-40f7-a27b-0113c4d5231f" targetNamespace="http://schemas.microsoft.com/office/2006/metadata/properties" ma:root="true" ma:fieldsID="d61ffee7eb4b6d626797fd80546e026f" ns3:_="" ns4:_="" ns5:_="">
    <xsd:import namespace="71c5aaf6-e6ce-465b-b873-5148d2a4c105"/>
    <xsd:import namespace="563531dd-8789-4578-8cd9-d1943f0784b1"/>
    <xsd:import namespace="053b6cbc-f77b-40f7-a27b-0113c4d5231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3531dd-8789-4578-8cd9-d1943f0784b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3b6cbc-f77b-40f7-a27b-0113c4d5231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756F89-1898-44BE-A987-0427741EA340}">
  <ds:schemaRefs/>
</ds:datastoreItem>
</file>

<file path=customXml/itemProps3.xml><?xml version="1.0" encoding="utf-8"?>
<ds:datastoreItem xmlns:ds="http://schemas.openxmlformats.org/officeDocument/2006/customXml" ds:itemID="{3811C0D6-D16D-4350-B2E1-A7DB68A55523}">
  <ds:schemaRefs/>
</ds:datastoreItem>
</file>

<file path=customXml/itemProps4.xml><?xml version="1.0" encoding="utf-8"?>
<ds:datastoreItem xmlns:ds="http://schemas.openxmlformats.org/officeDocument/2006/customXml" ds:itemID="{9DA44A59-2E3C-44C4-90C6-A2F0A9AD11DA}">
  <ds:schemaRefs/>
</ds:datastoreItem>
</file>

<file path=customXml/itemProps5.xml><?xml version="1.0" encoding="utf-8"?>
<ds:datastoreItem xmlns:ds="http://schemas.openxmlformats.org/officeDocument/2006/customXml" ds:itemID="{B7253312-9ED1-4BD4-AACF-2C181B9C77DB}">
  <ds:schemaRefs/>
</ds:datastoreItem>
</file>

<file path=customXml/itemProps6.xml><?xml version="1.0" encoding="utf-8"?>
<ds:datastoreItem xmlns:ds="http://schemas.openxmlformats.org/officeDocument/2006/customXml" ds:itemID="{900C736C-38F3-4CF2-A589-D87BDB84521F}">
  <ds:schemaRefs/>
</ds:datastoreItem>
</file>

<file path=docProps/app.xml><?xml version="1.0" encoding="utf-8"?>
<Properties xmlns="http://schemas.openxmlformats.org/officeDocument/2006/extended-properties" xmlns:vt="http://schemas.openxmlformats.org/officeDocument/2006/docPropsVTypes">
  <Template>Normal.dotm</Template>
  <Pages>2</Pages>
  <Words>470</Words>
  <Characters>2871</Characters>
  <Lines>23</Lines>
  <Paragraphs>6</Paragraphs>
  <TotalTime>0</TotalTime>
  <ScaleCrop>false</ScaleCrop>
  <LinksUpToDate>false</LinksUpToDate>
  <CharactersWithSpaces>3335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2020-11-11T16:58:00Z</dcterms:created>
  <dc:creator>TL</dc:creator>
  <cp:lastModifiedBy>ZTE1</cp:lastModifiedBy>
  <dcterms:modified xsi:type="dcterms:W3CDTF">2021-05-11T13:06:30Z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0x010100BA82A88594623E45A54E434C9E0D57E9</vt:lpwstr>
  </property>
  <property fmtid="{D5CDD505-2E9C-101B-9397-08002B2CF9AE}" pid="3" name="KSOProductBuildVer">
    <vt:lpwstr>2052-11.8.2.9022</vt:lpwstr>
  </property>
</Properties>
</file>