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7F6196" w14:textId="60E7EFC5" w:rsidR="00C70FEF" w:rsidRDefault="00C70FEF" w:rsidP="00C70FEF">
      <w:pPr>
        <w:pStyle w:val="Header"/>
        <w:tabs>
          <w:tab w:val="right" w:pos="9356"/>
          <w:tab w:val="right" w:pos="10206"/>
        </w:tabs>
        <w:rPr>
          <w:rFonts w:cs="Arial"/>
          <w:i/>
          <w:sz w:val="24"/>
        </w:rPr>
      </w:pPr>
      <w:r>
        <w:rPr>
          <w:rFonts w:cs="Arial"/>
          <w:sz w:val="24"/>
        </w:rPr>
        <w:t>TSG-RAN Working Group 4 (Radio) meeting #9</w:t>
      </w:r>
      <w:r w:rsidR="0067756B">
        <w:rPr>
          <w:rFonts w:cs="Arial"/>
          <w:sz w:val="24"/>
        </w:rPr>
        <w:t>9</w:t>
      </w:r>
      <w:r>
        <w:rPr>
          <w:rFonts w:cs="Arial"/>
          <w:sz w:val="24"/>
        </w:rPr>
        <w:t>-e</w:t>
      </w:r>
      <w:r>
        <w:rPr>
          <w:rFonts w:cs="Arial"/>
          <w:i/>
          <w:sz w:val="24"/>
        </w:rPr>
        <w:tab/>
      </w:r>
      <w:r w:rsidR="00FA4055" w:rsidRPr="00FA4055">
        <w:rPr>
          <w:rFonts w:cs="Arial"/>
          <w:iCs/>
          <w:sz w:val="24"/>
        </w:rPr>
        <w:t>R4-2110481</w:t>
      </w:r>
    </w:p>
    <w:p w14:paraId="4CCF9EBE" w14:textId="29ECD8D9" w:rsidR="00C70FEF" w:rsidRDefault="00C70FEF" w:rsidP="00C70FEF">
      <w:pPr>
        <w:pStyle w:val="Header"/>
        <w:tabs>
          <w:tab w:val="right" w:pos="10206"/>
        </w:tabs>
        <w:spacing w:after="120"/>
        <w:rPr>
          <w:rFonts w:cs="Arial"/>
          <w:sz w:val="24"/>
        </w:rPr>
      </w:pPr>
      <w:r>
        <w:rPr>
          <w:rFonts w:cs="Arial"/>
          <w:sz w:val="24"/>
        </w:rPr>
        <w:t xml:space="preserve">Electronic Meeting, </w:t>
      </w:r>
      <w:r w:rsidRPr="00AD666F">
        <w:rPr>
          <w:sz w:val="24"/>
        </w:rPr>
        <w:t>1</w:t>
      </w:r>
      <w:r w:rsidR="0067756B">
        <w:rPr>
          <w:sz w:val="24"/>
        </w:rPr>
        <w:t>9</w:t>
      </w:r>
      <w:r w:rsidRPr="004566BD">
        <w:rPr>
          <w:sz w:val="24"/>
          <w:vertAlign w:val="superscript"/>
        </w:rPr>
        <w:t>th</w:t>
      </w:r>
      <w:r>
        <w:rPr>
          <w:sz w:val="24"/>
        </w:rPr>
        <w:t xml:space="preserve"> </w:t>
      </w:r>
      <w:r w:rsidRPr="00AD666F">
        <w:rPr>
          <w:sz w:val="24"/>
        </w:rPr>
        <w:t>– 2</w:t>
      </w:r>
      <w:r w:rsidR="0067756B">
        <w:rPr>
          <w:sz w:val="24"/>
        </w:rPr>
        <w:t>7</w:t>
      </w:r>
      <w:r w:rsidRPr="004566BD">
        <w:rPr>
          <w:sz w:val="24"/>
          <w:vertAlign w:val="superscript"/>
        </w:rPr>
        <w:t>th</w:t>
      </w:r>
      <w:r>
        <w:rPr>
          <w:sz w:val="24"/>
        </w:rPr>
        <w:t xml:space="preserve"> </w:t>
      </w:r>
      <w:r w:rsidR="0067756B">
        <w:rPr>
          <w:sz w:val="24"/>
        </w:rPr>
        <w:t>May</w:t>
      </w:r>
      <w:r w:rsidRPr="00AD666F">
        <w:rPr>
          <w:sz w:val="24"/>
        </w:rPr>
        <w:t xml:space="preserve"> </w:t>
      </w:r>
      <w:r>
        <w:rPr>
          <w:sz w:val="24"/>
        </w:rPr>
        <w:t>2021</w:t>
      </w:r>
    </w:p>
    <w:p w14:paraId="5409C467" w14:textId="77777777" w:rsidR="00C70FEF" w:rsidRDefault="00C70FEF" w:rsidP="00C70FEF">
      <w:pPr>
        <w:spacing w:after="120"/>
        <w:ind w:left="1985" w:hanging="1985"/>
        <w:rPr>
          <w:rFonts w:ascii="Arial" w:hAnsi="Arial" w:cs="Arial"/>
          <w:b/>
        </w:rPr>
      </w:pPr>
    </w:p>
    <w:p w14:paraId="15C0740B" w14:textId="46326E7A" w:rsidR="00C70FEF" w:rsidRPr="00CD5405" w:rsidRDefault="00C70FEF" w:rsidP="00C70FEF">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r w:rsidR="006C1BA1">
        <w:rPr>
          <w:rFonts w:ascii="Arial" w:hAnsi="Arial" w:cs="Arial"/>
          <w:bCs/>
        </w:rPr>
        <w:t>, Nokia, Nokia Shanghai Bell</w:t>
      </w:r>
      <w:r w:rsidR="005B742E">
        <w:rPr>
          <w:rFonts w:ascii="Arial" w:hAnsi="Arial" w:cs="Arial"/>
          <w:bCs/>
        </w:rPr>
        <w:t>, Verizon</w:t>
      </w:r>
      <w:r w:rsidR="00B36D88">
        <w:rPr>
          <w:rFonts w:ascii="Arial" w:hAnsi="Arial" w:cs="Arial"/>
          <w:bCs/>
        </w:rPr>
        <w:t>, KDDI</w:t>
      </w:r>
      <w:r w:rsidR="00E67EFB">
        <w:rPr>
          <w:rFonts w:ascii="Arial" w:hAnsi="Arial" w:cs="Arial"/>
          <w:bCs/>
        </w:rPr>
        <w:t>, SoftBank, NTT DOCOMO</w:t>
      </w:r>
    </w:p>
    <w:p w14:paraId="13308E8F" w14:textId="7BA502F8" w:rsidR="00C70FEF" w:rsidRDefault="00C70FEF" w:rsidP="00C70FEF">
      <w:pPr>
        <w:spacing w:after="120"/>
        <w:ind w:left="1985" w:hanging="1985"/>
        <w:rPr>
          <w:rFonts w:ascii="Arial" w:hAnsi="Arial" w:cs="Arial"/>
          <w:bCs/>
          <w:color w:val="FF0000"/>
        </w:rPr>
      </w:pPr>
      <w:r>
        <w:rPr>
          <w:rFonts w:ascii="Arial" w:hAnsi="Arial" w:cs="Arial"/>
          <w:b/>
        </w:rPr>
        <w:t>Title:</w:t>
      </w:r>
      <w:r>
        <w:rPr>
          <w:rFonts w:ascii="Arial" w:hAnsi="Arial" w:cs="Arial"/>
          <w:b/>
        </w:rPr>
        <w:tab/>
      </w:r>
      <w:r w:rsidR="00812235">
        <w:rPr>
          <w:rFonts w:ascii="Arial" w:hAnsi="Arial" w:cs="Arial"/>
        </w:rPr>
        <w:t>1024 QAM Deployment Scenarios</w:t>
      </w:r>
    </w:p>
    <w:p w14:paraId="48D9BF24" w14:textId="478E5E95" w:rsidR="00C70FEF" w:rsidRPr="00070795" w:rsidRDefault="00C70FEF" w:rsidP="00C70FEF">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FA4055" w:rsidRPr="00FA4055">
        <w:rPr>
          <w:rFonts w:ascii="Arial" w:hAnsi="Arial" w:cs="Arial"/>
          <w:lang w:val="en-US"/>
        </w:rPr>
        <w:t>9.6.2.1</w:t>
      </w:r>
    </w:p>
    <w:p w14:paraId="6486B4F2" w14:textId="77777777" w:rsidR="00C70FEF" w:rsidRDefault="00C70FEF" w:rsidP="00C70FEF">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1ED8A532" w14:textId="77777777" w:rsidR="00C70FEF" w:rsidRDefault="00C70FEF" w:rsidP="00C70FEF">
      <w:pPr>
        <w:pStyle w:val="Heading1"/>
      </w:pPr>
      <w:r>
        <w:t>1</w:t>
      </w:r>
      <w:r>
        <w:tab/>
        <w:t>Introduction</w:t>
      </w:r>
    </w:p>
    <w:p w14:paraId="7145E990" w14:textId="3E5A28DB" w:rsidR="00C70FEF" w:rsidRDefault="005932F1" w:rsidP="006635C8">
      <w:pPr>
        <w:pStyle w:val="BodyText"/>
        <w:rPr>
          <w:lang w:val="en-US"/>
        </w:rPr>
      </w:pPr>
      <w:r>
        <w:rPr>
          <w:lang w:val="en-US"/>
        </w:rPr>
        <w:t xml:space="preserve">During RAN4#98bis-e meeting </w:t>
      </w:r>
      <w:r w:rsidR="006635C8">
        <w:rPr>
          <w:lang w:val="en-US"/>
        </w:rPr>
        <w:t>was the first meeting for DL 1024 QAM Work Item.  It was agreed and captured in WF on 1024 QAM BS RF</w:t>
      </w:r>
      <w:r w:rsidR="00E32292">
        <w:rPr>
          <w:lang w:val="en-US"/>
        </w:rPr>
        <w:t xml:space="preserve"> </w:t>
      </w:r>
      <w:r w:rsidR="00E32292">
        <w:rPr>
          <w:lang w:val="en-US"/>
        </w:rPr>
        <w:fldChar w:fldCharType="begin"/>
      </w:r>
      <w:r w:rsidR="00E32292">
        <w:rPr>
          <w:lang w:val="en-US"/>
        </w:rPr>
        <w:instrText xml:space="preserve"> REF _Ref70598061 \r \h </w:instrText>
      </w:r>
      <w:r w:rsidR="00E32292">
        <w:rPr>
          <w:lang w:val="en-US"/>
        </w:rPr>
      </w:r>
      <w:r w:rsidR="00E32292">
        <w:rPr>
          <w:lang w:val="en-US"/>
        </w:rPr>
        <w:fldChar w:fldCharType="separate"/>
      </w:r>
      <w:r w:rsidR="00E32292">
        <w:rPr>
          <w:lang w:val="en-US"/>
        </w:rPr>
        <w:t>[1]</w:t>
      </w:r>
      <w:r w:rsidR="00E32292">
        <w:rPr>
          <w:lang w:val="en-US"/>
        </w:rPr>
        <w:fldChar w:fldCharType="end"/>
      </w:r>
      <w:r w:rsidR="006635C8">
        <w:rPr>
          <w:lang w:val="en-US"/>
        </w:rPr>
        <w:t xml:space="preserve"> to further </w:t>
      </w:r>
      <w:r w:rsidR="00812235">
        <w:rPr>
          <w:lang w:val="en-US"/>
        </w:rPr>
        <w:t xml:space="preserve">discuss the applicability of deployment scenarios for </w:t>
      </w:r>
      <w:r w:rsidR="006C1BA1">
        <w:rPr>
          <w:lang w:val="en-US"/>
        </w:rPr>
        <w:t xml:space="preserve">1024QAM </w:t>
      </w:r>
      <w:r w:rsidR="00812235">
        <w:rPr>
          <w:lang w:val="en-US"/>
        </w:rPr>
        <w:t>modulation</w:t>
      </w:r>
      <w:r w:rsidR="006C1BA1">
        <w:rPr>
          <w:lang w:val="en-US"/>
        </w:rPr>
        <w:t xml:space="preserve"> scheme</w:t>
      </w:r>
      <w:r w:rsidR="0066331A">
        <w:rPr>
          <w:lang w:val="en-US"/>
        </w:rPr>
        <w:t>:</w:t>
      </w:r>
    </w:p>
    <w:p w14:paraId="4CDDB47B" w14:textId="77777777" w:rsidR="00812235" w:rsidRPr="00812235" w:rsidRDefault="00812235" w:rsidP="00812235">
      <w:pPr>
        <w:pStyle w:val="BodyText"/>
        <w:numPr>
          <w:ilvl w:val="0"/>
          <w:numId w:val="11"/>
        </w:numPr>
        <w:rPr>
          <w:lang w:val="en-US"/>
        </w:rPr>
      </w:pPr>
      <w:r w:rsidRPr="00812235">
        <w:rPr>
          <w:lang w:val="sv-SE"/>
        </w:rPr>
        <w:t>BS class</w:t>
      </w:r>
    </w:p>
    <w:p w14:paraId="7061C300" w14:textId="77777777" w:rsidR="00812235" w:rsidRPr="00812235" w:rsidRDefault="00812235" w:rsidP="00812235">
      <w:pPr>
        <w:pStyle w:val="BodyText"/>
        <w:numPr>
          <w:ilvl w:val="1"/>
          <w:numId w:val="11"/>
        </w:numPr>
        <w:rPr>
          <w:lang w:val="en-US"/>
        </w:rPr>
      </w:pPr>
      <w:r w:rsidRPr="00812235">
        <w:t>Option 1: Do not define 1024QAM RF requirements for the wide area BS class</w:t>
      </w:r>
    </w:p>
    <w:p w14:paraId="7182BB8D" w14:textId="77777777" w:rsidR="00812235" w:rsidRPr="00812235" w:rsidRDefault="00812235" w:rsidP="00812235">
      <w:pPr>
        <w:pStyle w:val="BodyText"/>
        <w:numPr>
          <w:ilvl w:val="1"/>
          <w:numId w:val="11"/>
        </w:numPr>
        <w:rPr>
          <w:lang w:val="en-US"/>
        </w:rPr>
      </w:pPr>
      <w:r w:rsidRPr="00812235">
        <w:t>Option 2: Define 1024QAM RF requirements for all BS classes</w:t>
      </w:r>
    </w:p>
    <w:p w14:paraId="1492C197" w14:textId="23399F64" w:rsidR="0066331A" w:rsidRDefault="0066331A" w:rsidP="006635C8">
      <w:pPr>
        <w:pStyle w:val="BodyText"/>
        <w:rPr>
          <w:lang w:val="en-US"/>
        </w:rPr>
      </w:pPr>
    </w:p>
    <w:p w14:paraId="74A476FF" w14:textId="1BFC49A9" w:rsidR="00812235" w:rsidRDefault="00812235" w:rsidP="006635C8">
      <w:pPr>
        <w:pStyle w:val="BodyText"/>
        <w:rPr>
          <w:lang w:val="en-US"/>
        </w:rPr>
      </w:pPr>
      <w:r>
        <w:rPr>
          <w:lang w:val="en-US"/>
        </w:rPr>
        <w:t>In this contribution, the views of the sourcing companies will be summarized on BS classes.</w:t>
      </w:r>
    </w:p>
    <w:p w14:paraId="6F7DA0E8" w14:textId="77777777" w:rsidR="00C70FEF" w:rsidRDefault="00C70FEF" w:rsidP="00C70FEF">
      <w:pPr>
        <w:pStyle w:val="Heading1"/>
      </w:pPr>
      <w:r>
        <w:t>2</w:t>
      </w:r>
      <w:r>
        <w:tab/>
        <w:t>Discussion</w:t>
      </w:r>
    </w:p>
    <w:p w14:paraId="608E8969" w14:textId="36D2B423" w:rsidR="00DE7E94" w:rsidRDefault="00AD3BC7" w:rsidP="00812235">
      <w:pPr>
        <w:rPr>
          <w:lang w:val="en-US"/>
        </w:rPr>
      </w:pPr>
      <w:r>
        <w:rPr>
          <w:lang w:val="en-US"/>
        </w:rPr>
        <w:t xml:space="preserve">The </w:t>
      </w:r>
      <w:r w:rsidR="00A841C9">
        <w:rPr>
          <w:lang w:val="en-US"/>
        </w:rPr>
        <w:t>WF</w:t>
      </w:r>
      <w:r w:rsidR="00666B33">
        <w:rPr>
          <w:lang w:val="en-US"/>
        </w:rPr>
        <w:t xml:space="preserve"> </w:t>
      </w:r>
      <w:r w:rsidR="00666B33">
        <w:rPr>
          <w:lang w:val="en-US"/>
        </w:rPr>
        <w:fldChar w:fldCharType="begin"/>
      </w:r>
      <w:r w:rsidR="00666B33">
        <w:rPr>
          <w:lang w:val="en-US"/>
        </w:rPr>
        <w:instrText xml:space="preserve"> REF _Ref70598061 \r \h </w:instrText>
      </w:r>
      <w:r w:rsidR="00666B33">
        <w:rPr>
          <w:lang w:val="en-US"/>
        </w:rPr>
      </w:r>
      <w:r w:rsidR="00666B33">
        <w:rPr>
          <w:lang w:val="en-US"/>
        </w:rPr>
        <w:fldChar w:fldCharType="separate"/>
      </w:r>
      <w:r w:rsidR="00666B33">
        <w:rPr>
          <w:lang w:val="en-US"/>
        </w:rPr>
        <w:t>[1]</w:t>
      </w:r>
      <w:r w:rsidR="00666B33">
        <w:rPr>
          <w:lang w:val="en-US"/>
        </w:rPr>
        <w:fldChar w:fldCharType="end"/>
      </w:r>
      <w:r w:rsidR="00A841C9">
        <w:rPr>
          <w:lang w:val="en-US"/>
        </w:rPr>
        <w:t xml:space="preserve"> </w:t>
      </w:r>
      <w:r w:rsidR="00812235">
        <w:rPr>
          <w:lang w:val="en-US"/>
        </w:rPr>
        <w:t>has highlighted the opinions of desire to either have wide area BS class defined or not</w:t>
      </w:r>
      <w:r w:rsidR="00250E9F">
        <w:rPr>
          <w:lang w:val="en-US"/>
        </w:rPr>
        <w:t xml:space="preserve">.  The challenges of higher modulation </w:t>
      </w:r>
      <w:r w:rsidR="00934384">
        <w:rPr>
          <w:lang w:val="en-US"/>
        </w:rPr>
        <w:t>are</w:t>
      </w:r>
      <w:r w:rsidR="00250E9F">
        <w:rPr>
          <w:lang w:val="en-US"/>
        </w:rPr>
        <w:t xml:space="preserve"> maintaining a consistent quality of service through a fading channel scenario.  </w:t>
      </w:r>
      <w:r w:rsidR="00F15A6F">
        <w:rPr>
          <w:lang w:val="en-US"/>
        </w:rPr>
        <w:t>D</w:t>
      </w:r>
      <w:r w:rsidR="006644D8">
        <w:rPr>
          <w:lang w:val="en-US"/>
        </w:rPr>
        <w:t xml:space="preserve">uring high traffic scenarios there is higher interference which may mean that </w:t>
      </w:r>
      <w:r w:rsidR="007D1024">
        <w:rPr>
          <w:lang w:val="en-US"/>
        </w:rPr>
        <w:t xml:space="preserve">SINR is generally not high enough to schedule 1024QAM and the </w:t>
      </w:r>
      <w:r w:rsidR="006644D8">
        <w:rPr>
          <w:lang w:val="en-US"/>
        </w:rPr>
        <w:t>modulation order is lowered, an</w:t>
      </w:r>
      <w:r w:rsidR="00BD1515">
        <w:rPr>
          <w:lang w:val="en-US"/>
        </w:rPr>
        <w:t>d</w:t>
      </w:r>
      <w:r w:rsidR="007D1024">
        <w:rPr>
          <w:lang w:val="en-US"/>
        </w:rPr>
        <w:t>/or</w:t>
      </w:r>
      <w:r w:rsidR="006644D8">
        <w:rPr>
          <w:lang w:val="en-US"/>
        </w:rPr>
        <w:t xml:space="preserve"> additional MIMO streams can be utilized.  However, d</w:t>
      </w:r>
      <w:r w:rsidR="00BF5AFD">
        <w:rPr>
          <w:lang w:val="en-US"/>
        </w:rPr>
        <w:t xml:space="preserve">uring the low traffic times and </w:t>
      </w:r>
      <w:r w:rsidR="007D1024">
        <w:rPr>
          <w:lang w:val="en-US"/>
        </w:rPr>
        <w:t xml:space="preserve">when the </w:t>
      </w:r>
      <w:r w:rsidR="00BF5AFD">
        <w:rPr>
          <w:lang w:val="en-US"/>
        </w:rPr>
        <w:t>channel allows,</w:t>
      </w:r>
      <w:r w:rsidR="007D1024">
        <w:rPr>
          <w:lang w:val="en-US"/>
        </w:rPr>
        <w:t xml:space="preserve"> SINR will be high and</w:t>
      </w:r>
      <w:r w:rsidR="00BF5AFD">
        <w:rPr>
          <w:lang w:val="en-US"/>
        </w:rPr>
        <w:t xml:space="preserve"> a single layer MIMO with maximum supported modulation </w:t>
      </w:r>
      <w:r w:rsidR="007D1024">
        <w:rPr>
          <w:lang w:val="en-US"/>
        </w:rPr>
        <w:t>is more optimal than rank 2 to</w:t>
      </w:r>
      <w:r w:rsidR="00BF5AFD">
        <w:rPr>
          <w:lang w:val="en-US"/>
        </w:rPr>
        <w:t xml:space="preserve"> maximize throughput.  </w:t>
      </w:r>
      <w:r w:rsidR="007D1024">
        <w:rPr>
          <w:lang w:val="en-US"/>
        </w:rPr>
        <w:t>The decision to apply 1024QAM or not can be done dynamically depending on SNR and channel conditions. High SNR can also occur in wide area cells for UEs close to the BS, especially in good channel conditions and there is no need to limit the BS capabilities</w:t>
      </w:r>
      <w:r w:rsidR="007D1024" w:rsidDel="00430CB0">
        <w:rPr>
          <w:lang w:val="en-US"/>
        </w:rPr>
        <w:t xml:space="preserve">.  </w:t>
      </w:r>
    </w:p>
    <w:p w14:paraId="159A7D7D" w14:textId="4E4EBAD0" w:rsidR="006E606E" w:rsidRDefault="006E606E" w:rsidP="00812235">
      <w:pPr>
        <w:rPr>
          <w:b/>
          <w:bCs/>
          <w:lang w:val="en-US"/>
        </w:rPr>
      </w:pPr>
      <w:r>
        <w:rPr>
          <w:b/>
          <w:bCs/>
          <w:lang w:val="en-US"/>
        </w:rPr>
        <w:t>Observation</w:t>
      </w:r>
      <w:r w:rsidR="00BF5AFD">
        <w:rPr>
          <w:b/>
          <w:bCs/>
          <w:lang w:val="en-US"/>
        </w:rPr>
        <w:t xml:space="preserve"> 1</w:t>
      </w:r>
      <w:r>
        <w:rPr>
          <w:b/>
          <w:bCs/>
          <w:lang w:val="en-US"/>
        </w:rPr>
        <w:t xml:space="preserve">: </w:t>
      </w:r>
      <w:r w:rsidR="00BF5AFD">
        <w:rPr>
          <w:b/>
          <w:bCs/>
          <w:lang w:val="en-US"/>
        </w:rPr>
        <w:t>Higher over modulation can be used as opportunist</w:t>
      </w:r>
      <w:r w:rsidR="006C1BA1">
        <w:rPr>
          <w:b/>
          <w:bCs/>
          <w:lang w:val="en-US"/>
        </w:rPr>
        <w:t>ic</w:t>
      </w:r>
      <w:r w:rsidR="00BF5AFD">
        <w:rPr>
          <w:b/>
          <w:bCs/>
          <w:lang w:val="en-US"/>
        </w:rPr>
        <w:t xml:space="preserve"> when channel conditions are favorable.</w:t>
      </w:r>
    </w:p>
    <w:p w14:paraId="2E7D663E" w14:textId="01272338" w:rsidR="00BF5AFD" w:rsidRDefault="00425F26" w:rsidP="00812235">
      <w:pPr>
        <w:rPr>
          <w:lang w:val="en-US"/>
        </w:rPr>
      </w:pPr>
      <w:r>
        <w:rPr>
          <w:lang w:val="en-US"/>
        </w:rPr>
        <w:t xml:space="preserve">Differences between LTE and NR FR1 is the most comparable considering other frequency ranges in NR.  </w:t>
      </w:r>
      <w:r w:rsidR="001050E2">
        <w:rPr>
          <w:lang w:val="en-US"/>
        </w:rPr>
        <w:t>If considering the future, as more networks transition to NR from LTE-A a benefit to operators to upgrade without the need to adjust to deployment scenario and cell planning is a further aspect to consider.</w:t>
      </w:r>
      <w:r w:rsidR="003746D1">
        <w:rPr>
          <w:lang w:val="en-US"/>
        </w:rPr>
        <w:t xml:space="preserve">  The</w:t>
      </w:r>
      <w:r w:rsidR="00BD1515">
        <w:rPr>
          <w:lang w:val="en-US"/>
        </w:rPr>
        <w:t>re</w:t>
      </w:r>
      <w:r w:rsidR="003746D1">
        <w:rPr>
          <w:lang w:val="en-US"/>
        </w:rPr>
        <w:t xml:space="preserve"> have been some differences raised but with little impact to overall deployment concerns.  </w:t>
      </w:r>
    </w:p>
    <w:p w14:paraId="15577408" w14:textId="237D93AA" w:rsidR="001050E2" w:rsidRDefault="001050E2" w:rsidP="00812235">
      <w:pPr>
        <w:rPr>
          <w:b/>
          <w:bCs/>
          <w:lang w:val="en-US"/>
        </w:rPr>
      </w:pPr>
      <w:r>
        <w:rPr>
          <w:b/>
          <w:bCs/>
          <w:lang w:val="en-US"/>
        </w:rPr>
        <w:t>Observation 2: Deployment scenarios would change from LTE to NR if 1024 QAM does not support same BS classes in both generations.</w:t>
      </w:r>
    </w:p>
    <w:p w14:paraId="2396A64B" w14:textId="1C6CB87E" w:rsidR="001050E2" w:rsidRPr="001050E2" w:rsidRDefault="003746D1" w:rsidP="00812235">
      <w:pPr>
        <w:rPr>
          <w:lang w:val="en-US"/>
        </w:rPr>
      </w:pPr>
      <w:r>
        <w:rPr>
          <w:lang w:val="en-US"/>
        </w:rPr>
        <w:t xml:space="preserve">During RAN4 #98bis-e meeting it was also clear that many companies </w:t>
      </w:r>
      <w:r w:rsidR="00AA283D">
        <w:rPr>
          <w:lang w:val="en-US"/>
        </w:rPr>
        <w:t xml:space="preserve">including operators </w:t>
      </w:r>
      <w:r>
        <w:rPr>
          <w:lang w:val="en-US"/>
        </w:rPr>
        <w:t xml:space="preserve">are concerned about narrowing down LTE specification in NR.  In other words, 5G would be less than 4G offerings when it comes to higher order modulation </w:t>
      </w:r>
      <w:r w:rsidR="00AA0AD6">
        <w:rPr>
          <w:lang w:val="en-US"/>
        </w:rPr>
        <w:t xml:space="preserve">where similar RF technologies are concerned.  </w:t>
      </w:r>
      <w:r w:rsidR="006C1BA1">
        <w:rPr>
          <w:lang w:val="en-US"/>
        </w:rPr>
        <w:t>Furthermore,</w:t>
      </w:r>
      <w:r w:rsidR="00AA0AD6">
        <w:rPr>
          <w:lang w:val="en-US"/>
        </w:rPr>
        <w:t xml:space="preserve"> maximum achievable throughput would be diminished as LTE-A is being upgraded to NR</w:t>
      </w:r>
      <w:r w:rsidR="00AA283D">
        <w:rPr>
          <w:lang w:val="en-US"/>
        </w:rPr>
        <w:t xml:space="preserve"> when the operating channel bandwidth is same</w:t>
      </w:r>
      <w:r w:rsidR="00AA0AD6">
        <w:rPr>
          <w:lang w:val="en-US"/>
        </w:rPr>
        <w:t>.</w:t>
      </w:r>
    </w:p>
    <w:p w14:paraId="0A2B3F27" w14:textId="30A33AD0" w:rsidR="00AA0AD6" w:rsidRDefault="00AA0AD6" w:rsidP="00AA0AD6">
      <w:pPr>
        <w:rPr>
          <w:b/>
          <w:bCs/>
          <w:lang w:val="en-US"/>
        </w:rPr>
      </w:pPr>
      <w:r>
        <w:rPr>
          <w:b/>
          <w:bCs/>
          <w:lang w:val="en-US"/>
        </w:rPr>
        <w:t>Observation 3: 5G should not be less maximum throughput compared to 4G when similar technology basis is concerned.</w:t>
      </w:r>
    </w:p>
    <w:p w14:paraId="59AB1A19" w14:textId="77777777" w:rsidR="00AA0AD6" w:rsidRPr="005D0C78" w:rsidRDefault="00AA0AD6"/>
    <w:p w14:paraId="3FB85F15" w14:textId="77777777" w:rsidR="00105084" w:rsidRDefault="00105084" w:rsidP="00105084">
      <w:pPr>
        <w:pStyle w:val="Heading1"/>
      </w:pPr>
      <w:r>
        <w:lastRenderedPageBreak/>
        <w:t>3</w:t>
      </w:r>
      <w:r>
        <w:tab/>
        <w:t>Conclusion</w:t>
      </w:r>
    </w:p>
    <w:p w14:paraId="1A5D817C" w14:textId="25BB2409" w:rsidR="00105084" w:rsidRDefault="00105084" w:rsidP="00A1576E">
      <w:pPr>
        <w:pStyle w:val="BodyText"/>
        <w:rPr>
          <w:b/>
          <w:bCs/>
        </w:rPr>
      </w:pPr>
      <w:r>
        <w:t>In this contribution the following key o</w:t>
      </w:r>
      <w:r w:rsidR="003746D1">
        <w:t>bservations were highlighted:</w:t>
      </w:r>
    </w:p>
    <w:p w14:paraId="79CAE528" w14:textId="625C2EB6" w:rsidR="003746D1" w:rsidRDefault="003746D1" w:rsidP="003746D1">
      <w:pPr>
        <w:rPr>
          <w:b/>
          <w:bCs/>
          <w:lang w:val="en-US"/>
        </w:rPr>
      </w:pPr>
      <w:r>
        <w:rPr>
          <w:b/>
          <w:bCs/>
          <w:lang w:val="en-US"/>
        </w:rPr>
        <w:t>Observation 1: Higher over modulation can be used as opportunist</w:t>
      </w:r>
      <w:r w:rsidR="006C1BA1">
        <w:rPr>
          <w:b/>
          <w:bCs/>
          <w:lang w:val="en-US"/>
        </w:rPr>
        <w:t>ic</w:t>
      </w:r>
      <w:r>
        <w:rPr>
          <w:b/>
          <w:bCs/>
          <w:lang w:val="en-US"/>
        </w:rPr>
        <w:t xml:space="preserve"> when channel conditions are favorable.</w:t>
      </w:r>
    </w:p>
    <w:p w14:paraId="47CDF245" w14:textId="78433993" w:rsidR="003746D1" w:rsidRDefault="003746D1" w:rsidP="003746D1">
      <w:pPr>
        <w:rPr>
          <w:b/>
          <w:bCs/>
          <w:lang w:val="en-US"/>
        </w:rPr>
      </w:pPr>
      <w:r>
        <w:rPr>
          <w:b/>
          <w:bCs/>
          <w:lang w:val="en-US"/>
        </w:rPr>
        <w:t>Observation 2: Deployment scenarios would change from LTE to NR if 1024 QAM does not support same BS classes in both generations.</w:t>
      </w:r>
    </w:p>
    <w:p w14:paraId="4604A8AD" w14:textId="38817B84" w:rsidR="00AA0AD6" w:rsidRDefault="00AA0AD6" w:rsidP="003746D1">
      <w:pPr>
        <w:rPr>
          <w:b/>
          <w:bCs/>
          <w:lang w:val="en-US"/>
        </w:rPr>
      </w:pPr>
      <w:r>
        <w:rPr>
          <w:b/>
          <w:bCs/>
          <w:lang w:val="en-US"/>
        </w:rPr>
        <w:t>Observation 3: 5G should not be less maximum throughput compared to 4G when similar technology basis is concerned.</w:t>
      </w:r>
    </w:p>
    <w:p w14:paraId="5A6C5789" w14:textId="3F87C6B4" w:rsidR="00AA0AD6" w:rsidRPr="00AA0AD6" w:rsidRDefault="00AA0AD6" w:rsidP="003746D1">
      <w:r>
        <w:t>Is it therefore with the reasonings presented above there is a clear conclusion to propose to not restrict the BS classes in NR</w:t>
      </w:r>
      <w:r w:rsidR="008C16B9">
        <w:t xml:space="preserve"> for 1024QAM </w:t>
      </w:r>
      <w:proofErr w:type="gramStart"/>
      <w:r w:rsidR="008C16B9">
        <w:t>modulation</w:t>
      </w:r>
      <w:r>
        <w:t>.</w:t>
      </w:r>
      <w:proofErr w:type="gramEnd"/>
    </w:p>
    <w:p w14:paraId="15DDCB75" w14:textId="6C0AA807" w:rsidR="00105084" w:rsidRPr="00181CCF" w:rsidRDefault="00181CCF" w:rsidP="00105084">
      <w:pPr>
        <w:rPr>
          <w:b/>
          <w:bCs/>
        </w:rPr>
      </w:pPr>
      <w:r>
        <w:rPr>
          <w:b/>
          <w:bCs/>
        </w:rPr>
        <w:t xml:space="preserve">Proposal: </w:t>
      </w:r>
      <w:r w:rsidR="00812235" w:rsidRPr="00812235">
        <w:t>Define 1024QAM RF requirements for all BS classes</w:t>
      </w:r>
    </w:p>
    <w:p w14:paraId="78D2FF06" w14:textId="77777777" w:rsidR="00105084" w:rsidRDefault="00105084" w:rsidP="00105084">
      <w:pPr>
        <w:pStyle w:val="Heading1"/>
      </w:pPr>
      <w:r>
        <w:t>4</w:t>
      </w:r>
      <w:r>
        <w:tab/>
      </w:r>
      <w:r w:rsidRPr="00CE0424">
        <w:t>References</w:t>
      </w:r>
    </w:p>
    <w:p w14:paraId="4AEE298B" w14:textId="4DE2BF6A" w:rsidR="00592B17" w:rsidRDefault="001B1081" w:rsidP="00A1576E">
      <w:pPr>
        <w:pStyle w:val="ListParagraph"/>
        <w:numPr>
          <w:ilvl w:val="0"/>
          <w:numId w:val="8"/>
        </w:numPr>
      </w:pPr>
      <w:bookmarkStart w:id="0" w:name="_Ref68254738"/>
      <w:bookmarkStart w:id="1" w:name="_Ref70598061"/>
      <w:r w:rsidRPr="001B1081">
        <w:t>R4-210</w:t>
      </w:r>
      <w:bookmarkEnd w:id="0"/>
      <w:r w:rsidR="00A1576E">
        <w:t>6121, “WF on 1024 QAM BS requirements”, Ericsson</w:t>
      </w:r>
      <w:bookmarkEnd w:id="1"/>
    </w:p>
    <w:p w14:paraId="0ED623C5" w14:textId="2FC6CC3D" w:rsidR="005D7325" w:rsidRDefault="005D7325" w:rsidP="00156CE3">
      <w:pPr>
        <w:ind w:left="360"/>
      </w:pPr>
    </w:p>
    <w:sectPr w:rsidR="005D7325"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C860A1" w14:textId="77777777" w:rsidR="000020F9" w:rsidRDefault="000020F9" w:rsidP="00F932B6">
      <w:pPr>
        <w:spacing w:after="0"/>
      </w:pPr>
      <w:r>
        <w:separator/>
      </w:r>
    </w:p>
  </w:endnote>
  <w:endnote w:type="continuationSeparator" w:id="0">
    <w:p w14:paraId="3D276887" w14:textId="77777777" w:rsidR="000020F9" w:rsidRDefault="000020F9" w:rsidP="00F932B6">
      <w:pPr>
        <w:spacing w:after="0"/>
      </w:pPr>
      <w:r>
        <w:continuationSeparator/>
      </w:r>
    </w:p>
  </w:endnote>
  <w:endnote w:type="continuationNotice" w:id="1">
    <w:p w14:paraId="11626D1B" w14:textId="77777777" w:rsidR="000020F9" w:rsidRDefault="000020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EE9A41" w14:textId="77777777" w:rsidR="000020F9" w:rsidRDefault="000020F9" w:rsidP="00F932B6">
      <w:pPr>
        <w:spacing w:after="0"/>
      </w:pPr>
      <w:r>
        <w:separator/>
      </w:r>
    </w:p>
  </w:footnote>
  <w:footnote w:type="continuationSeparator" w:id="0">
    <w:p w14:paraId="554DEC48" w14:textId="77777777" w:rsidR="000020F9" w:rsidRDefault="000020F9" w:rsidP="00F932B6">
      <w:pPr>
        <w:spacing w:after="0"/>
      </w:pPr>
      <w:r>
        <w:continuationSeparator/>
      </w:r>
    </w:p>
  </w:footnote>
  <w:footnote w:type="continuationNotice" w:id="1">
    <w:p w14:paraId="0EA9DA2B" w14:textId="77777777" w:rsidR="000020F9" w:rsidRDefault="000020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CF7B0D"/>
    <w:multiLevelType w:val="hybridMultilevel"/>
    <w:tmpl w:val="E37EDC60"/>
    <w:lvl w:ilvl="0" w:tplc="C9CE6224">
      <w:start w:val="1"/>
      <w:numFmt w:val="bullet"/>
      <w:lvlText w:val="•"/>
      <w:lvlJc w:val="left"/>
      <w:pPr>
        <w:tabs>
          <w:tab w:val="num" w:pos="720"/>
        </w:tabs>
        <w:ind w:left="720" w:hanging="360"/>
      </w:pPr>
      <w:rPr>
        <w:rFonts w:ascii="Arial" w:hAnsi="Arial" w:hint="default"/>
      </w:rPr>
    </w:lvl>
    <w:lvl w:ilvl="1" w:tplc="92C86770">
      <w:numFmt w:val="bullet"/>
      <w:lvlText w:val="•"/>
      <w:lvlJc w:val="left"/>
      <w:pPr>
        <w:tabs>
          <w:tab w:val="num" w:pos="1440"/>
        </w:tabs>
        <w:ind w:left="1440" w:hanging="360"/>
      </w:pPr>
      <w:rPr>
        <w:rFonts w:ascii="Arial" w:hAnsi="Arial" w:hint="default"/>
      </w:rPr>
    </w:lvl>
    <w:lvl w:ilvl="2" w:tplc="A63A7C9C" w:tentative="1">
      <w:start w:val="1"/>
      <w:numFmt w:val="bullet"/>
      <w:lvlText w:val="•"/>
      <w:lvlJc w:val="left"/>
      <w:pPr>
        <w:tabs>
          <w:tab w:val="num" w:pos="2160"/>
        </w:tabs>
        <w:ind w:left="2160" w:hanging="360"/>
      </w:pPr>
      <w:rPr>
        <w:rFonts w:ascii="Arial" w:hAnsi="Arial" w:hint="default"/>
      </w:rPr>
    </w:lvl>
    <w:lvl w:ilvl="3" w:tplc="E286ABF0" w:tentative="1">
      <w:start w:val="1"/>
      <w:numFmt w:val="bullet"/>
      <w:lvlText w:val="•"/>
      <w:lvlJc w:val="left"/>
      <w:pPr>
        <w:tabs>
          <w:tab w:val="num" w:pos="2880"/>
        </w:tabs>
        <w:ind w:left="2880" w:hanging="360"/>
      </w:pPr>
      <w:rPr>
        <w:rFonts w:ascii="Arial" w:hAnsi="Arial" w:hint="default"/>
      </w:rPr>
    </w:lvl>
    <w:lvl w:ilvl="4" w:tplc="87008838" w:tentative="1">
      <w:start w:val="1"/>
      <w:numFmt w:val="bullet"/>
      <w:lvlText w:val="•"/>
      <w:lvlJc w:val="left"/>
      <w:pPr>
        <w:tabs>
          <w:tab w:val="num" w:pos="3600"/>
        </w:tabs>
        <w:ind w:left="3600" w:hanging="360"/>
      </w:pPr>
      <w:rPr>
        <w:rFonts w:ascii="Arial" w:hAnsi="Arial" w:hint="default"/>
      </w:rPr>
    </w:lvl>
    <w:lvl w:ilvl="5" w:tplc="34F053C4" w:tentative="1">
      <w:start w:val="1"/>
      <w:numFmt w:val="bullet"/>
      <w:lvlText w:val="•"/>
      <w:lvlJc w:val="left"/>
      <w:pPr>
        <w:tabs>
          <w:tab w:val="num" w:pos="4320"/>
        </w:tabs>
        <w:ind w:left="4320" w:hanging="360"/>
      </w:pPr>
      <w:rPr>
        <w:rFonts w:ascii="Arial" w:hAnsi="Arial" w:hint="default"/>
      </w:rPr>
    </w:lvl>
    <w:lvl w:ilvl="6" w:tplc="1CF0982E" w:tentative="1">
      <w:start w:val="1"/>
      <w:numFmt w:val="bullet"/>
      <w:lvlText w:val="•"/>
      <w:lvlJc w:val="left"/>
      <w:pPr>
        <w:tabs>
          <w:tab w:val="num" w:pos="5040"/>
        </w:tabs>
        <w:ind w:left="5040" w:hanging="360"/>
      </w:pPr>
      <w:rPr>
        <w:rFonts w:ascii="Arial" w:hAnsi="Arial" w:hint="default"/>
      </w:rPr>
    </w:lvl>
    <w:lvl w:ilvl="7" w:tplc="BB4AB8AA" w:tentative="1">
      <w:start w:val="1"/>
      <w:numFmt w:val="bullet"/>
      <w:lvlText w:val="•"/>
      <w:lvlJc w:val="left"/>
      <w:pPr>
        <w:tabs>
          <w:tab w:val="num" w:pos="5760"/>
        </w:tabs>
        <w:ind w:left="5760" w:hanging="360"/>
      </w:pPr>
      <w:rPr>
        <w:rFonts w:ascii="Arial" w:hAnsi="Arial" w:hint="default"/>
      </w:rPr>
    </w:lvl>
    <w:lvl w:ilvl="8" w:tplc="C6F8BA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6C867CC"/>
    <w:multiLevelType w:val="hybridMultilevel"/>
    <w:tmpl w:val="A3DE0A76"/>
    <w:lvl w:ilvl="0" w:tplc="8730A3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7E0D2E"/>
    <w:multiLevelType w:val="hybridMultilevel"/>
    <w:tmpl w:val="A9C8EC48"/>
    <w:lvl w:ilvl="0" w:tplc="4A806610">
      <w:start w:val="1"/>
      <w:numFmt w:val="bullet"/>
      <w:lvlText w:val="•"/>
      <w:lvlJc w:val="left"/>
      <w:pPr>
        <w:tabs>
          <w:tab w:val="num" w:pos="720"/>
        </w:tabs>
        <w:ind w:left="720" w:hanging="360"/>
      </w:pPr>
      <w:rPr>
        <w:rFonts w:ascii="Arial" w:hAnsi="Arial" w:hint="default"/>
      </w:rPr>
    </w:lvl>
    <w:lvl w:ilvl="1" w:tplc="D6AABC56">
      <w:numFmt w:val="bullet"/>
      <w:lvlText w:val="•"/>
      <w:lvlJc w:val="left"/>
      <w:pPr>
        <w:tabs>
          <w:tab w:val="num" w:pos="1440"/>
        </w:tabs>
        <w:ind w:left="1440" w:hanging="360"/>
      </w:pPr>
      <w:rPr>
        <w:rFonts w:ascii="Arial" w:hAnsi="Arial" w:hint="default"/>
      </w:rPr>
    </w:lvl>
    <w:lvl w:ilvl="2" w:tplc="AFDAC5EC" w:tentative="1">
      <w:start w:val="1"/>
      <w:numFmt w:val="bullet"/>
      <w:lvlText w:val="•"/>
      <w:lvlJc w:val="left"/>
      <w:pPr>
        <w:tabs>
          <w:tab w:val="num" w:pos="2160"/>
        </w:tabs>
        <w:ind w:left="2160" w:hanging="360"/>
      </w:pPr>
      <w:rPr>
        <w:rFonts w:ascii="Arial" w:hAnsi="Arial" w:hint="default"/>
      </w:rPr>
    </w:lvl>
    <w:lvl w:ilvl="3" w:tplc="819A8340" w:tentative="1">
      <w:start w:val="1"/>
      <w:numFmt w:val="bullet"/>
      <w:lvlText w:val="•"/>
      <w:lvlJc w:val="left"/>
      <w:pPr>
        <w:tabs>
          <w:tab w:val="num" w:pos="2880"/>
        </w:tabs>
        <w:ind w:left="2880" w:hanging="360"/>
      </w:pPr>
      <w:rPr>
        <w:rFonts w:ascii="Arial" w:hAnsi="Arial" w:hint="default"/>
      </w:rPr>
    </w:lvl>
    <w:lvl w:ilvl="4" w:tplc="B67411DA" w:tentative="1">
      <w:start w:val="1"/>
      <w:numFmt w:val="bullet"/>
      <w:lvlText w:val="•"/>
      <w:lvlJc w:val="left"/>
      <w:pPr>
        <w:tabs>
          <w:tab w:val="num" w:pos="3600"/>
        </w:tabs>
        <w:ind w:left="3600" w:hanging="360"/>
      </w:pPr>
      <w:rPr>
        <w:rFonts w:ascii="Arial" w:hAnsi="Arial" w:hint="default"/>
      </w:rPr>
    </w:lvl>
    <w:lvl w:ilvl="5" w:tplc="4CFE0D0E" w:tentative="1">
      <w:start w:val="1"/>
      <w:numFmt w:val="bullet"/>
      <w:lvlText w:val="•"/>
      <w:lvlJc w:val="left"/>
      <w:pPr>
        <w:tabs>
          <w:tab w:val="num" w:pos="4320"/>
        </w:tabs>
        <w:ind w:left="4320" w:hanging="360"/>
      </w:pPr>
      <w:rPr>
        <w:rFonts w:ascii="Arial" w:hAnsi="Arial" w:hint="default"/>
      </w:rPr>
    </w:lvl>
    <w:lvl w:ilvl="6" w:tplc="57FE2110" w:tentative="1">
      <w:start w:val="1"/>
      <w:numFmt w:val="bullet"/>
      <w:lvlText w:val="•"/>
      <w:lvlJc w:val="left"/>
      <w:pPr>
        <w:tabs>
          <w:tab w:val="num" w:pos="5040"/>
        </w:tabs>
        <w:ind w:left="5040" w:hanging="360"/>
      </w:pPr>
      <w:rPr>
        <w:rFonts w:ascii="Arial" w:hAnsi="Arial" w:hint="default"/>
      </w:rPr>
    </w:lvl>
    <w:lvl w:ilvl="7" w:tplc="B6AC8E02" w:tentative="1">
      <w:start w:val="1"/>
      <w:numFmt w:val="bullet"/>
      <w:lvlText w:val="•"/>
      <w:lvlJc w:val="left"/>
      <w:pPr>
        <w:tabs>
          <w:tab w:val="num" w:pos="5760"/>
        </w:tabs>
        <w:ind w:left="5760" w:hanging="360"/>
      </w:pPr>
      <w:rPr>
        <w:rFonts w:ascii="Arial" w:hAnsi="Arial" w:hint="default"/>
      </w:rPr>
    </w:lvl>
    <w:lvl w:ilvl="8" w:tplc="4E8A945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EC93D47"/>
    <w:multiLevelType w:val="hybridMultilevel"/>
    <w:tmpl w:val="1AFA5298"/>
    <w:lvl w:ilvl="0" w:tplc="F0405084">
      <w:start w:val="1"/>
      <w:numFmt w:val="bullet"/>
      <w:lvlText w:val="•"/>
      <w:lvlJc w:val="left"/>
      <w:pPr>
        <w:tabs>
          <w:tab w:val="num" w:pos="720"/>
        </w:tabs>
        <w:ind w:left="720" w:hanging="360"/>
      </w:pPr>
      <w:rPr>
        <w:rFonts w:ascii="Arial" w:hAnsi="Arial" w:hint="default"/>
      </w:rPr>
    </w:lvl>
    <w:lvl w:ilvl="1" w:tplc="349C997C">
      <w:start w:val="1"/>
      <w:numFmt w:val="bullet"/>
      <w:lvlText w:val="•"/>
      <w:lvlJc w:val="left"/>
      <w:pPr>
        <w:tabs>
          <w:tab w:val="num" w:pos="1440"/>
        </w:tabs>
        <w:ind w:left="1440" w:hanging="360"/>
      </w:pPr>
      <w:rPr>
        <w:rFonts w:ascii="Arial" w:hAnsi="Arial" w:hint="default"/>
      </w:rPr>
    </w:lvl>
    <w:lvl w:ilvl="2" w:tplc="B7388032" w:tentative="1">
      <w:start w:val="1"/>
      <w:numFmt w:val="bullet"/>
      <w:lvlText w:val="•"/>
      <w:lvlJc w:val="left"/>
      <w:pPr>
        <w:tabs>
          <w:tab w:val="num" w:pos="2160"/>
        </w:tabs>
        <w:ind w:left="2160" w:hanging="360"/>
      </w:pPr>
      <w:rPr>
        <w:rFonts w:ascii="Arial" w:hAnsi="Arial" w:hint="default"/>
      </w:rPr>
    </w:lvl>
    <w:lvl w:ilvl="3" w:tplc="6D500236" w:tentative="1">
      <w:start w:val="1"/>
      <w:numFmt w:val="bullet"/>
      <w:lvlText w:val="•"/>
      <w:lvlJc w:val="left"/>
      <w:pPr>
        <w:tabs>
          <w:tab w:val="num" w:pos="2880"/>
        </w:tabs>
        <w:ind w:left="2880" w:hanging="360"/>
      </w:pPr>
      <w:rPr>
        <w:rFonts w:ascii="Arial" w:hAnsi="Arial" w:hint="default"/>
      </w:rPr>
    </w:lvl>
    <w:lvl w:ilvl="4" w:tplc="3BD27416" w:tentative="1">
      <w:start w:val="1"/>
      <w:numFmt w:val="bullet"/>
      <w:lvlText w:val="•"/>
      <w:lvlJc w:val="left"/>
      <w:pPr>
        <w:tabs>
          <w:tab w:val="num" w:pos="3600"/>
        </w:tabs>
        <w:ind w:left="3600" w:hanging="360"/>
      </w:pPr>
      <w:rPr>
        <w:rFonts w:ascii="Arial" w:hAnsi="Arial" w:hint="default"/>
      </w:rPr>
    </w:lvl>
    <w:lvl w:ilvl="5" w:tplc="05F87E5E" w:tentative="1">
      <w:start w:val="1"/>
      <w:numFmt w:val="bullet"/>
      <w:lvlText w:val="•"/>
      <w:lvlJc w:val="left"/>
      <w:pPr>
        <w:tabs>
          <w:tab w:val="num" w:pos="4320"/>
        </w:tabs>
        <w:ind w:left="4320" w:hanging="360"/>
      </w:pPr>
      <w:rPr>
        <w:rFonts w:ascii="Arial" w:hAnsi="Arial" w:hint="default"/>
      </w:rPr>
    </w:lvl>
    <w:lvl w:ilvl="6" w:tplc="4DB229EC" w:tentative="1">
      <w:start w:val="1"/>
      <w:numFmt w:val="bullet"/>
      <w:lvlText w:val="•"/>
      <w:lvlJc w:val="left"/>
      <w:pPr>
        <w:tabs>
          <w:tab w:val="num" w:pos="5040"/>
        </w:tabs>
        <w:ind w:left="5040" w:hanging="360"/>
      </w:pPr>
      <w:rPr>
        <w:rFonts w:ascii="Arial" w:hAnsi="Arial" w:hint="default"/>
      </w:rPr>
    </w:lvl>
    <w:lvl w:ilvl="7" w:tplc="CCEC187C" w:tentative="1">
      <w:start w:val="1"/>
      <w:numFmt w:val="bullet"/>
      <w:lvlText w:val="•"/>
      <w:lvlJc w:val="left"/>
      <w:pPr>
        <w:tabs>
          <w:tab w:val="num" w:pos="5760"/>
        </w:tabs>
        <w:ind w:left="5760" w:hanging="360"/>
      </w:pPr>
      <w:rPr>
        <w:rFonts w:ascii="Arial" w:hAnsi="Arial" w:hint="default"/>
      </w:rPr>
    </w:lvl>
    <w:lvl w:ilvl="8" w:tplc="A934C9AE"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8"/>
  </w:num>
  <w:num w:numId="3">
    <w:abstractNumId w:val="2"/>
  </w:num>
  <w:num w:numId="4">
    <w:abstractNumId w:val="1"/>
  </w:num>
  <w:num w:numId="5">
    <w:abstractNumId w:val="5"/>
  </w:num>
  <w:num w:numId="6">
    <w:abstractNumId w:val="0"/>
  </w:num>
  <w:num w:numId="7">
    <w:abstractNumId w:val="6"/>
  </w:num>
  <w:num w:numId="8">
    <w:abstractNumId w:val="4"/>
  </w:num>
  <w:num w:numId="9">
    <w:abstractNumId w:val="9"/>
  </w:num>
  <w:num w:numId="10">
    <w:abstractNumId w:val="1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EF"/>
    <w:rsid w:val="00001094"/>
    <w:rsid w:val="000020F9"/>
    <w:rsid w:val="000240BE"/>
    <w:rsid w:val="00025FD6"/>
    <w:rsid w:val="00037C40"/>
    <w:rsid w:val="00045E1A"/>
    <w:rsid w:val="00046568"/>
    <w:rsid w:val="00067A79"/>
    <w:rsid w:val="0008793B"/>
    <w:rsid w:val="000C73F1"/>
    <w:rsid w:val="000E44A1"/>
    <w:rsid w:val="000F7138"/>
    <w:rsid w:val="00102808"/>
    <w:rsid w:val="00103E3B"/>
    <w:rsid w:val="00105084"/>
    <w:rsid w:val="001050E2"/>
    <w:rsid w:val="001148BC"/>
    <w:rsid w:val="001208E0"/>
    <w:rsid w:val="00131789"/>
    <w:rsid w:val="001332B4"/>
    <w:rsid w:val="0015382B"/>
    <w:rsid w:val="00156CE3"/>
    <w:rsid w:val="001571DC"/>
    <w:rsid w:val="00164002"/>
    <w:rsid w:val="001723C7"/>
    <w:rsid w:val="0017632A"/>
    <w:rsid w:val="00181CCF"/>
    <w:rsid w:val="00192198"/>
    <w:rsid w:val="00193C70"/>
    <w:rsid w:val="001A1BE7"/>
    <w:rsid w:val="001A2F76"/>
    <w:rsid w:val="001B05CE"/>
    <w:rsid w:val="001B1081"/>
    <w:rsid w:val="001B14B6"/>
    <w:rsid w:val="001B3037"/>
    <w:rsid w:val="001B4E88"/>
    <w:rsid w:val="001C00C9"/>
    <w:rsid w:val="001C2FDF"/>
    <w:rsid w:val="001E1316"/>
    <w:rsid w:val="001F3467"/>
    <w:rsid w:val="001F4F46"/>
    <w:rsid w:val="00210F9F"/>
    <w:rsid w:val="0022007A"/>
    <w:rsid w:val="00227714"/>
    <w:rsid w:val="002312E8"/>
    <w:rsid w:val="00233A2E"/>
    <w:rsid w:val="00240420"/>
    <w:rsid w:val="00244BDC"/>
    <w:rsid w:val="00247B32"/>
    <w:rsid w:val="00247F8C"/>
    <w:rsid w:val="00250E9F"/>
    <w:rsid w:val="00254DF8"/>
    <w:rsid w:val="00255F0A"/>
    <w:rsid w:val="002613DB"/>
    <w:rsid w:val="00277024"/>
    <w:rsid w:val="00282A7E"/>
    <w:rsid w:val="00297333"/>
    <w:rsid w:val="002A49A0"/>
    <w:rsid w:val="002D4A34"/>
    <w:rsid w:val="002E0862"/>
    <w:rsid w:val="002E66B1"/>
    <w:rsid w:val="002F16ED"/>
    <w:rsid w:val="002F6BB5"/>
    <w:rsid w:val="00300DB6"/>
    <w:rsid w:val="0030277D"/>
    <w:rsid w:val="00305A22"/>
    <w:rsid w:val="003176C6"/>
    <w:rsid w:val="00327A1B"/>
    <w:rsid w:val="00332AF4"/>
    <w:rsid w:val="00335F06"/>
    <w:rsid w:val="0035393E"/>
    <w:rsid w:val="0036205D"/>
    <w:rsid w:val="003746D1"/>
    <w:rsid w:val="00382EAA"/>
    <w:rsid w:val="00386132"/>
    <w:rsid w:val="003A1B33"/>
    <w:rsid w:val="003A571A"/>
    <w:rsid w:val="003A6238"/>
    <w:rsid w:val="003B0333"/>
    <w:rsid w:val="003B686D"/>
    <w:rsid w:val="003C2B28"/>
    <w:rsid w:val="003C5277"/>
    <w:rsid w:val="003D1307"/>
    <w:rsid w:val="003D1813"/>
    <w:rsid w:val="003E0436"/>
    <w:rsid w:val="00404E14"/>
    <w:rsid w:val="00413DF3"/>
    <w:rsid w:val="00425F26"/>
    <w:rsid w:val="00430CB0"/>
    <w:rsid w:val="00450985"/>
    <w:rsid w:val="00451570"/>
    <w:rsid w:val="00457A71"/>
    <w:rsid w:val="00465688"/>
    <w:rsid w:val="004865E6"/>
    <w:rsid w:val="0049266E"/>
    <w:rsid w:val="00492937"/>
    <w:rsid w:val="004A220B"/>
    <w:rsid w:val="004B6AEF"/>
    <w:rsid w:val="004C7549"/>
    <w:rsid w:val="004D5C9C"/>
    <w:rsid w:val="004F0199"/>
    <w:rsid w:val="004F043F"/>
    <w:rsid w:val="0051671D"/>
    <w:rsid w:val="00536AB4"/>
    <w:rsid w:val="0054424A"/>
    <w:rsid w:val="00551A32"/>
    <w:rsid w:val="005571EA"/>
    <w:rsid w:val="005865F5"/>
    <w:rsid w:val="00592B17"/>
    <w:rsid w:val="005932F1"/>
    <w:rsid w:val="005934D6"/>
    <w:rsid w:val="00593BB1"/>
    <w:rsid w:val="005A5B0C"/>
    <w:rsid w:val="005B742E"/>
    <w:rsid w:val="005C40FD"/>
    <w:rsid w:val="005D0C78"/>
    <w:rsid w:val="005D7325"/>
    <w:rsid w:val="00600868"/>
    <w:rsid w:val="006201C0"/>
    <w:rsid w:val="0062524D"/>
    <w:rsid w:val="00625ED6"/>
    <w:rsid w:val="00626767"/>
    <w:rsid w:val="0062757A"/>
    <w:rsid w:val="006519B9"/>
    <w:rsid w:val="00651DB4"/>
    <w:rsid w:val="006577ED"/>
    <w:rsid w:val="00660CF3"/>
    <w:rsid w:val="0066331A"/>
    <w:rsid w:val="006635C8"/>
    <w:rsid w:val="006644D8"/>
    <w:rsid w:val="00664AB6"/>
    <w:rsid w:val="006660C8"/>
    <w:rsid w:val="00666B33"/>
    <w:rsid w:val="006743C6"/>
    <w:rsid w:val="0067756B"/>
    <w:rsid w:val="006819B3"/>
    <w:rsid w:val="00694E40"/>
    <w:rsid w:val="006B2E3E"/>
    <w:rsid w:val="006B599F"/>
    <w:rsid w:val="006C0726"/>
    <w:rsid w:val="006C12BF"/>
    <w:rsid w:val="006C1423"/>
    <w:rsid w:val="006C1BA1"/>
    <w:rsid w:val="006D5396"/>
    <w:rsid w:val="006E0599"/>
    <w:rsid w:val="006E606E"/>
    <w:rsid w:val="006E7ED2"/>
    <w:rsid w:val="006F0764"/>
    <w:rsid w:val="00706C11"/>
    <w:rsid w:val="007079EB"/>
    <w:rsid w:val="00726B5D"/>
    <w:rsid w:val="00736C27"/>
    <w:rsid w:val="00740180"/>
    <w:rsid w:val="00743CBF"/>
    <w:rsid w:val="007729DF"/>
    <w:rsid w:val="0079510D"/>
    <w:rsid w:val="007B69AE"/>
    <w:rsid w:val="007D1024"/>
    <w:rsid w:val="007D639D"/>
    <w:rsid w:val="007E479E"/>
    <w:rsid w:val="007F298F"/>
    <w:rsid w:val="007F305F"/>
    <w:rsid w:val="008011B4"/>
    <w:rsid w:val="008059ED"/>
    <w:rsid w:val="0081086D"/>
    <w:rsid w:val="00812235"/>
    <w:rsid w:val="008124DA"/>
    <w:rsid w:val="00831493"/>
    <w:rsid w:val="00843960"/>
    <w:rsid w:val="00844744"/>
    <w:rsid w:val="00855572"/>
    <w:rsid w:val="00856179"/>
    <w:rsid w:val="0086214A"/>
    <w:rsid w:val="00864B2D"/>
    <w:rsid w:val="00865332"/>
    <w:rsid w:val="00874C01"/>
    <w:rsid w:val="00891073"/>
    <w:rsid w:val="008B1718"/>
    <w:rsid w:val="008B76DE"/>
    <w:rsid w:val="008C04E8"/>
    <w:rsid w:val="008C16B9"/>
    <w:rsid w:val="008C17FB"/>
    <w:rsid w:val="008D7E79"/>
    <w:rsid w:val="008E1879"/>
    <w:rsid w:val="008E6D95"/>
    <w:rsid w:val="008F649A"/>
    <w:rsid w:val="0090195D"/>
    <w:rsid w:val="00907AF4"/>
    <w:rsid w:val="00910D5D"/>
    <w:rsid w:val="00913DBD"/>
    <w:rsid w:val="00934384"/>
    <w:rsid w:val="0094088A"/>
    <w:rsid w:val="009463BB"/>
    <w:rsid w:val="00954ED5"/>
    <w:rsid w:val="0096423A"/>
    <w:rsid w:val="009648DA"/>
    <w:rsid w:val="00964C11"/>
    <w:rsid w:val="009841B0"/>
    <w:rsid w:val="00986CD3"/>
    <w:rsid w:val="00987667"/>
    <w:rsid w:val="00991882"/>
    <w:rsid w:val="009927BB"/>
    <w:rsid w:val="00997777"/>
    <w:rsid w:val="009A7CB8"/>
    <w:rsid w:val="009C217F"/>
    <w:rsid w:val="009D4206"/>
    <w:rsid w:val="009D4C1B"/>
    <w:rsid w:val="009D640C"/>
    <w:rsid w:val="009D7F57"/>
    <w:rsid w:val="00A04CF4"/>
    <w:rsid w:val="00A1576E"/>
    <w:rsid w:val="00A218E2"/>
    <w:rsid w:val="00A26342"/>
    <w:rsid w:val="00A41F24"/>
    <w:rsid w:val="00A436B4"/>
    <w:rsid w:val="00A563E3"/>
    <w:rsid w:val="00A570F7"/>
    <w:rsid w:val="00A841C9"/>
    <w:rsid w:val="00AA0AD6"/>
    <w:rsid w:val="00AA12F9"/>
    <w:rsid w:val="00AA283D"/>
    <w:rsid w:val="00AA57FE"/>
    <w:rsid w:val="00AA5D71"/>
    <w:rsid w:val="00AB63F5"/>
    <w:rsid w:val="00AD3BC7"/>
    <w:rsid w:val="00AD52FB"/>
    <w:rsid w:val="00AE50E0"/>
    <w:rsid w:val="00AF1850"/>
    <w:rsid w:val="00B0664E"/>
    <w:rsid w:val="00B071AE"/>
    <w:rsid w:val="00B16AFA"/>
    <w:rsid w:val="00B17B52"/>
    <w:rsid w:val="00B17BD6"/>
    <w:rsid w:val="00B22060"/>
    <w:rsid w:val="00B33BE4"/>
    <w:rsid w:val="00B369EE"/>
    <w:rsid w:val="00B36D88"/>
    <w:rsid w:val="00B43E5C"/>
    <w:rsid w:val="00B526E0"/>
    <w:rsid w:val="00B63FCF"/>
    <w:rsid w:val="00B67D4D"/>
    <w:rsid w:val="00B8072E"/>
    <w:rsid w:val="00BC18DB"/>
    <w:rsid w:val="00BC38CC"/>
    <w:rsid w:val="00BC4A3E"/>
    <w:rsid w:val="00BC4FBA"/>
    <w:rsid w:val="00BD1515"/>
    <w:rsid w:val="00BD506C"/>
    <w:rsid w:val="00BD7369"/>
    <w:rsid w:val="00BF1799"/>
    <w:rsid w:val="00BF5AFD"/>
    <w:rsid w:val="00BF76FB"/>
    <w:rsid w:val="00C14D87"/>
    <w:rsid w:val="00C16143"/>
    <w:rsid w:val="00C20F1B"/>
    <w:rsid w:val="00C23439"/>
    <w:rsid w:val="00C273E1"/>
    <w:rsid w:val="00C315A5"/>
    <w:rsid w:val="00C413E1"/>
    <w:rsid w:val="00C44785"/>
    <w:rsid w:val="00C44CDC"/>
    <w:rsid w:val="00C51648"/>
    <w:rsid w:val="00C64EDF"/>
    <w:rsid w:val="00C70FEF"/>
    <w:rsid w:val="00C973C8"/>
    <w:rsid w:val="00CC1F03"/>
    <w:rsid w:val="00CC497A"/>
    <w:rsid w:val="00CC6036"/>
    <w:rsid w:val="00CD0A89"/>
    <w:rsid w:val="00CD4728"/>
    <w:rsid w:val="00CD52BB"/>
    <w:rsid w:val="00CD59DD"/>
    <w:rsid w:val="00CD67D1"/>
    <w:rsid w:val="00CE4210"/>
    <w:rsid w:val="00CE6AEC"/>
    <w:rsid w:val="00CF2A71"/>
    <w:rsid w:val="00CF320D"/>
    <w:rsid w:val="00D00071"/>
    <w:rsid w:val="00D175A2"/>
    <w:rsid w:val="00D40D01"/>
    <w:rsid w:val="00D42A38"/>
    <w:rsid w:val="00D64F81"/>
    <w:rsid w:val="00D6751A"/>
    <w:rsid w:val="00D715E9"/>
    <w:rsid w:val="00D72D56"/>
    <w:rsid w:val="00D83C84"/>
    <w:rsid w:val="00D84596"/>
    <w:rsid w:val="00D9018B"/>
    <w:rsid w:val="00D9796C"/>
    <w:rsid w:val="00DB146B"/>
    <w:rsid w:val="00DB725C"/>
    <w:rsid w:val="00DC08EB"/>
    <w:rsid w:val="00DC1CD5"/>
    <w:rsid w:val="00DD00A8"/>
    <w:rsid w:val="00DE0255"/>
    <w:rsid w:val="00DE1321"/>
    <w:rsid w:val="00DE7E94"/>
    <w:rsid w:val="00DF1081"/>
    <w:rsid w:val="00DF2BDF"/>
    <w:rsid w:val="00E00D20"/>
    <w:rsid w:val="00E04D77"/>
    <w:rsid w:val="00E1078E"/>
    <w:rsid w:val="00E15D70"/>
    <w:rsid w:val="00E243F2"/>
    <w:rsid w:val="00E30F97"/>
    <w:rsid w:val="00E32292"/>
    <w:rsid w:val="00E33169"/>
    <w:rsid w:val="00E401B8"/>
    <w:rsid w:val="00E4611F"/>
    <w:rsid w:val="00E47185"/>
    <w:rsid w:val="00E52277"/>
    <w:rsid w:val="00E5461E"/>
    <w:rsid w:val="00E54AE8"/>
    <w:rsid w:val="00E62DDE"/>
    <w:rsid w:val="00E67EFB"/>
    <w:rsid w:val="00E710C9"/>
    <w:rsid w:val="00E736FA"/>
    <w:rsid w:val="00E87C47"/>
    <w:rsid w:val="00E94A00"/>
    <w:rsid w:val="00E95C7C"/>
    <w:rsid w:val="00E975F8"/>
    <w:rsid w:val="00EA5F73"/>
    <w:rsid w:val="00EA6291"/>
    <w:rsid w:val="00EB162D"/>
    <w:rsid w:val="00ED1F6F"/>
    <w:rsid w:val="00EF2E99"/>
    <w:rsid w:val="00EF48BF"/>
    <w:rsid w:val="00F123B4"/>
    <w:rsid w:val="00F15A6F"/>
    <w:rsid w:val="00F2243A"/>
    <w:rsid w:val="00F22CE2"/>
    <w:rsid w:val="00F27E9C"/>
    <w:rsid w:val="00F40B7B"/>
    <w:rsid w:val="00F419FB"/>
    <w:rsid w:val="00F52431"/>
    <w:rsid w:val="00F60339"/>
    <w:rsid w:val="00F70DE5"/>
    <w:rsid w:val="00F932B6"/>
    <w:rsid w:val="00FA33A9"/>
    <w:rsid w:val="00FA4055"/>
    <w:rsid w:val="00FA63FA"/>
    <w:rsid w:val="00FB5CE8"/>
    <w:rsid w:val="00FC2C18"/>
    <w:rsid w:val="00FC6792"/>
    <w:rsid w:val="00FD46FD"/>
    <w:rsid w:val="00FD524F"/>
    <w:rsid w:val="00FE15A2"/>
    <w:rsid w:val="00FE22DD"/>
    <w:rsid w:val="00FE31AF"/>
    <w:rsid w:val="00FF74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FEF"/>
    <w:rPr>
      <w:rFonts w:ascii="Arial" w:eastAsia="Times New Roman" w:hAnsi="Arial" w:cs="Times New Roman"/>
      <w:sz w:val="36"/>
      <w:szCs w:val="20"/>
      <w:lang w:val="en-GB"/>
    </w:rPr>
  </w:style>
  <w:style w:type="paragraph" w:styleId="Header">
    <w:name w:val="header"/>
    <w:link w:val="HeaderChar"/>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C70FEF"/>
    <w:rPr>
      <w:rFonts w:ascii="Arial" w:eastAsia="Times New Roman" w:hAnsi="Arial" w:cs="Times New Roman"/>
      <w:b/>
      <w:noProof/>
      <w:sz w:val="18"/>
      <w:szCs w:val="20"/>
      <w:lang w:val="en-GB" w:eastAsia="ja-JP"/>
    </w:rPr>
  </w:style>
  <w:style w:type="paragraph" w:styleId="BodyText">
    <w:name w:val="Body Text"/>
    <w:basedOn w:val="Normal"/>
    <w:link w:val="BodyTextChar"/>
    <w:uiPriority w:val="99"/>
    <w:rsid w:val="00C70FEF"/>
    <w:pPr>
      <w:spacing w:after="120"/>
    </w:pPr>
  </w:style>
  <w:style w:type="character" w:customStyle="1" w:styleId="BodyTextChar">
    <w:name w:val="Body Text Char"/>
    <w:basedOn w:val="DefaultParagraphFont"/>
    <w:link w:val="BodyText"/>
    <w:uiPriority w:val="99"/>
    <w:rsid w:val="00C70FE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FEF"/>
    <w:rPr>
      <w:rFonts w:ascii="Segoe UI" w:eastAsia="Times New Roman" w:hAnsi="Segoe UI" w:cs="Segoe UI"/>
      <w:sz w:val="18"/>
      <w:szCs w:val="18"/>
      <w:lang w:val="en-GB"/>
    </w:rPr>
  </w:style>
  <w:style w:type="paragraph" w:styleId="Caption">
    <w:name w:val="caption"/>
    <w:basedOn w:val="Normal"/>
    <w:next w:val="Normal"/>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uiPriority w:val="39"/>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C217F"/>
    <w:rPr>
      <w:sz w:val="16"/>
      <w:szCs w:val="16"/>
    </w:rPr>
  </w:style>
  <w:style w:type="paragraph" w:styleId="CommentText">
    <w:name w:val="annotation text"/>
    <w:basedOn w:val="Normal"/>
    <w:link w:val="CommentTextChar"/>
    <w:uiPriority w:val="99"/>
    <w:unhideWhenUsed/>
    <w:qFormat/>
    <w:rsid w:val="009C217F"/>
  </w:style>
  <w:style w:type="character" w:customStyle="1" w:styleId="CommentTextChar">
    <w:name w:val="Comment Text Char"/>
    <w:basedOn w:val="DefaultParagraphFont"/>
    <w:link w:val="CommentText"/>
    <w:uiPriority w:val="99"/>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C217F"/>
    <w:rPr>
      <w:b/>
      <w:bCs/>
    </w:rPr>
  </w:style>
  <w:style w:type="character" w:customStyle="1" w:styleId="CommentSubjectChar">
    <w:name w:val="Comment Subject Char"/>
    <w:basedOn w:val="CommentTextChar"/>
    <w:link w:val="CommentSubject"/>
    <w:uiPriority w:val="99"/>
    <w:semiHidden/>
    <w:rsid w:val="009C217F"/>
    <w:rPr>
      <w:rFonts w:ascii="Times New Roman" w:eastAsia="Times New Roman" w:hAnsi="Times New Roman" w:cs="Times New Roman"/>
      <w:b/>
      <w:bCs/>
      <w:sz w:val="20"/>
      <w:szCs w:val="20"/>
      <w:lang w:val="en-GB"/>
    </w:rPr>
  </w:style>
  <w:style w:type="paragraph" w:customStyle="1" w:styleId="TF">
    <w:name w:val="TF"/>
    <w:basedOn w:val="Normal"/>
    <w:link w:val="TFChar"/>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rsid w:val="00465688"/>
    <w:rPr>
      <w:rFonts w:ascii="Arial" w:hAnsi="Arial"/>
      <w:b/>
      <w:sz w:val="20"/>
      <w:lang w:val="x-none" w:eastAsia="x-none"/>
    </w:rPr>
  </w:style>
  <w:style w:type="paragraph" w:styleId="NormalWeb">
    <w:name w:val="Normal (Web)"/>
    <w:basedOn w:val="Normal"/>
    <w:uiPriority w:val="99"/>
    <w:semiHidden/>
    <w:unhideWhenUsed/>
    <w:rsid w:val="00FE31AF"/>
    <w:pPr>
      <w:spacing w:before="100" w:beforeAutospacing="1" w:after="100" w:afterAutospacing="1"/>
    </w:pPr>
    <w:rPr>
      <w:sz w:val="24"/>
      <w:szCs w:val="24"/>
      <w:lang w:val="en-US"/>
    </w:rPr>
  </w:style>
  <w:style w:type="paragraph" w:styleId="ListParagraph">
    <w:name w:val="List Paragraph"/>
    <w:basedOn w:val="Normal"/>
    <w:uiPriority w:val="34"/>
    <w:qFormat/>
    <w:rsid w:val="00FE31AF"/>
    <w:pPr>
      <w:ind w:left="720"/>
      <w:contextualSpacing/>
    </w:pPr>
  </w:style>
  <w:style w:type="paragraph" w:styleId="Footer">
    <w:name w:val="footer"/>
    <w:basedOn w:val="Normal"/>
    <w:link w:val="FooterChar"/>
    <w:uiPriority w:val="99"/>
    <w:unhideWhenUsed/>
    <w:rsid w:val="00F932B6"/>
    <w:pPr>
      <w:tabs>
        <w:tab w:val="center" w:pos="4680"/>
        <w:tab w:val="right" w:pos="9360"/>
      </w:tabs>
      <w:spacing w:after="0"/>
    </w:pPr>
  </w:style>
  <w:style w:type="character" w:customStyle="1" w:styleId="FooterChar">
    <w:name w:val="Footer Char"/>
    <w:basedOn w:val="DefaultParagraphFont"/>
    <w:link w:val="Footer"/>
    <w:uiPriority w:val="99"/>
    <w:rsid w:val="00F932B6"/>
    <w:rPr>
      <w:rFonts w:ascii="Times New Roman" w:eastAsia="Times New Roman" w:hAnsi="Times New Roman" w:cs="Times New Roman"/>
      <w:sz w:val="20"/>
      <w:szCs w:val="20"/>
      <w:lang w:val="en-GB"/>
    </w:rPr>
  </w:style>
  <w:style w:type="paragraph" w:styleId="Revision">
    <w:name w:val="Revision"/>
    <w:hidden/>
    <w:uiPriority w:val="99"/>
    <w:semiHidden/>
    <w:rsid w:val="00067A79"/>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9911312">
      <w:bodyDiv w:val="1"/>
      <w:marLeft w:val="0"/>
      <w:marRight w:val="0"/>
      <w:marTop w:val="0"/>
      <w:marBottom w:val="0"/>
      <w:divBdr>
        <w:top w:val="none" w:sz="0" w:space="0" w:color="auto"/>
        <w:left w:val="none" w:sz="0" w:space="0" w:color="auto"/>
        <w:bottom w:val="none" w:sz="0" w:space="0" w:color="auto"/>
        <w:right w:val="none" w:sz="0" w:space="0" w:color="auto"/>
      </w:divBdr>
      <w:divsChild>
        <w:div w:id="622007659">
          <w:marLeft w:val="1080"/>
          <w:marRight w:val="0"/>
          <w:marTop w:val="100"/>
          <w:marBottom w:val="0"/>
          <w:divBdr>
            <w:top w:val="none" w:sz="0" w:space="0" w:color="auto"/>
            <w:left w:val="none" w:sz="0" w:space="0" w:color="auto"/>
            <w:bottom w:val="none" w:sz="0" w:space="0" w:color="auto"/>
            <w:right w:val="none" w:sz="0" w:space="0" w:color="auto"/>
          </w:divBdr>
        </w:div>
      </w:divsChild>
    </w:div>
    <w:div w:id="1061246741">
      <w:bodyDiv w:val="1"/>
      <w:marLeft w:val="0"/>
      <w:marRight w:val="0"/>
      <w:marTop w:val="0"/>
      <w:marBottom w:val="0"/>
      <w:divBdr>
        <w:top w:val="none" w:sz="0" w:space="0" w:color="auto"/>
        <w:left w:val="none" w:sz="0" w:space="0" w:color="auto"/>
        <w:bottom w:val="none" w:sz="0" w:space="0" w:color="auto"/>
        <w:right w:val="none" w:sz="0" w:space="0" w:color="auto"/>
      </w:divBdr>
      <w:divsChild>
        <w:div w:id="1854951343">
          <w:marLeft w:val="360"/>
          <w:marRight w:val="0"/>
          <w:marTop w:val="200"/>
          <w:marBottom w:val="0"/>
          <w:divBdr>
            <w:top w:val="none" w:sz="0" w:space="0" w:color="auto"/>
            <w:left w:val="none" w:sz="0" w:space="0" w:color="auto"/>
            <w:bottom w:val="none" w:sz="0" w:space="0" w:color="auto"/>
            <w:right w:val="none" w:sz="0" w:space="0" w:color="auto"/>
          </w:divBdr>
        </w:div>
        <w:div w:id="313803264">
          <w:marLeft w:val="1080"/>
          <w:marRight w:val="0"/>
          <w:marTop w:val="100"/>
          <w:marBottom w:val="0"/>
          <w:divBdr>
            <w:top w:val="none" w:sz="0" w:space="0" w:color="auto"/>
            <w:left w:val="none" w:sz="0" w:space="0" w:color="auto"/>
            <w:bottom w:val="none" w:sz="0" w:space="0" w:color="auto"/>
            <w:right w:val="none" w:sz="0" w:space="0" w:color="auto"/>
          </w:divBdr>
        </w:div>
        <w:div w:id="1999530316">
          <w:marLeft w:val="1080"/>
          <w:marRight w:val="0"/>
          <w:marTop w:val="100"/>
          <w:marBottom w:val="0"/>
          <w:divBdr>
            <w:top w:val="none" w:sz="0" w:space="0" w:color="auto"/>
            <w:left w:val="none" w:sz="0" w:space="0" w:color="auto"/>
            <w:bottom w:val="none" w:sz="0" w:space="0" w:color="auto"/>
            <w:right w:val="none" w:sz="0" w:space="0" w:color="auto"/>
          </w:divBdr>
        </w:div>
      </w:divsChild>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1831208748">
      <w:bodyDiv w:val="1"/>
      <w:marLeft w:val="0"/>
      <w:marRight w:val="0"/>
      <w:marTop w:val="0"/>
      <w:marBottom w:val="0"/>
      <w:divBdr>
        <w:top w:val="none" w:sz="0" w:space="0" w:color="auto"/>
        <w:left w:val="none" w:sz="0" w:space="0" w:color="auto"/>
        <w:bottom w:val="none" w:sz="0" w:space="0" w:color="auto"/>
        <w:right w:val="none" w:sz="0" w:space="0" w:color="auto"/>
      </w:divBdr>
      <w:divsChild>
        <w:div w:id="1162887335">
          <w:marLeft w:val="360"/>
          <w:marRight w:val="0"/>
          <w:marTop w:val="200"/>
          <w:marBottom w:val="0"/>
          <w:divBdr>
            <w:top w:val="none" w:sz="0" w:space="0" w:color="auto"/>
            <w:left w:val="none" w:sz="0" w:space="0" w:color="auto"/>
            <w:bottom w:val="none" w:sz="0" w:space="0" w:color="auto"/>
            <w:right w:val="none" w:sz="0" w:space="0" w:color="auto"/>
          </w:divBdr>
        </w:div>
        <w:div w:id="739327057">
          <w:marLeft w:val="1080"/>
          <w:marRight w:val="0"/>
          <w:marTop w:val="100"/>
          <w:marBottom w:val="0"/>
          <w:divBdr>
            <w:top w:val="none" w:sz="0" w:space="0" w:color="auto"/>
            <w:left w:val="none" w:sz="0" w:space="0" w:color="auto"/>
            <w:bottom w:val="none" w:sz="0" w:space="0" w:color="auto"/>
            <w:right w:val="none" w:sz="0" w:space="0" w:color="auto"/>
          </w:divBdr>
        </w:div>
        <w:div w:id="293104307">
          <w:marLeft w:val="1080"/>
          <w:marRight w:val="0"/>
          <w:marTop w:val="100"/>
          <w:marBottom w:val="0"/>
          <w:divBdr>
            <w:top w:val="none" w:sz="0" w:space="0" w:color="auto"/>
            <w:left w:val="none" w:sz="0" w:space="0" w:color="auto"/>
            <w:bottom w:val="none" w:sz="0" w:space="0" w:color="auto"/>
            <w:right w:val="none" w:sz="0" w:space="0" w:color="auto"/>
          </w:divBdr>
        </w:div>
      </w:divsChild>
    </w:div>
    <w:div w:id="2128355439">
      <w:bodyDiv w:val="1"/>
      <w:marLeft w:val="0"/>
      <w:marRight w:val="0"/>
      <w:marTop w:val="0"/>
      <w:marBottom w:val="0"/>
      <w:divBdr>
        <w:top w:val="none" w:sz="0" w:space="0" w:color="auto"/>
        <w:left w:val="none" w:sz="0" w:space="0" w:color="auto"/>
        <w:bottom w:val="none" w:sz="0" w:space="0" w:color="auto"/>
        <w:right w:val="none" w:sz="0" w:space="0" w:color="auto"/>
      </w:divBdr>
      <w:divsChild>
        <w:div w:id="504591007">
          <w:marLeft w:val="360"/>
          <w:marRight w:val="0"/>
          <w:marTop w:val="200"/>
          <w:marBottom w:val="0"/>
          <w:divBdr>
            <w:top w:val="none" w:sz="0" w:space="0" w:color="auto"/>
            <w:left w:val="none" w:sz="0" w:space="0" w:color="auto"/>
            <w:bottom w:val="none" w:sz="0" w:space="0" w:color="auto"/>
            <w:right w:val="none" w:sz="0" w:space="0" w:color="auto"/>
          </w:divBdr>
        </w:div>
        <w:div w:id="1511262362">
          <w:marLeft w:val="1080"/>
          <w:marRight w:val="0"/>
          <w:marTop w:val="100"/>
          <w:marBottom w:val="0"/>
          <w:divBdr>
            <w:top w:val="none" w:sz="0" w:space="0" w:color="auto"/>
            <w:left w:val="none" w:sz="0" w:space="0" w:color="auto"/>
            <w:bottom w:val="none" w:sz="0" w:space="0" w:color="auto"/>
            <w:right w:val="none" w:sz="0" w:space="0" w:color="auto"/>
          </w:divBdr>
        </w:div>
        <w:div w:id="1142582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89D9B2-786D-41D6-91E8-915237432EF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B304790-F0DA-4EDE-8DB2-695AB7E65F66}">
  <ds:schemaRefs>
    <ds:schemaRef ds:uri="http://schemas.openxmlformats.org/officeDocument/2006/bibliography"/>
  </ds:schemaRefs>
</ds:datastoreItem>
</file>

<file path=customXml/itemProps3.xml><?xml version="1.0" encoding="utf-8"?>
<ds:datastoreItem xmlns:ds="http://schemas.openxmlformats.org/officeDocument/2006/customXml" ds:itemID="{1FF934FF-4ECE-426B-80D2-EBFA13C23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870BD1-80CD-4909-A5A3-40C0DDDC6E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538</Words>
  <Characters>3068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Esther Sienkiewicz</cp:lastModifiedBy>
  <cp:revision>2</cp:revision>
  <dcterms:created xsi:type="dcterms:W3CDTF">2021-05-11T14:22:00Z</dcterms:created>
  <dcterms:modified xsi:type="dcterms:W3CDTF">2021-05-11T14:22:00Z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