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DE4" w:rsidRPr="00CD5A36" w:rsidRDefault="00EF2DE4" w:rsidP="00EF2DE4">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DC6113" w:rsidRPr="00DC6113">
        <w:rPr>
          <w:rFonts w:cs="Arial"/>
          <w:sz w:val="24"/>
          <w:szCs w:val="24"/>
        </w:rPr>
        <w:t>R4-2110309</w:t>
      </w:r>
      <w:bookmarkStart w:id="2" w:name="_GoBack"/>
      <w:bookmarkEnd w:id="2"/>
    </w:p>
    <w:p w:rsidR="00EF2DE4" w:rsidRPr="00CD5A36" w:rsidRDefault="00EF2DE4" w:rsidP="00EF2DE4">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538DC">
        <w:rPr>
          <w:rFonts w:ascii="Arial" w:hAnsi="Arial"/>
          <w:sz w:val="24"/>
          <w:lang w:val="en-US"/>
        </w:rPr>
        <w:t>6.1.5.9</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D77F9" w:rsidRPr="000D77F9">
        <w:rPr>
          <w:rFonts w:ascii="Arial" w:hAnsi="Arial"/>
          <w:sz w:val="24"/>
          <w:lang w:val="en-US"/>
        </w:rPr>
        <w:t>Discussion on reference cell definition of timing requirements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538DC" w:rsidRDefault="00D538DC" w:rsidP="00DF0231">
      <w:pPr>
        <w:rPr>
          <w:rFonts w:eastAsiaTheme="minorEastAsia"/>
          <w:lang w:val="en-US" w:eastAsia="zh-CN"/>
        </w:rPr>
      </w:pPr>
      <w:r>
        <w:rPr>
          <w:rFonts w:eastAsiaTheme="minorEastAsia"/>
          <w:lang w:val="en-US" w:eastAsia="zh-CN"/>
        </w:rPr>
        <w:t xml:space="preserve">The reference cell definition of timing requirements for NR-U was discussed for several meetings with respect to DRX and measurement </w:t>
      </w:r>
      <w:proofErr w:type="spellStart"/>
      <w:r>
        <w:rPr>
          <w:rFonts w:eastAsiaTheme="minorEastAsia"/>
          <w:lang w:val="en-US" w:eastAsia="zh-CN"/>
        </w:rPr>
        <w:t>gaps.</w:t>
      </w:r>
      <w:r w:rsidR="00267BAF">
        <w:rPr>
          <w:rFonts w:eastAsiaTheme="minorEastAsia"/>
          <w:lang w:val="en-US" w:eastAsia="zh-CN"/>
        </w:rPr>
        <w:t>The</w:t>
      </w:r>
      <w:proofErr w:type="spellEnd"/>
      <w:r w:rsidR="00267BAF">
        <w:rPr>
          <w:rFonts w:eastAsiaTheme="minorEastAsia"/>
          <w:lang w:val="en-US" w:eastAsia="zh-CN"/>
        </w:rPr>
        <w:t xml:space="preserve"> latest status are captured in the WF [1]. We further provide our views in this paper on the remaining issues.</w:t>
      </w:r>
    </w:p>
    <w:p w:rsidR="00DF0231" w:rsidRDefault="00DF0231" w:rsidP="00DF0231">
      <w:pPr>
        <w:pStyle w:val="1"/>
        <w:numPr>
          <w:ilvl w:val="0"/>
          <w:numId w:val="1"/>
        </w:numPr>
        <w:rPr>
          <w:lang w:val="en-US"/>
        </w:rPr>
      </w:pPr>
      <w:r w:rsidRPr="002D2977">
        <w:rPr>
          <w:lang w:val="en-US"/>
        </w:rPr>
        <w:t>Discussion</w:t>
      </w:r>
    </w:p>
    <w:p w:rsidR="00267BAF" w:rsidRPr="00267BAF" w:rsidRDefault="00267BAF" w:rsidP="00CF7481">
      <w:pPr>
        <w:rPr>
          <w:lang w:eastAsia="zh-CN"/>
        </w:rPr>
      </w:pPr>
      <w:r w:rsidRPr="00267BAF">
        <w:rPr>
          <w:lang w:eastAsia="zh-CN"/>
        </w:rPr>
        <w:t>The agreements and open issues in the last meeting are summarized as follows:</w:t>
      </w:r>
    </w:p>
    <w:tbl>
      <w:tblPr>
        <w:tblStyle w:val="a7"/>
        <w:tblW w:w="0" w:type="auto"/>
        <w:tblLook w:val="04A0" w:firstRow="1" w:lastRow="0" w:firstColumn="1" w:lastColumn="0" w:noHBand="0" w:noVBand="1"/>
      </w:tblPr>
      <w:tblGrid>
        <w:gridCol w:w="9562"/>
      </w:tblGrid>
      <w:tr w:rsidR="00267BAF" w:rsidTr="00267BAF">
        <w:tc>
          <w:tcPr>
            <w:tcW w:w="9562" w:type="dxa"/>
          </w:tcPr>
          <w:p w:rsidR="00D538DC" w:rsidRDefault="00D538DC" w:rsidP="00D538DC">
            <w:pPr>
              <w:overflowPunct w:val="0"/>
              <w:spacing w:after="0"/>
              <w:rPr>
                <w:rFonts w:ascii="Calibri Light" w:eastAsia="+mj-ea" w:hAnsi="Calibri Light" w:cs="+mj-cs"/>
                <w:b/>
                <w:color w:val="000000"/>
                <w:kern w:val="24"/>
                <w:sz w:val="28"/>
                <w:szCs w:val="28"/>
              </w:rPr>
            </w:pPr>
            <w:r w:rsidRPr="00D538DC">
              <w:rPr>
                <w:rFonts w:ascii="Calibri Light" w:eastAsia="+mj-ea" w:hAnsi="Calibri Light" w:cs="+mj-cs"/>
                <w:b/>
                <w:color w:val="000000"/>
                <w:kern w:val="24"/>
                <w:sz w:val="28"/>
                <w:szCs w:val="28"/>
              </w:rPr>
              <w:t xml:space="preserve">Timing: Definition of the reference cell which is not available, with respect to </w:t>
            </w:r>
            <w:r>
              <w:rPr>
                <w:rFonts w:ascii="Calibri Light" w:eastAsia="+mj-ea" w:hAnsi="Calibri Light" w:cs="+mj-cs"/>
                <w:b/>
                <w:color w:val="000000"/>
                <w:kern w:val="24"/>
                <w:sz w:val="28"/>
                <w:szCs w:val="28"/>
              </w:rPr>
              <w:t>DRX</w:t>
            </w:r>
          </w:p>
          <w:p w:rsidR="00D538DC" w:rsidRPr="00D538DC" w:rsidRDefault="00D538DC" w:rsidP="00D538DC">
            <w:pPr>
              <w:spacing w:after="0"/>
              <w:rPr>
                <w:rFonts w:ascii="Calibri" w:eastAsia="+mn-ea" w:hAnsi="Calibri" w:cs="+mn-cs"/>
                <w:color w:val="000000"/>
                <w:kern w:val="24"/>
                <w:sz w:val="22"/>
                <w:szCs w:val="22"/>
                <w:lang w:eastAsia="zh-CN"/>
              </w:rPr>
            </w:pPr>
          </w:p>
          <w:p w:rsidR="00D538DC" w:rsidRPr="00D538DC" w:rsidRDefault="00D538DC" w:rsidP="00D538DC">
            <w:pPr>
              <w:spacing w:after="0"/>
              <w:rPr>
                <w:rFonts w:eastAsia="Times New Roman"/>
                <w:sz w:val="22"/>
                <w:szCs w:val="22"/>
                <w:lang w:val="en-US" w:eastAsia="zh-CN"/>
              </w:rPr>
            </w:pPr>
            <w:r w:rsidRPr="00D538DC">
              <w:rPr>
                <w:rFonts w:ascii="Calibri" w:eastAsia="+mn-ea" w:hAnsi="Calibri" w:cs="+mn-cs"/>
                <w:color w:val="000000"/>
                <w:kern w:val="24"/>
                <w:sz w:val="22"/>
                <w:szCs w:val="22"/>
                <w:lang w:val="en-US" w:eastAsia="zh-CN"/>
              </w:rPr>
              <w:t xml:space="preserve">Proposal 1 (Ericsson, </w:t>
            </w:r>
            <w:r w:rsidRPr="00D538DC">
              <w:rPr>
                <w:rFonts w:ascii="Calibri" w:eastAsia="宋体" w:hAnsi="Calibri" w:cs="+mn-cs"/>
                <w:color w:val="000000"/>
                <w:kern w:val="24"/>
                <w:sz w:val="22"/>
                <w:szCs w:val="22"/>
                <w:lang w:val="sv-SE" w:eastAsia="zh-CN"/>
              </w:rPr>
              <w:t>Qualcomm Incorporated, Huawei, HiSilicon</w:t>
            </w:r>
            <w:r w:rsidRPr="00D538DC">
              <w:rPr>
                <w:rFonts w:ascii="Calibri" w:eastAsia="+mn-ea" w:hAnsi="Calibri" w:cs="+mn-cs"/>
                <w:color w:val="000000"/>
                <w:kern w:val="24"/>
                <w:sz w:val="22"/>
                <w:szCs w:val="22"/>
                <w:lang w:val="en-US" w:eastAsia="zh-CN"/>
              </w:rPr>
              <w:t>): SSB does not have to be within ON duration in a reference cell subject to DL CCA in order to meet UE timing requirements</w:t>
            </w:r>
          </w:p>
          <w:p w:rsidR="00D538DC" w:rsidRPr="00D538DC" w:rsidRDefault="00D538DC" w:rsidP="00D538DC">
            <w:pPr>
              <w:spacing w:after="0"/>
              <w:ind w:left="720"/>
              <w:rPr>
                <w:rFonts w:eastAsia="Times New Roman"/>
                <w:sz w:val="22"/>
                <w:szCs w:val="22"/>
                <w:lang w:val="en-US" w:eastAsia="zh-CN"/>
              </w:rPr>
            </w:pPr>
            <w:r w:rsidRPr="00D538DC">
              <w:rPr>
                <w:rFonts w:ascii="Calibri" w:eastAsia="+mn-ea" w:hAnsi="Calibri" w:cs="+mn-cs"/>
                <w:color w:val="000000"/>
                <w:kern w:val="24"/>
                <w:sz w:val="22"/>
                <w:szCs w:val="22"/>
                <w:lang w:val="en-US" w:eastAsia="zh-CN"/>
              </w:rPr>
              <w:t>No clarification related to DRX is needed on the current definition of unavailability of a reference cell on a carrier frequency subject to CCA in section 7.1.1.</w:t>
            </w:r>
          </w:p>
          <w:p w:rsidR="00D538DC" w:rsidRPr="00D538DC" w:rsidRDefault="00D538DC" w:rsidP="00D538DC">
            <w:pPr>
              <w:overflowPunct w:val="0"/>
              <w:spacing w:after="0"/>
              <w:rPr>
                <w:rFonts w:eastAsia="Times New Roman"/>
                <w:sz w:val="22"/>
                <w:szCs w:val="22"/>
                <w:lang w:val="en-US" w:eastAsia="zh-CN"/>
              </w:rPr>
            </w:pPr>
            <w:r w:rsidRPr="00D538DC">
              <w:rPr>
                <w:rFonts w:ascii="Calibri" w:eastAsia="+mn-ea" w:hAnsi="Calibri" w:cs="+mn-cs"/>
                <w:color w:val="000000"/>
                <w:kern w:val="24"/>
                <w:sz w:val="22"/>
                <w:szCs w:val="22"/>
                <w:lang w:val="en-US" w:eastAsia="zh-CN"/>
              </w:rPr>
              <w:t xml:space="preserve">Proposal 2: </w:t>
            </w:r>
            <w:r w:rsidRPr="00D538DC">
              <w:rPr>
                <w:rFonts w:ascii="Calibri" w:eastAsia="+mn-ea" w:hAnsi="Calibri" w:cs="+mn-cs"/>
                <w:color w:val="000000"/>
                <w:kern w:val="24"/>
                <w:sz w:val="22"/>
                <w:szCs w:val="22"/>
                <w:lang w:eastAsia="zh-CN"/>
              </w:rPr>
              <w:t>(</w:t>
            </w:r>
            <w:r w:rsidRPr="00D538DC">
              <w:rPr>
                <w:rFonts w:ascii="Calibri" w:eastAsia="+mn-ea" w:hAnsi="Calibri" w:cs="+mn-cs"/>
                <w:color w:val="000000"/>
                <w:kern w:val="24"/>
                <w:sz w:val="22"/>
                <w:szCs w:val="22"/>
                <w:lang w:val="en-US" w:eastAsia="zh-CN"/>
              </w:rPr>
              <w:t xml:space="preserve">Qualcomm, </w:t>
            </w:r>
            <w:r w:rsidRPr="00D538DC">
              <w:rPr>
                <w:rFonts w:ascii="Calibri" w:eastAsia="+mn-ea" w:hAnsi="Calibri" w:cs="+mn-cs"/>
                <w:color w:val="000000"/>
                <w:kern w:val="24"/>
                <w:sz w:val="22"/>
                <w:szCs w:val="22"/>
                <w:lang w:eastAsia="zh-CN"/>
              </w:rPr>
              <w:t xml:space="preserve">Apple, MTK): </w:t>
            </w:r>
          </w:p>
          <w:p w:rsidR="00D538DC" w:rsidRPr="00D538DC" w:rsidRDefault="00D538DC" w:rsidP="00D538DC">
            <w:pPr>
              <w:overflowPunct w:val="0"/>
              <w:spacing w:after="0"/>
              <w:ind w:left="720"/>
              <w:textAlignment w:val="baseline"/>
              <w:rPr>
                <w:rFonts w:eastAsia="Times New Roman"/>
                <w:sz w:val="22"/>
                <w:szCs w:val="22"/>
                <w:lang w:val="en-US" w:eastAsia="zh-CN"/>
              </w:rPr>
            </w:pPr>
            <w:r w:rsidRPr="00D538DC">
              <w:rPr>
                <w:rFonts w:ascii="Calibri" w:eastAsia="+mn-ea" w:hAnsi="Calibri" w:cs="+mn-cs"/>
                <w:color w:val="000000"/>
                <w:kern w:val="24"/>
                <w:sz w:val="22"/>
                <w:szCs w:val="22"/>
                <w:lang w:val="en-US" w:eastAsia="zh-CN"/>
              </w:rPr>
              <w:t xml:space="preserve">In the requirements of clause 7.1.2, the term reference cell on a carrier frequency subject to CCA is not available at the UE refers to when at least one SSB is configured by </w:t>
            </w:r>
            <w:proofErr w:type="spellStart"/>
            <w:r w:rsidRPr="00D538DC">
              <w:rPr>
                <w:rFonts w:ascii="Calibri" w:eastAsia="+mn-ea" w:hAnsi="Calibri" w:cs="+mn-cs"/>
                <w:color w:val="000000"/>
                <w:kern w:val="24"/>
                <w:sz w:val="22"/>
                <w:szCs w:val="22"/>
                <w:lang w:val="en-US" w:eastAsia="zh-CN"/>
              </w:rPr>
              <w:t>gNB</w:t>
            </w:r>
            <w:proofErr w:type="spellEnd"/>
            <w:r w:rsidRPr="00D538DC">
              <w:rPr>
                <w:rFonts w:ascii="Calibri" w:eastAsia="+mn-ea" w:hAnsi="Calibri" w:cs="+mn-cs"/>
                <w:color w:val="000000"/>
                <w:kern w:val="24"/>
                <w:sz w:val="22"/>
                <w:szCs w:val="22"/>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sidRPr="00D538DC">
              <w:rPr>
                <w:rFonts w:ascii="Calibri" w:eastAsia="+mn-ea" w:hAnsi="Calibri" w:cs="+mn-cs"/>
                <w:color w:val="000000"/>
                <w:kern w:val="24"/>
                <w:sz w:val="22"/>
                <w:szCs w:val="22"/>
                <w:lang w:val="en-US" w:eastAsia="zh-CN"/>
              </w:rPr>
              <w:t>gNB</w:t>
            </w:r>
            <w:proofErr w:type="spellEnd"/>
            <w:r w:rsidRPr="00D538DC">
              <w:rPr>
                <w:rFonts w:ascii="Calibri" w:eastAsia="+mn-ea" w:hAnsi="Calibri" w:cs="+mn-cs"/>
                <w:color w:val="000000"/>
                <w:kern w:val="24"/>
                <w:sz w:val="22"/>
                <w:szCs w:val="22"/>
                <w:lang w:val="en-US" w:eastAsia="zh-CN"/>
              </w:rPr>
              <w:t xml:space="preserve"> during the last X </w:t>
            </w:r>
            <w:proofErr w:type="spellStart"/>
            <w:r w:rsidRPr="00D538DC">
              <w:rPr>
                <w:rFonts w:ascii="Calibri" w:eastAsia="+mn-ea" w:hAnsi="Calibri" w:cs="+mn-cs"/>
                <w:color w:val="000000"/>
                <w:kern w:val="24"/>
                <w:sz w:val="22"/>
                <w:szCs w:val="22"/>
                <w:lang w:val="en-US" w:eastAsia="zh-CN"/>
              </w:rPr>
              <w:t>ms</w:t>
            </w:r>
            <w:proofErr w:type="spellEnd"/>
            <w:r w:rsidRPr="00D538DC">
              <w:rPr>
                <w:rFonts w:ascii="Calibri" w:eastAsia="+mn-ea" w:hAnsi="Calibri" w:cs="+mn-cs"/>
                <w:b/>
                <w:bCs/>
                <w:color w:val="000000"/>
                <w:kern w:val="24"/>
                <w:sz w:val="22"/>
                <w:szCs w:val="22"/>
                <w:u w:val="single"/>
                <w:lang w:val="en-US" w:eastAsia="zh-CN"/>
              </w:rPr>
              <w:t xml:space="preserve">; </w:t>
            </w:r>
            <w:r w:rsidRPr="00D538DC">
              <w:rPr>
                <w:rFonts w:ascii="Calibri" w:eastAsia="+mn-ea" w:hAnsi="Calibri" w:cs="+mn-cs"/>
                <w:color w:val="000000"/>
                <w:kern w:val="24"/>
                <w:sz w:val="22"/>
                <w:szCs w:val="22"/>
                <w:lang w:val="en-US" w:eastAsia="zh-CN"/>
              </w:rPr>
              <w:t>otherwise the reference cell on the carrier frequency subject to CCA is considered as available at the UE.</w:t>
            </w:r>
          </w:p>
          <w:p w:rsidR="00D538DC" w:rsidRDefault="00D538DC" w:rsidP="00D538DC">
            <w:pPr>
              <w:overflowPunct w:val="0"/>
              <w:spacing w:after="0"/>
              <w:ind w:left="2160"/>
              <w:rPr>
                <w:rFonts w:ascii="Calibri" w:eastAsia="+mn-ea" w:hAnsi="Calibri" w:cs="+mn-cs"/>
                <w:color w:val="000000"/>
                <w:kern w:val="24"/>
                <w:sz w:val="22"/>
                <w:szCs w:val="22"/>
                <w:lang w:val="en-US" w:eastAsia="zh-CN"/>
              </w:rPr>
            </w:pPr>
            <w:r w:rsidRPr="00D538DC">
              <w:rPr>
                <w:rFonts w:ascii="Calibri" w:eastAsia="+mn-ea" w:hAnsi="Calibri" w:cs="+mn-cs"/>
                <w:color w:val="000000"/>
                <w:kern w:val="24"/>
                <w:sz w:val="22"/>
                <w:szCs w:val="22"/>
                <w:lang w:val="en-US" w:eastAsia="zh-CN"/>
              </w:rPr>
              <w:t>X is FFS, X&gt;160ms.</w:t>
            </w:r>
          </w:p>
          <w:p w:rsidR="00D538DC" w:rsidRDefault="00D538DC" w:rsidP="00D538DC">
            <w:pPr>
              <w:overflowPunct w:val="0"/>
              <w:spacing w:after="0"/>
              <w:ind w:left="2160"/>
              <w:rPr>
                <w:rFonts w:ascii="Calibri" w:eastAsia="+mn-ea" w:hAnsi="Calibri" w:cs="+mn-cs"/>
                <w:color w:val="000000"/>
                <w:kern w:val="24"/>
                <w:sz w:val="22"/>
                <w:szCs w:val="22"/>
                <w:lang w:val="en-US" w:eastAsia="zh-CN"/>
              </w:rPr>
            </w:pPr>
          </w:p>
          <w:p w:rsidR="00D538DC" w:rsidRDefault="00D538DC" w:rsidP="00D538DC">
            <w:pPr>
              <w:overflowPunct w:val="0"/>
              <w:spacing w:after="0"/>
              <w:rPr>
                <w:rFonts w:ascii="Calibri Light" w:eastAsia="+mj-ea" w:hAnsi="Calibri Light" w:cs="+mj-cs"/>
                <w:b/>
                <w:color w:val="000000"/>
                <w:kern w:val="24"/>
                <w:sz w:val="28"/>
                <w:szCs w:val="28"/>
              </w:rPr>
            </w:pPr>
            <w:r w:rsidRPr="00D538DC">
              <w:rPr>
                <w:rFonts w:ascii="Calibri Light" w:eastAsia="+mj-ea" w:hAnsi="Calibri Light" w:cs="+mj-cs"/>
                <w:b/>
                <w:color w:val="000000"/>
                <w:kern w:val="24"/>
                <w:sz w:val="28"/>
                <w:szCs w:val="28"/>
              </w:rPr>
              <w:t>Timing: Definition of the reference cell which is not available, with respect to MGs</w:t>
            </w:r>
          </w:p>
          <w:p w:rsidR="00D538DC" w:rsidRPr="00D538DC" w:rsidRDefault="00D538DC" w:rsidP="00D538DC">
            <w:pPr>
              <w:overflowPunct w:val="0"/>
              <w:spacing w:after="0"/>
              <w:rPr>
                <w:rFonts w:eastAsia="Times New Roman"/>
                <w:b/>
                <w:sz w:val="28"/>
                <w:szCs w:val="28"/>
                <w:lang w:val="en-US" w:eastAsia="zh-CN"/>
              </w:rPr>
            </w:pPr>
          </w:p>
          <w:p w:rsidR="00D538DC" w:rsidRPr="00D538DC" w:rsidRDefault="00D538DC" w:rsidP="00D538DC">
            <w:pPr>
              <w:spacing w:after="0" w:line="216" w:lineRule="auto"/>
              <w:contextualSpacing/>
              <w:rPr>
                <w:rFonts w:eastAsia="Times New Roman"/>
                <w:sz w:val="22"/>
                <w:szCs w:val="22"/>
                <w:lang w:val="en-US" w:eastAsia="zh-CN"/>
              </w:rPr>
            </w:pPr>
            <w:r w:rsidRPr="00D538DC">
              <w:rPr>
                <w:rFonts w:ascii="Calibri" w:eastAsia="+mn-ea" w:hAnsi="Calibri" w:cs="+mn-cs"/>
                <w:color w:val="000000"/>
                <w:kern w:val="24"/>
                <w:sz w:val="22"/>
                <w:szCs w:val="22"/>
                <w:lang w:val="en-US" w:eastAsia="zh-CN"/>
              </w:rPr>
              <w:t>Proposal 1 (Ericsson, Qualcomm): SSB in a reference cell subject to DL CCA does not have to be outside the gaps in order to meet UE timing requirements</w:t>
            </w:r>
          </w:p>
          <w:p w:rsidR="00D538DC" w:rsidRPr="00D538DC" w:rsidRDefault="00D538DC" w:rsidP="00D538DC">
            <w:pPr>
              <w:spacing w:after="0" w:line="216" w:lineRule="auto"/>
              <w:ind w:left="1440"/>
              <w:contextualSpacing/>
              <w:rPr>
                <w:rFonts w:eastAsia="Times New Roman"/>
                <w:sz w:val="22"/>
                <w:szCs w:val="22"/>
                <w:lang w:val="en-US" w:eastAsia="zh-CN"/>
              </w:rPr>
            </w:pPr>
            <w:r w:rsidRPr="00D538DC">
              <w:rPr>
                <w:rFonts w:ascii="Calibri" w:eastAsia="+mn-ea" w:hAnsi="Calibri" w:cs="+mn-cs"/>
                <w:color w:val="000000"/>
                <w:kern w:val="24"/>
                <w:sz w:val="22"/>
                <w:szCs w:val="22"/>
                <w:lang w:val="en-US" w:eastAsia="zh-CN"/>
              </w:rPr>
              <w:t>No clarification related to gap is needed on the current definition of unavailability of a reference cell on a carrier frequency subject to CCA in section 7.1.1.</w:t>
            </w:r>
          </w:p>
          <w:p w:rsidR="00D538DC" w:rsidRPr="00D538DC" w:rsidRDefault="00D538DC" w:rsidP="00D538DC">
            <w:pPr>
              <w:spacing w:before="200" w:after="0" w:line="216" w:lineRule="auto"/>
              <w:rPr>
                <w:rFonts w:eastAsia="Times New Roman"/>
                <w:sz w:val="22"/>
                <w:szCs w:val="22"/>
                <w:lang w:val="en-US" w:eastAsia="zh-CN"/>
              </w:rPr>
            </w:pPr>
            <w:r w:rsidRPr="00D538DC">
              <w:rPr>
                <w:rFonts w:ascii="Calibri" w:eastAsia="+mn-ea" w:hAnsi="Calibri" w:cs="+mn-cs"/>
                <w:i/>
                <w:iCs/>
                <w:color w:val="000000"/>
                <w:kern w:val="24"/>
                <w:sz w:val="22"/>
                <w:szCs w:val="22"/>
                <w:lang w:val="en-US" w:eastAsia="zh-CN"/>
              </w:rPr>
              <w:t> </w:t>
            </w:r>
          </w:p>
          <w:p w:rsidR="00D538DC" w:rsidRPr="00D538DC" w:rsidRDefault="00D538DC" w:rsidP="00D538DC">
            <w:pPr>
              <w:spacing w:after="0" w:line="216" w:lineRule="auto"/>
              <w:contextualSpacing/>
              <w:rPr>
                <w:rFonts w:eastAsia="Times New Roman"/>
                <w:sz w:val="22"/>
                <w:szCs w:val="22"/>
                <w:lang w:val="en-US" w:eastAsia="zh-CN"/>
              </w:rPr>
            </w:pPr>
            <w:r w:rsidRPr="00D538DC">
              <w:rPr>
                <w:rFonts w:ascii="Calibri" w:eastAsia="+mn-ea" w:hAnsi="Calibri" w:cs="+mn-cs"/>
                <w:color w:val="000000"/>
                <w:kern w:val="24"/>
                <w:sz w:val="22"/>
                <w:szCs w:val="22"/>
                <w:lang w:val="en-US" w:eastAsia="zh-CN"/>
              </w:rPr>
              <w:t>Proposal 2 (Huawei, ZTE, MTK): The availability of reference cell shall base on the SSB within the DL active BWP which is not overlapping with measurement gaps.</w:t>
            </w:r>
          </w:p>
          <w:p w:rsidR="00D538DC" w:rsidRPr="00D538DC" w:rsidRDefault="00D538DC" w:rsidP="00D538DC">
            <w:pPr>
              <w:overflowPunct w:val="0"/>
              <w:spacing w:after="0" w:line="216" w:lineRule="auto"/>
              <w:contextualSpacing/>
              <w:rPr>
                <w:rFonts w:eastAsia="Times New Roman"/>
                <w:sz w:val="22"/>
                <w:szCs w:val="22"/>
                <w:lang w:val="en-US" w:eastAsia="zh-CN"/>
              </w:rPr>
            </w:pPr>
            <w:r w:rsidRPr="00D538DC">
              <w:rPr>
                <w:rFonts w:ascii="Calibri" w:eastAsia="+mn-ea" w:hAnsi="Calibri" w:cs="+mn-cs"/>
                <w:color w:val="000000"/>
                <w:kern w:val="24"/>
                <w:sz w:val="22"/>
                <w:szCs w:val="22"/>
                <w:lang w:val="en-US" w:eastAsia="zh-CN"/>
              </w:rPr>
              <w:t xml:space="preserve">Proposal 3: (Qualcomm, </w:t>
            </w:r>
            <w:r w:rsidRPr="00D538DC">
              <w:rPr>
                <w:rFonts w:ascii="Calibri" w:eastAsia="+mn-ea" w:hAnsi="Calibri" w:cs="+mn-cs"/>
                <w:color w:val="000000"/>
                <w:kern w:val="24"/>
                <w:sz w:val="22"/>
                <w:szCs w:val="22"/>
                <w:lang w:eastAsia="zh-CN"/>
              </w:rPr>
              <w:t xml:space="preserve">Apple, MTK): </w:t>
            </w:r>
          </w:p>
          <w:p w:rsidR="00D538DC" w:rsidRPr="00D538DC" w:rsidRDefault="00D538DC" w:rsidP="00D538DC">
            <w:pPr>
              <w:spacing w:after="0" w:line="216" w:lineRule="auto"/>
              <w:ind w:left="1440"/>
              <w:contextualSpacing/>
              <w:rPr>
                <w:rFonts w:eastAsia="Times New Roman"/>
                <w:sz w:val="22"/>
                <w:szCs w:val="22"/>
                <w:lang w:val="en-US" w:eastAsia="zh-CN"/>
              </w:rPr>
            </w:pPr>
            <w:r w:rsidRPr="00D538DC">
              <w:rPr>
                <w:rFonts w:ascii="Calibri" w:eastAsia="+mn-ea" w:hAnsi="Calibri" w:cs="+mn-cs"/>
                <w:color w:val="000000"/>
                <w:kern w:val="24"/>
                <w:sz w:val="22"/>
                <w:szCs w:val="22"/>
                <w:lang w:val="en-US" w:eastAsia="zh-CN"/>
              </w:rPr>
              <w:t xml:space="preserve">In the requirements of clause 7.1.2, the term reference cell on a carrier frequency subject to CCA is not available at the UE refers to when at least one SSB is configured by </w:t>
            </w:r>
            <w:proofErr w:type="spellStart"/>
            <w:r w:rsidRPr="00D538DC">
              <w:rPr>
                <w:rFonts w:ascii="Calibri" w:eastAsia="+mn-ea" w:hAnsi="Calibri" w:cs="+mn-cs"/>
                <w:color w:val="000000"/>
                <w:kern w:val="24"/>
                <w:sz w:val="22"/>
                <w:szCs w:val="22"/>
                <w:lang w:val="en-US" w:eastAsia="zh-CN"/>
              </w:rPr>
              <w:t>gNB</w:t>
            </w:r>
            <w:proofErr w:type="spellEnd"/>
            <w:r w:rsidRPr="00D538DC">
              <w:rPr>
                <w:rFonts w:ascii="Calibri" w:eastAsia="+mn-ea" w:hAnsi="Calibri" w:cs="+mn-cs"/>
                <w:color w:val="000000"/>
                <w:kern w:val="24"/>
                <w:sz w:val="22"/>
                <w:szCs w:val="22"/>
                <w:lang w:val="en-US" w:eastAsia="zh-CN"/>
              </w:rPr>
              <w:t xml:space="preserve">, but the first two successive candidate SSB positions for the same SSB index within the discovery burst transmission window are not available for at least one SSB, at the UE due to DL CCA failures at </w:t>
            </w:r>
            <w:proofErr w:type="spellStart"/>
            <w:r w:rsidRPr="00D538DC">
              <w:rPr>
                <w:rFonts w:ascii="Calibri" w:eastAsia="+mn-ea" w:hAnsi="Calibri" w:cs="+mn-cs"/>
                <w:color w:val="000000"/>
                <w:kern w:val="24"/>
                <w:sz w:val="22"/>
                <w:szCs w:val="22"/>
                <w:lang w:val="en-US" w:eastAsia="zh-CN"/>
              </w:rPr>
              <w:t>gNB</w:t>
            </w:r>
            <w:proofErr w:type="spellEnd"/>
            <w:r w:rsidRPr="00D538DC">
              <w:rPr>
                <w:rFonts w:ascii="Calibri" w:eastAsia="+mn-ea" w:hAnsi="Calibri" w:cs="+mn-cs"/>
                <w:color w:val="000000"/>
                <w:kern w:val="24"/>
                <w:sz w:val="22"/>
                <w:szCs w:val="22"/>
                <w:lang w:val="en-US" w:eastAsia="zh-CN"/>
              </w:rPr>
              <w:t xml:space="preserve"> during the last X </w:t>
            </w:r>
            <w:proofErr w:type="spellStart"/>
            <w:r w:rsidRPr="00D538DC">
              <w:rPr>
                <w:rFonts w:ascii="Calibri" w:eastAsia="+mn-ea" w:hAnsi="Calibri" w:cs="+mn-cs"/>
                <w:color w:val="000000"/>
                <w:kern w:val="24"/>
                <w:sz w:val="22"/>
                <w:szCs w:val="22"/>
                <w:lang w:val="en-US" w:eastAsia="zh-CN"/>
              </w:rPr>
              <w:t>ms</w:t>
            </w:r>
            <w:proofErr w:type="spellEnd"/>
            <w:r w:rsidRPr="00D538DC">
              <w:rPr>
                <w:rFonts w:ascii="Calibri" w:eastAsia="+mn-ea" w:hAnsi="Calibri" w:cs="+mn-cs"/>
                <w:b/>
                <w:bCs/>
                <w:color w:val="000000"/>
                <w:kern w:val="24"/>
                <w:sz w:val="22"/>
                <w:szCs w:val="22"/>
                <w:u w:val="single"/>
                <w:lang w:val="en-US" w:eastAsia="zh-CN"/>
              </w:rPr>
              <w:t xml:space="preserve">; </w:t>
            </w:r>
            <w:r w:rsidRPr="00D538DC">
              <w:rPr>
                <w:rFonts w:ascii="Calibri" w:eastAsia="+mn-ea" w:hAnsi="Calibri" w:cs="+mn-cs"/>
                <w:color w:val="000000"/>
                <w:kern w:val="24"/>
                <w:sz w:val="22"/>
                <w:szCs w:val="22"/>
                <w:lang w:val="en-US" w:eastAsia="zh-CN"/>
              </w:rPr>
              <w:t>otherwise the reference cell on the carrier frequency subject to CCA is considered as available at the UE.</w:t>
            </w:r>
          </w:p>
          <w:p w:rsidR="00D538DC" w:rsidRPr="00D538DC" w:rsidRDefault="00D538DC" w:rsidP="00D538DC">
            <w:pPr>
              <w:overflowPunct w:val="0"/>
              <w:spacing w:after="0" w:line="216" w:lineRule="auto"/>
              <w:ind w:left="4320"/>
              <w:contextualSpacing/>
              <w:rPr>
                <w:rFonts w:eastAsia="Times New Roman"/>
                <w:sz w:val="34"/>
                <w:szCs w:val="24"/>
                <w:lang w:val="en-US" w:eastAsia="zh-CN"/>
              </w:rPr>
            </w:pPr>
            <w:r w:rsidRPr="00D538DC">
              <w:rPr>
                <w:rFonts w:ascii="Calibri" w:eastAsia="+mn-ea" w:hAnsi="Calibri" w:cs="+mn-cs"/>
                <w:color w:val="000000"/>
                <w:kern w:val="24"/>
                <w:sz w:val="22"/>
                <w:szCs w:val="22"/>
                <w:lang w:val="en-US" w:eastAsia="zh-CN"/>
              </w:rPr>
              <w:t>X is FFS, X&gt;160ms.</w:t>
            </w:r>
          </w:p>
          <w:p w:rsidR="00267BAF" w:rsidRPr="00267BAF" w:rsidRDefault="00267BAF" w:rsidP="00D538DC">
            <w:pPr>
              <w:overflowPunct w:val="0"/>
              <w:spacing w:after="0"/>
              <w:ind w:left="720"/>
              <w:rPr>
                <w:b/>
                <w:lang w:val="en-US" w:eastAsia="zh-CN"/>
              </w:rPr>
            </w:pPr>
          </w:p>
        </w:tc>
      </w:tr>
    </w:tbl>
    <w:p w:rsidR="00267BAF" w:rsidRDefault="00267BAF" w:rsidP="00CF7481">
      <w:pPr>
        <w:rPr>
          <w:lang w:eastAsia="zh-CN"/>
        </w:rPr>
      </w:pPr>
    </w:p>
    <w:p w:rsidR="00D538DC" w:rsidRDefault="00D538DC" w:rsidP="00E315CA">
      <w:pPr>
        <w:rPr>
          <w:lang w:val="en-US"/>
        </w:rPr>
      </w:pPr>
      <w:r w:rsidRPr="00D538DC">
        <w:rPr>
          <w:lang w:val="en-US"/>
        </w:rPr>
        <w:t xml:space="preserve">At the very beginning, </w:t>
      </w:r>
      <w:r>
        <w:rPr>
          <w:lang w:val="en-US"/>
        </w:rPr>
        <w:t xml:space="preserve">the issues come from </w:t>
      </w:r>
      <w:r w:rsidR="00FE746D">
        <w:rPr>
          <w:lang w:val="en-US"/>
        </w:rPr>
        <w:t xml:space="preserve">that </w:t>
      </w:r>
      <w:r>
        <w:rPr>
          <w:lang w:val="en-US"/>
        </w:rPr>
        <w:t xml:space="preserve">we don’t have clear principles in the exiting requirements. In the existing requirements, we have the similar terminology about “available SSB” which is also widely used in NR-U. In NR-U requirements, </w:t>
      </w:r>
      <w:r w:rsidR="00FE746D">
        <w:rPr>
          <w:lang w:val="en-US"/>
        </w:rPr>
        <w:t>the</w:t>
      </w:r>
      <w:r>
        <w:rPr>
          <w:lang w:val="en-US"/>
        </w:rPr>
        <w:t xml:space="preserve"> “available/unavailable” SSB mainly refers to when the SSB is transmitted</w:t>
      </w:r>
      <w:r w:rsidR="00FE746D">
        <w:rPr>
          <w:lang w:val="en-US"/>
        </w:rPr>
        <w:t xml:space="preserve"> or not</w:t>
      </w:r>
      <w:r>
        <w:rPr>
          <w:lang w:val="en-US"/>
        </w:rPr>
        <w:t xml:space="preserve"> subject to the LBT procedure. However, in legacy requirements, there is no detailed description about what is an available SSB. </w:t>
      </w:r>
    </w:p>
    <w:p w:rsidR="007112A1" w:rsidRPr="007112A1" w:rsidRDefault="007112A1" w:rsidP="00E315CA">
      <w:pPr>
        <w:rPr>
          <w:lang w:val="en-US"/>
        </w:rPr>
      </w:pPr>
      <w:r>
        <w:rPr>
          <w:lang w:val="en-US"/>
        </w:rPr>
        <w:t xml:space="preserve">Regarding the 160 </w:t>
      </w:r>
      <w:proofErr w:type="spellStart"/>
      <w:r>
        <w:rPr>
          <w:lang w:val="en-US"/>
        </w:rPr>
        <w:t>ms</w:t>
      </w:r>
      <w:proofErr w:type="spellEnd"/>
      <w:r>
        <w:rPr>
          <w:lang w:val="en-US"/>
        </w:rPr>
        <w:t xml:space="preserve"> conditions, it is not only used to determine whether the reference cell is available but also the </w:t>
      </w:r>
      <w:proofErr w:type="spellStart"/>
      <w:r>
        <w:rPr>
          <w:lang w:val="en-US"/>
        </w:rPr>
        <w:t>Te</w:t>
      </w:r>
      <w:proofErr w:type="spellEnd"/>
      <w:r>
        <w:rPr>
          <w:lang w:val="en-US"/>
        </w:rPr>
        <w:t xml:space="preserve"> requirements. </w:t>
      </w:r>
      <w:r w:rsidRPr="009C5807">
        <w:rPr>
          <w:rFonts w:cs="v4.2.0"/>
        </w:rPr>
        <w:t xml:space="preserve">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w:t>
      </w:r>
      <w:r w:rsidRPr="007112A1">
        <w:rPr>
          <w:lang w:val="en-US"/>
        </w:rPr>
        <w:t xml:space="preserve">the UE during the last 160 </w:t>
      </w:r>
      <w:proofErr w:type="spellStart"/>
      <w:r w:rsidRPr="007112A1">
        <w:rPr>
          <w:lang w:val="en-US"/>
        </w:rPr>
        <w:t>ms.</w:t>
      </w:r>
      <w:proofErr w:type="spellEnd"/>
    </w:p>
    <w:p w:rsidR="007112A1" w:rsidRPr="007112A1" w:rsidRDefault="007112A1" w:rsidP="00E315CA">
      <w:pPr>
        <w:rPr>
          <w:b/>
          <w:lang w:val="en-US"/>
        </w:rPr>
      </w:pPr>
      <w:r w:rsidRPr="007112A1">
        <w:rPr>
          <w:b/>
          <w:lang w:val="en-US"/>
        </w:rPr>
        <w:t xml:space="preserve">Observation 1: The 160 </w:t>
      </w:r>
      <w:proofErr w:type="spellStart"/>
      <w:r w:rsidRPr="007112A1">
        <w:rPr>
          <w:b/>
          <w:lang w:val="en-US"/>
        </w:rPr>
        <w:t>ms</w:t>
      </w:r>
      <w:proofErr w:type="spellEnd"/>
      <w:r w:rsidRPr="007112A1">
        <w:rPr>
          <w:b/>
          <w:lang w:val="en-US"/>
        </w:rPr>
        <w:t xml:space="preserve"> conditions work for not only the availability of the reference cell but also the </w:t>
      </w:r>
      <w:proofErr w:type="spellStart"/>
      <w:r w:rsidRPr="007112A1">
        <w:rPr>
          <w:b/>
          <w:lang w:val="en-US"/>
        </w:rPr>
        <w:t>Te</w:t>
      </w:r>
      <w:proofErr w:type="spellEnd"/>
      <w:r w:rsidRPr="007112A1">
        <w:rPr>
          <w:b/>
          <w:lang w:val="en-US"/>
        </w:rPr>
        <w:t xml:space="preserve"> requirements.</w:t>
      </w:r>
    </w:p>
    <w:p w:rsidR="00B46085" w:rsidRDefault="007112A1" w:rsidP="00E315CA">
      <w:pPr>
        <w:rPr>
          <w:lang w:val="en-US"/>
        </w:rPr>
      </w:pPr>
      <w:r>
        <w:rPr>
          <w:lang w:val="en-US"/>
        </w:rPr>
        <w:t xml:space="preserve">For option 2, which is a </w:t>
      </w:r>
      <w:r w:rsidR="00A1482E">
        <w:rPr>
          <w:lang w:val="en-US"/>
        </w:rPr>
        <w:t>compromised approach to allow UE use the SSB for timing in a sparser manner (e.g. UE may use SSB 1280ms before DRX on duration and maintain the timing as long as the corresponding requirements could be met). However, there is also drawback of this approach. If there is a</w:t>
      </w:r>
      <w:r w:rsidR="00B46085">
        <w:rPr>
          <w:lang w:val="en-US"/>
        </w:rPr>
        <w:t>n</w:t>
      </w:r>
      <w:r w:rsidR="00A1482E">
        <w:rPr>
          <w:lang w:val="en-US"/>
        </w:rPr>
        <w:t xml:space="preserve"> unavailabl</w:t>
      </w:r>
      <w:r w:rsidR="00FE746D">
        <w:rPr>
          <w:lang w:val="en-US"/>
        </w:rPr>
        <w:t xml:space="preserve">e SSB 1280ms before next DRX </w:t>
      </w:r>
      <w:proofErr w:type="spellStart"/>
      <w:r w:rsidR="00FE746D">
        <w:rPr>
          <w:lang w:val="en-US"/>
        </w:rPr>
        <w:t>on</w:t>
      </w:r>
      <w:r w:rsidR="00A1482E">
        <w:rPr>
          <w:lang w:val="en-US"/>
        </w:rPr>
        <w:t>duration</w:t>
      </w:r>
      <w:proofErr w:type="spellEnd"/>
      <w:r w:rsidR="00A1482E">
        <w:rPr>
          <w:lang w:val="en-US"/>
        </w:rPr>
        <w:t xml:space="preserve"> and SSBs are available in the last 160 </w:t>
      </w:r>
      <w:proofErr w:type="spellStart"/>
      <w:r w:rsidR="00A1482E">
        <w:rPr>
          <w:lang w:val="en-US"/>
        </w:rPr>
        <w:t>ms</w:t>
      </w:r>
      <w:proofErr w:type="spellEnd"/>
      <w:r w:rsidR="00A1482E">
        <w:rPr>
          <w:lang w:val="en-US"/>
        </w:rPr>
        <w:t xml:space="preserve">, according the proposed clarification, UE still doesn’t need to meet the timing requirements. From our understanding, for the </w:t>
      </w:r>
      <w:r w:rsidR="00B46085">
        <w:rPr>
          <w:lang w:val="en-US"/>
        </w:rPr>
        <w:t>reasonable</w:t>
      </w:r>
      <w:r w:rsidR="00A1482E">
        <w:rPr>
          <w:lang w:val="en-US"/>
        </w:rPr>
        <w:t xml:space="preserve"> UE implementation in NR-U, if UE find the SSB is not available which is intended for timing and is before </w:t>
      </w:r>
      <w:r w:rsidR="00B46085">
        <w:rPr>
          <w:lang w:val="en-US"/>
        </w:rPr>
        <w:t xml:space="preserve">the </w:t>
      </w:r>
      <w:r w:rsidR="00A1482E">
        <w:rPr>
          <w:lang w:val="en-US"/>
        </w:rPr>
        <w:t xml:space="preserve">last 160 </w:t>
      </w:r>
      <w:proofErr w:type="spellStart"/>
      <w:r w:rsidR="00A1482E">
        <w:rPr>
          <w:lang w:val="en-US"/>
        </w:rPr>
        <w:t>ms</w:t>
      </w:r>
      <w:proofErr w:type="spellEnd"/>
      <w:r w:rsidR="00A1482E">
        <w:rPr>
          <w:lang w:val="en-US"/>
        </w:rPr>
        <w:t xml:space="preserve">, UE shall attempt to find </w:t>
      </w:r>
      <w:r w:rsidR="00FE746D">
        <w:rPr>
          <w:lang w:val="en-US"/>
        </w:rPr>
        <w:t xml:space="preserve">another </w:t>
      </w:r>
      <w:r w:rsidR="00A1482E">
        <w:rPr>
          <w:lang w:val="en-US"/>
        </w:rPr>
        <w:t xml:space="preserve">available SSB within the last 160 </w:t>
      </w:r>
      <w:proofErr w:type="spellStart"/>
      <w:r w:rsidR="00A1482E">
        <w:rPr>
          <w:lang w:val="en-US"/>
        </w:rPr>
        <w:t>ms</w:t>
      </w:r>
      <w:proofErr w:type="spellEnd"/>
      <w:r w:rsidR="00FE746D">
        <w:rPr>
          <w:lang w:val="en-US"/>
        </w:rPr>
        <w:t xml:space="preserve"> instead of doing nothing</w:t>
      </w:r>
      <w:r w:rsidR="00A1482E">
        <w:rPr>
          <w:lang w:val="en-US"/>
        </w:rPr>
        <w:t>. If such SSB is found, then UE shall still meet the timing requireme</w:t>
      </w:r>
      <w:r w:rsidR="00B46085">
        <w:rPr>
          <w:lang w:val="en-US"/>
        </w:rPr>
        <w:t>nts. Then regarding the definition w.r.t. DRX, we prefer not to have further clarifications.</w:t>
      </w:r>
    </w:p>
    <w:p w:rsidR="007112A1" w:rsidRDefault="00B46085" w:rsidP="00E315CA">
      <w:pPr>
        <w:rPr>
          <w:lang w:val="en-US"/>
        </w:rPr>
      </w:pPr>
      <w:r>
        <w:rPr>
          <w:lang w:val="en-US"/>
        </w:rPr>
        <w:t>Regarding the definition w.r.t the measurement gap, companies argued that there is no such clarifications in legacy requirements. As mentioned above, we believe the “available SSB” in existing requirements already implies that the SSB is not overlapping with measurement gaps. For all L1 measurement (e.g. RLM/BFD), the overlapping between RS and MG is considered when defining the requirements, and it is the basic assumption that UE may not be able to measure the RS when it is overlapped with MG. So if the intention is to make it clear about what is an available SSB in NR-U, then we believe such clarification is needed.</w:t>
      </w:r>
    </w:p>
    <w:p w:rsidR="00B46085" w:rsidRPr="00D538DC" w:rsidRDefault="00B46085" w:rsidP="00E315CA">
      <w:pPr>
        <w:rPr>
          <w:lang w:val="en-US"/>
        </w:rPr>
      </w:pPr>
      <w:r w:rsidRPr="00B46085">
        <w:rPr>
          <w:b/>
          <w:lang w:val="en-US"/>
        </w:rPr>
        <w:t>Proposal 1:</w:t>
      </w:r>
      <w:r>
        <w:rPr>
          <w:lang w:val="en-US"/>
        </w:rPr>
        <w:t xml:space="preserve"> </w:t>
      </w:r>
      <w:r w:rsidRPr="009F29F9">
        <w:rPr>
          <w:rFonts w:eastAsiaTheme="minorEastAsia" w:cs="v4.2.0"/>
          <w:b/>
          <w:lang w:val="en-US" w:eastAsia="zh-CN"/>
        </w:rPr>
        <w:t>The availability of reference cell shall base on the SSB within the DL active BWP which is not overlapping with measurement gaps.</w:t>
      </w:r>
    </w:p>
    <w:p w:rsidR="00267BAF" w:rsidRDefault="00267BAF" w:rsidP="00267BAF">
      <w:pPr>
        <w:pStyle w:val="1"/>
        <w:numPr>
          <w:ilvl w:val="0"/>
          <w:numId w:val="1"/>
        </w:numPr>
        <w:rPr>
          <w:lang w:val="en-US"/>
        </w:rPr>
      </w:pPr>
      <w:r w:rsidRPr="002D2977">
        <w:rPr>
          <w:lang w:val="en-US"/>
        </w:rPr>
        <w:t>Conclusions</w:t>
      </w:r>
    </w:p>
    <w:p w:rsidR="00B46085" w:rsidRPr="00B46085" w:rsidRDefault="00B46085" w:rsidP="00B46085">
      <w:pPr>
        <w:rPr>
          <w:b/>
          <w:lang w:val="en-US" w:eastAsia="zh-CN"/>
        </w:rPr>
      </w:pPr>
      <w:r w:rsidRPr="00B46085">
        <w:rPr>
          <w:b/>
          <w:lang w:val="en-US" w:eastAsia="zh-CN"/>
        </w:rPr>
        <w:t xml:space="preserve">Observation 1: The 160 </w:t>
      </w:r>
      <w:proofErr w:type="spellStart"/>
      <w:r w:rsidRPr="00B46085">
        <w:rPr>
          <w:b/>
          <w:lang w:val="en-US" w:eastAsia="zh-CN"/>
        </w:rPr>
        <w:t>ms</w:t>
      </w:r>
      <w:proofErr w:type="spellEnd"/>
      <w:r w:rsidRPr="00B46085">
        <w:rPr>
          <w:b/>
          <w:lang w:val="en-US" w:eastAsia="zh-CN"/>
        </w:rPr>
        <w:t xml:space="preserve"> conditions work for not only the availability of the reference cell but also the </w:t>
      </w:r>
      <w:proofErr w:type="spellStart"/>
      <w:r w:rsidRPr="00B46085">
        <w:rPr>
          <w:b/>
          <w:lang w:val="en-US" w:eastAsia="zh-CN"/>
        </w:rPr>
        <w:t>Te</w:t>
      </w:r>
      <w:proofErr w:type="spellEnd"/>
      <w:r w:rsidRPr="00B46085">
        <w:rPr>
          <w:b/>
          <w:lang w:val="en-US" w:eastAsia="zh-CN"/>
        </w:rPr>
        <w:t xml:space="preserve"> requirements.</w:t>
      </w:r>
    </w:p>
    <w:p w:rsidR="00B46085" w:rsidRPr="00E315CA" w:rsidRDefault="00B46085" w:rsidP="00B46085">
      <w:pPr>
        <w:rPr>
          <w:b/>
          <w:lang w:val="en-US" w:eastAsia="zh-CN"/>
        </w:rPr>
      </w:pPr>
      <w:r w:rsidRPr="00B46085">
        <w:rPr>
          <w:b/>
          <w:lang w:val="en-US" w:eastAsia="zh-CN"/>
        </w:rPr>
        <w:t>Proposal 1: The availability of reference cell shall base on the SSB within the DL active BWP which is not overlapping with measurement gaps.</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267BAF" w:rsidRPr="00267BAF">
        <w:t>R4-2105700</w:t>
      </w:r>
      <w:r w:rsidR="00267BAF">
        <w:t xml:space="preserve">, </w:t>
      </w:r>
      <w:r w:rsidR="00267BAF" w:rsidRPr="00267BAF">
        <w:t>WF on NR-U RRM Core Requirements</w:t>
      </w:r>
      <w:r w:rsidR="00AC2CD4" w:rsidRPr="00AC2CD4">
        <w:t xml:space="preserve">, </w:t>
      </w:r>
      <w:r w:rsidR="00267BAF">
        <w:t>Ericsson</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9C9" w:rsidRDefault="00D869C9">
      <w:pPr>
        <w:spacing w:after="0"/>
      </w:pPr>
      <w:r>
        <w:separator/>
      </w:r>
    </w:p>
  </w:endnote>
  <w:endnote w:type="continuationSeparator" w:id="0">
    <w:p w:rsidR="00D869C9" w:rsidRDefault="00D869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82E" w:rsidRDefault="00A148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A1482E" w:rsidRDefault="00A148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82E" w:rsidRDefault="00A148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C6113">
      <w:rPr>
        <w:rStyle w:val="a5"/>
      </w:rPr>
      <w:t>1</w:t>
    </w:r>
    <w:r>
      <w:rPr>
        <w:rStyle w:val="a5"/>
      </w:rPr>
      <w:fldChar w:fldCharType="end"/>
    </w:r>
  </w:p>
  <w:p w:rsidR="00A1482E" w:rsidRDefault="00A1482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9C9" w:rsidRDefault="00D869C9">
      <w:pPr>
        <w:spacing w:after="0"/>
      </w:pPr>
      <w:r>
        <w:separator/>
      </w:r>
    </w:p>
  </w:footnote>
  <w:footnote w:type="continuationSeparator" w:id="0">
    <w:p w:rsidR="00D869C9" w:rsidRDefault="00D869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22C85"/>
    <w:multiLevelType w:val="hybridMultilevel"/>
    <w:tmpl w:val="3CA4B218"/>
    <w:lvl w:ilvl="0" w:tplc="CA8E626C">
      <w:start w:val="1"/>
      <w:numFmt w:val="bullet"/>
      <w:lvlText w:val="•"/>
      <w:lvlJc w:val="left"/>
      <w:pPr>
        <w:tabs>
          <w:tab w:val="num" w:pos="720"/>
        </w:tabs>
        <w:ind w:left="720" w:hanging="360"/>
      </w:pPr>
      <w:rPr>
        <w:rFonts w:ascii="Arial" w:hAnsi="Arial" w:hint="default"/>
      </w:rPr>
    </w:lvl>
    <w:lvl w:ilvl="1" w:tplc="3D648490">
      <w:numFmt w:val="bullet"/>
      <w:lvlText w:val="•"/>
      <w:lvlJc w:val="left"/>
      <w:pPr>
        <w:tabs>
          <w:tab w:val="num" w:pos="1440"/>
        </w:tabs>
        <w:ind w:left="1440" w:hanging="360"/>
      </w:pPr>
      <w:rPr>
        <w:rFonts w:ascii="Arial" w:hAnsi="Arial" w:hint="default"/>
      </w:rPr>
    </w:lvl>
    <w:lvl w:ilvl="2" w:tplc="267E21CE" w:tentative="1">
      <w:start w:val="1"/>
      <w:numFmt w:val="bullet"/>
      <w:lvlText w:val="•"/>
      <w:lvlJc w:val="left"/>
      <w:pPr>
        <w:tabs>
          <w:tab w:val="num" w:pos="2160"/>
        </w:tabs>
        <w:ind w:left="2160" w:hanging="360"/>
      </w:pPr>
      <w:rPr>
        <w:rFonts w:ascii="Arial" w:hAnsi="Arial" w:hint="default"/>
      </w:rPr>
    </w:lvl>
    <w:lvl w:ilvl="3" w:tplc="3C8423CE" w:tentative="1">
      <w:start w:val="1"/>
      <w:numFmt w:val="bullet"/>
      <w:lvlText w:val="•"/>
      <w:lvlJc w:val="left"/>
      <w:pPr>
        <w:tabs>
          <w:tab w:val="num" w:pos="2880"/>
        </w:tabs>
        <w:ind w:left="2880" w:hanging="360"/>
      </w:pPr>
      <w:rPr>
        <w:rFonts w:ascii="Arial" w:hAnsi="Arial" w:hint="default"/>
      </w:rPr>
    </w:lvl>
    <w:lvl w:ilvl="4" w:tplc="FF481DE4" w:tentative="1">
      <w:start w:val="1"/>
      <w:numFmt w:val="bullet"/>
      <w:lvlText w:val="•"/>
      <w:lvlJc w:val="left"/>
      <w:pPr>
        <w:tabs>
          <w:tab w:val="num" w:pos="3600"/>
        </w:tabs>
        <w:ind w:left="3600" w:hanging="360"/>
      </w:pPr>
      <w:rPr>
        <w:rFonts w:ascii="Arial" w:hAnsi="Arial" w:hint="default"/>
      </w:rPr>
    </w:lvl>
    <w:lvl w:ilvl="5" w:tplc="3F4E0C22" w:tentative="1">
      <w:start w:val="1"/>
      <w:numFmt w:val="bullet"/>
      <w:lvlText w:val="•"/>
      <w:lvlJc w:val="left"/>
      <w:pPr>
        <w:tabs>
          <w:tab w:val="num" w:pos="4320"/>
        </w:tabs>
        <w:ind w:left="4320" w:hanging="360"/>
      </w:pPr>
      <w:rPr>
        <w:rFonts w:ascii="Arial" w:hAnsi="Arial" w:hint="default"/>
      </w:rPr>
    </w:lvl>
    <w:lvl w:ilvl="6" w:tplc="CBDEB968" w:tentative="1">
      <w:start w:val="1"/>
      <w:numFmt w:val="bullet"/>
      <w:lvlText w:val="•"/>
      <w:lvlJc w:val="left"/>
      <w:pPr>
        <w:tabs>
          <w:tab w:val="num" w:pos="5040"/>
        </w:tabs>
        <w:ind w:left="5040" w:hanging="360"/>
      </w:pPr>
      <w:rPr>
        <w:rFonts w:ascii="Arial" w:hAnsi="Arial" w:hint="default"/>
      </w:rPr>
    </w:lvl>
    <w:lvl w:ilvl="7" w:tplc="6CFC7272" w:tentative="1">
      <w:start w:val="1"/>
      <w:numFmt w:val="bullet"/>
      <w:lvlText w:val="•"/>
      <w:lvlJc w:val="left"/>
      <w:pPr>
        <w:tabs>
          <w:tab w:val="num" w:pos="5760"/>
        </w:tabs>
        <w:ind w:left="5760" w:hanging="360"/>
      </w:pPr>
      <w:rPr>
        <w:rFonts w:ascii="Arial" w:hAnsi="Arial" w:hint="default"/>
      </w:rPr>
    </w:lvl>
    <w:lvl w:ilvl="8" w:tplc="0D966E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3165EBE"/>
    <w:multiLevelType w:val="hybridMultilevel"/>
    <w:tmpl w:val="EDAEBA32"/>
    <w:lvl w:ilvl="0" w:tplc="83D86F2C">
      <w:start w:val="1"/>
      <w:numFmt w:val="bullet"/>
      <w:lvlText w:val="•"/>
      <w:lvlJc w:val="left"/>
      <w:pPr>
        <w:tabs>
          <w:tab w:val="num" w:pos="720"/>
        </w:tabs>
        <w:ind w:left="720" w:hanging="360"/>
      </w:pPr>
      <w:rPr>
        <w:rFonts w:ascii="Arial" w:hAnsi="Arial" w:hint="default"/>
      </w:rPr>
    </w:lvl>
    <w:lvl w:ilvl="1" w:tplc="8494C80A">
      <w:numFmt w:val="bullet"/>
      <w:lvlText w:val="•"/>
      <w:lvlJc w:val="left"/>
      <w:pPr>
        <w:tabs>
          <w:tab w:val="num" w:pos="1440"/>
        </w:tabs>
        <w:ind w:left="1440" w:hanging="360"/>
      </w:pPr>
      <w:rPr>
        <w:rFonts w:ascii="Arial" w:hAnsi="Arial" w:hint="default"/>
      </w:rPr>
    </w:lvl>
    <w:lvl w:ilvl="2" w:tplc="9A44BB68" w:tentative="1">
      <w:start w:val="1"/>
      <w:numFmt w:val="bullet"/>
      <w:lvlText w:val="•"/>
      <w:lvlJc w:val="left"/>
      <w:pPr>
        <w:tabs>
          <w:tab w:val="num" w:pos="2160"/>
        </w:tabs>
        <w:ind w:left="2160" w:hanging="360"/>
      </w:pPr>
      <w:rPr>
        <w:rFonts w:ascii="Arial" w:hAnsi="Arial" w:hint="default"/>
      </w:rPr>
    </w:lvl>
    <w:lvl w:ilvl="3" w:tplc="24FA1292">
      <w:numFmt w:val="bullet"/>
      <w:lvlText w:val="•"/>
      <w:lvlJc w:val="left"/>
      <w:pPr>
        <w:tabs>
          <w:tab w:val="num" w:pos="2880"/>
        </w:tabs>
        <w:ind w:left="2880" w:hanging="360"/>
      </w:pPr>
      <w:rPr>
        <w:rFonts w:ascii="Arial" w:hAnsi="Arial" w:hint="default"/>
      </w:rPr>
    </w:lvl>
    <w:lvl w:ilvl="4" w:tplc="C83C60B6" w:tentative="1">
      <w:start w:val="1"/>
      <w:numFmt w:val="bullet"/>
      <w:lvlText w:val="•"/>
      <w:lvlJc w:val="left"/>
      <w:pPr>
        <w:tabs>
          <w:tab w:val="num" w:pos="3600"/>
        </w:tabs>
        <w:ind w:left="3600" w:hanging="360"/>
      </w:pPr>
      <w:rPr>
        <w:rFonts w:ascii="Arial" w:hAnsi="Arial" w:hint="default"/>
      </w:rPr>
    </w:lvl>
    <w:lvl w:ilvl="5" w:tplc="BBB00524" w:tentative="1">
      <w:start w:val="1"/>
      <w:numFmt w:val="bullet"/>
      <w:lvlText w:val="•"/>
      <w:lvlJc w:val="left"/>
      <w:pPr>
        <w:tabs>
          <w:tab w:val="num" w:pos="4320"/>
        </w:tabs>
        <w:ind w:left="4320" w:hanging="360"/>
      </w:pPr>
      <w:rPr>
        <w:rFonts w:ascii="Arial" w:hAnsi="Arial" w:hint="default"/>
      </w:rPr>
    </w:lvl>
    <w:lvl w:ilvl="6" w:tplc="849A7AE6" w:tentative="1">
      <w:start w:val="1"/>
      <w:numFmt w:val="bullet"/>
      <w:lvlText w:val="•"/>
      <w:lvlJc w:val="left"/>
      <w:pPr>
        <w:tabs>
          <w:tab w:val="num" w:pos="5040"/>
        </w:tabs>
        <w:ind w:left="5040" w:hanging="360"/>
      </w:pPr>
      <w:rPr>
        <w:rFonts w:ascii="Arial" w:hAnsi="Arial" w:hint="default"/>
      </w:rPr>
    </w:lvl>
    <w:lvl w:ilvl="7" w:tplc="3BB06112" w:tentative="1">
      <w:start w:val="1"/>
      <w:numFmt w:val="bullet"/>
      <w:lvlText w:val="•"/>
      <w:lvlJc w:val="left"/>
      <w:pPr>
        <w:tabs>
          <w:tab w:val="num" w:pos="5760"/>
        </w:tabs>
        <w:ind w:left="5760" w:hanging="360"/>
      </w:pPr>
      <w:rPr>
        <w:rFonts w:ascii="Arial" w:hAnsi="Arial" w:hint="default"/>
      </w:rPr>
    </w:lvl>
    <w:lvl w:ilvl="8" w:tplc="8EB2ED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4"/>
  </w:num>
  <w:num w:numId="4">
    <w:abstractNumId w:val="13"/>
  </w:num>
  <w:num w:numId="5">
    <w:abstractNumId w:val="1"/>
  </w:num>
  <w:num w:numId="6">
    <w:abstractNumId w:val="5"/>
  </w:num>
  <w:num w:numId="7">
    <w:abstractNumId w:val="3"/>
  </w:num>
  <w:num w:numId="8">
    <w:abstractNumId w:val="9"/>
  </w:num>
  <w:num w:numId="9">
    <w:abstractNumId w:val="10"/>
  </w:num>
  <w:num w:numId="10">
    <w:abstractNumId w:val="6"/>
  </w:num>
  <w:num w:numId="11">
    <w:abstractNumId w:val="8"/>
  </w:num>
  <w:num w:numId="12">
    <w:abstractNumId w:val="2"/>
  </w:num>
  <w:num w:numId="13">
    <w:abstractNumId w:val="7"/>
  </w:num>
  <w:num w:numId="14">
    <w:abstractNumId w:val="0"/>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C2147"/>
    <w:rsid w:val="000D2930"/>
    <w:rsid w:val="000D6B9B"/>
    <w:rsid w:val="000D77F9"/>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747E"/>
    <w:rsid w:val="0018314E"/>
    <w:rsid w:val="00184719"/>
    <w:rsid w:val="00197964"/>
    <w:rsid w:val="001A1E7C"/>
    <w:rsid w:val="001C4240"/>
    <w:rsid w:val="001D3006"/>
    <w:rsid w:val="001E7174"/>
    <w:rsid w:val="0020033A"/>
    <w:rsid w:val="00216AAB"/>
    <w:rsid w:val="00217770"/>
    <w:rsid w:val="002221AC"/>
    <w:rsid w:val="00222A85"/>
    <w:rsid w:val="00222AF7"/>
    <w:rsid w:val="002328DD"/>
    <w:rsid w:val="00243552"/>
    <w:rsid w:val="00245810"/>
    <w:rsid w:val="00254F38"/>
    <w:rsid w:val="00267BAF"/>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6939"/>
    <w:rsid w:val="003422A4"/>
    <w:rsid w:val="00352697"/>
    <w:rsid w:val="00356FB6"/>
    <w:rsid w:val="003622B2"/>
    <w:rsid w:val="003664ED"/>
    <w:rsid w:val="00377D59"/>
    <w:rsid w:val="0038462A"/>
    <w:rsid w:val="0038557C"/>
    <w:rsid w:val="003A5CBC"/>
    <w:rsid w:val="003A5E2B"/>
    <w:rsid w:val="003E7C96"/>
    <w:rsid w:val="003F762D"/>
    <w:rsid w:val="00401473"/>
    <w:rsid w:val="00415933"/>
    <w:rsid w:val="00430F24"/>
    <w:rsid w:val="00435D65"/>
    <w:rsid w:val="00435EBD"/>
    <w:rsid w:val="00451B80"/>
    <w:rsid w:val="00455FD0"/>
    <w:rsid w:val="00466D02"/>
    <w:rsid w:val="00477263"/>
    <w:rsid w:val="0049501A"/>
    <w:rsid w:val="004A28FD"/>
    <w:rsid w:val="004A29B2"/>
    <w:rsid w:val="004A678E"/>
    <w:rsid w:val="004A7CF2"/>
    <w:rsid w:val="004B1ECE"/>
    <w:rsid w:val="004B4633"/>
    <w:rsid w:val="004C4868"/>
    <w:rsid w:val="004D3C97"/>
    <w:rsid w:val="004E3732"/>
    <w:rsid w:val="004E5D51"/>
    <w:rsid w:val="004F0167"/>
    <w:rsid w:val="004F344B"/>
    <w:rsid w:val="00502991"/>
    <w:rsid w:val="005235DB"/>
    <w:rsid w:val="00530EB0"/>
    <w:rsid w:val="005375AA"/>
    <w:rsid w:val="005409B9"/>
    <w:rsid w:val="00545EC2"/>
    <w:rsid w:val="0054734A"/>
    <w:rsid w:val="005546D8"/>
    <w:rsid w:val="00557527"/>
    <w:rsid w:val="005763DF"/>
    <w:rsid w:val="00582652"/>
    <w:rsid w:val="005A2C70"/>
    <w:rsid w:val="005A456B"/>
    <w:rsid w:val="005B0D68"/>
    <w:rsid w:val="005B41F2"/>
    <w:rsid w:val="005B6053"/>
    <w:rsid w:val="005D231A"/>
    <w:rsid w:val="005D3DC0"/>
    <w:rsid w:val="005D6BEF"/>
    <w:rsid w:val="005E29AA"/>
    <w:rsid w:val="005E4CCD"/>
    <w:rsid w:val="005F5231"/>
    <w:rsid w:val="00604490"/>
    <w:rsid w:val="0060650F"/>
    <w:rsid w:val="00607CE8"/>
    <w:rsid w:val="0061679F"/>
    <w:rsid w:val="0066186B"/>
    <w:rsid w:val="00672FCE"/>
    <w:rsid w:val="00681F59"/>
    <w:rsid w:val="006A68E5"/>
    <w:rsid w:val="006C4BDB"/>
    <w:rsid w:val="006D43CD"/>
    <w:rsid w:val="006D7325"/>
    <w:rsid w:val="006F1BAF"/>
    <w:rsid w:val="006F27CD"/>
    <w:rsid w:val="00701598"/>
    <w:rsid w:val="00702FA5"/>
    <w:rsid w:val="0070407F"/>
    <w:rsid w:val="007112A1"/>
    <w:rsid w:val="00712608"/>
    <w:rsid w:val="00714064"/>
    <w:rsid w:val="007200C7"/>
    <w:rsid w:val="00723883"/>
    <w:rsid w:val="00732D90"/>
    <w:rsid w:val="007334B6"/>
    <w:rsid w:val="00734B34"/>
    <w:rsid w:val="00736D84"/>
    <w:rsid w:val="00740F08"/>
    <w:rsid w:val="00763EF7"/>
    <w:rsid w:val="00766048"/>
    <w:rsid w:val="0077159B"/>
    <w:rsid w:val="00786C50"/>
    <w:rsid w:val="007902A8"/>
    <w:rsid w:val="007A336E"/>
    <w:rsid w:val="007A37DA"/>
    <w:rsid w:val="007A52D1"/>
    <w:rsid w:val="007B3DC0"/>
    <w:rsid w:val="007B57F3"/>
    <w:rsid w:val="007B7B6A"/>
    <w:rsid w:val="007C0D2E"/>
    <w:rsid w:val="007C5B24"/>
    <w:rsid w:val="007D0DF7"/>
    <w:rsid w:val="007D3409"/>
    <w:rsid w:val="007E2057"/>
    <w:rsid w:val="007E2E8A"/>
    <w:rsid w:val="007E5F97"/>
    <w:rsid w:val="007E67EC"/>
    <w:rsid w:val="007F045C"/>
    <w:rsid w:val="007F2E6A"/>
    <w:rsid w:val="007F7E14"/>
    <w:rsid w:val="00804945"/>
    <w:rsid w:val="00821B76"/>
    <w:rsid w:val="00836C28"/>
    <w:rsid w:val="008408E7"/>
    <w:rsid w:val="008446CE"/>
    <w:rsid w:val="00852630"/>
    <w:rsid w:val="008708B9"/>
    <w:rsid w:val="0087326D"/>
    <w:rsid w:val="00873C1C"/>
    <w:rsid w:val="00873F55"/>
    <w:rsid w:val="008766C3"/>
    <w:rsid w:val="00885469"/>
    <w:rsid w:val="008921D4"/>
    <w:rsid w:val="00892EAE"/>
    <w:rsid w:val="00893C66"/>
    <w:rsid w:val="008A1C4E"/>
    <w:rsid w:val="008A2B76"/>
    <w:rsid w:val="008A4FA1"/>
    <w:rsid w:val="008B3970"/>
    <w:rsid w:val="008B4A2C"/>
    <w:rsid w:val="008B4F73"/>
    <w:rsid w:val="008C31D2"/>
    <w:rsid w:val="008C398B"/>
    <w:rsid w:val="008D2D3D"/>
    <w:rsid w:val="008D55C5"/>
    <w:rsid w:val="008E2591"/>
    <w:rsid w:val="008E79C6"/>
    <w:rsid w:val="008F67CF"/>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3FA4"/>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482E"/>
    <w:rsid w:val="00A1597D"/>
    <w:rsid w:val="00A22790"/>
    <w:rsid w:val="00A26AB0"/>
    <w:rsid w:val="00A34913"/>
    <w:rsid w:val="00A35F07"/>
    <w:rsid w:val="00A42E3A"/>
    <w:rsid w:val="00A56BF6"/>
    <w:rsid w:val="00A71769"/>
    <w:rsid w:val="00A7739E"/>
    <w:rsid w:val="00A848D0"/>
    <w:rsid w:val="00A87084"/>
    <w:rsid w:val="00AC2C97"/>
    <w:rsid w:val="00AC2CD4"/>
    <w:rsid w:val="00AC7A7B"/>
    <w:rsid w:val="00AD65F4"/>
    <w:rsid w:val="00AD69AA"/>
    <w:rsid w:val="00AE384C"/>
    <w:rsid w:val="00AE6BE0"/>
    <w:rsid w:val="00AF02CB"/>
    <w:rsid w:val="00AF5966"/>
    <w:rsid w:val="00B02A13"/>
    <w:rsid w:val="00B10C6E"/>
    <w:rsid w:val="00B1402B"/>
    <w:rsid w:val="00B22016"/>
    <w:rsid w:val="00B23292"/>
    <w:rsid w:val="00B26D02"/>
    <w:rsid w:val="00B343A3"/>
    <w:rsid w:val="00B41E6D"/>
    <w:rsid w:val="00B450D5"/>
    <w:rsid w:val="00B4608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83525"/>
    <w:rsid w:val="00C878EB"/>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538DC"/>
    <w:rsid w:val="00D73373"/>
    <w:rsid w:val="00D828E1"/>
    <w:rsid w:val="00D869C9"/>
    <w:rsid w:val="00D94E39"/>
    <w:rsid w:val="00DB10D2"/>
    <w:rsid w:val="00DB1DD4"/>
    <w:rsid w:val="00DB61B3"/>
    <w:rsid w:val="00DC6113"/>
    <w:rsid w:val="00DD0915"/>
    <w:rsid w:val="00DD1DFF"/>
    <w:rsid w:val="00DE3896"/>
    <w:rsid w:val="00DF0231"/>
    <w:rsid w:val="00E04C43"/>
    <w:rsid w:val="00E13E91"/>
    <w:rsid w:val="00E16D37"/>
    <w:rsid w:val="00E17E17"/>
    <w:rsid w:val="00E17F78"/>
    <w:rsid w:val="00E21B03"/>
    <w:rsid w:val="00E222F0"/>
    <w:rsid w:val="00E22D0F"/>
    <w:rsid w:val="00E31284"/>
    <w:rsid w:val="00E315CA"/>
    <w:rsid w:val="00E406F2"/>
    <w:rsid w:val="00E415BA"/>
    <w:rsid w:val="00E470EC"/>
    <w:rsid w:val="00E5666B"/>
    <w:rsid w:val="00E577DD"/>
    <w:rsid w:val="00E72064"/>
    <w:rsid w:val="00E74155"/>
    <w:rsid w:val="00E76A71"/>
    <w:rsid w:val="00E85BF2"/>
    <w:rsid w:val="00E91110"/>
    <w:rsid w:val="00E9184C"/>
    <w:rsid w:val="00E94DD3"/>
    <w:rsid w:val="00EA49BA"/>
    <w:rsid w:val="00EA4E79"/>
    <w:rsid w:val="00EA5149"/>
    <w:rsid w:val="00EB02DF"/>
    <w:rsid w:val="00EE1CF7"/>
    <w:rsid w:val="00EE6F45"/>
    <w:rsid w:val="00EF2DE4"/>
    <w:rsid w:val="00EF66B2"/>
    <w:rsid w:val="00F0497C"/>
    <w:rsid w:val="00F076D1"/>
    <w:rsid w:val="00F0770B"/>
    <w:rsid w:val="00F10653"/>
    <w:rsid w:val="00F14670"/>
    <w:rsid w:val="00F1617A"/>
    <w:rsid w:val="00F2033F"/>
    <w:rsid w:val="00F20D63"/>
    <w:rsid w:val="00F22DF5"/>
    <w:rsid w:val="00F303F4"/>
    <w:rsid w:val="00F34526"/>
    <w:rsid w:val="00F413E7"/>
    <w:rsid w:val="00F52FE8"/>
    <w:rsid w:val="00F5790A"/>
    <w:rsid w:val="00F609CD"/>
    <w:rsid w:val="00F76B81"/>
    <w:rsid w:val="00FA4943"/>
    <w:rsid w:val="00FB6BD9"/>
    <w:rsid w:val="00FC0F9D"/>
    <w:rsid w:val="00FC3492"/>
    <w:rsid w:val="00FD518E"/>
    <w:rsid w:val="00FE1A35"/>
    <w:rsid w:val="00FE736A"/>
    <w:rsid w:val="00FE746D"/>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paragraph" w:customStyle="1" w:styleId="B2">
    <w:name w:val="B2"/>
    <w:basedOn w:val="20"/>
    <w:link w:val="B2Char"/>
    <w:qFormat/>
    <w:rsid w:val="00E74155"/>
    <w:pPr>
      <w:ind w:left="851" w:hanging="284"/>
      <w:contextualSpacing w:val="0"/>
    </w:pPr>
    <w:rPr>
      <w:rFonts w:eastAsiaTheme="minorEastAsia"/>
    </w:rPr>
  </w:style>
  <w:style w:type="character" w:customStyle="1" w:styleId="B2Char">
    <w:name w:val="B2 Char"/>
    <w:link w:val="B2"/>
    <w:qFormat/>
    <w:rsid w:val="00E74155"/>
    <w:rPr>
      <w:rFonts w:ascii="Times New Roman" w:hAnsi="Times New Roman" w:cs="Times New Roman"/>
      <w:kern w:val="0"/>
      <w:sz w:val="20"/>
      <w:szCs w:val="20"/>
      <w:lang w:val="en-GB" w:eastAsia="en-US"/>
    </w:rPr>
  </w:style>
  <w:style w:type="paragraph" w:styleId="20">
    <w:name w:val="List 2"/>
    <w:basedOn w:val="a"/>
    <w:uiPriority w:val="99"/>
    <w:semiHidden/>
    <w:unhideWhenUsed/>
    <w:rsid w:val="00E7415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30098931">
      <w:bodyDiv w:val="1"/>
      <w:marLeft w:val="0"/>
      <w:marRight w:val="0"/>
      <w:marTop w:val="0"/>
      <w:marBottom w:val="0"/>
      <w:divBdr>
        <w:top w:val="none" w:sz="0" w:space="0" w:color="auto"/>
        <w:left w:val="none" w:sz="0" w:space="0" w:color="auto"/>
        <w:bottom w:val="none" w:sz="0" w:space="0" w:color="auto"/>
        <w:right w:val="none" w:sz="0" w:space="0" w:color="auto"/>
      </w:divBdr>
      <w:divsChild>
        <w:div w:id="1873422834">
          <w:marLeft w:val="360"/>
          <w:marRight w:val="0"/>
          <w:marTop w:val="200"/>
          <w:marBottom w:val="0"/>
          <w:divBdr>
            <w:top w:val="none" w:sz="0" w:space="0" w:color="auto"/>
            <w:left w:val="none" w:sz="0" w:space="0" w:color="auto"/>
            <w:bottom w:val="none" w:sz="0" w:space="0" w:color="auto"/>
            <w:right w:val="none" w:sz="0" w:space="0" w:color="auto"/>
          </w:divBdr>
        </w:div>
        <w:div w:id="866720406">
          <w:marLeft w:val="1080"/>
          <w:marRight w:val="0"/>
          <w:marTop w:val="100"/>
          <w:marBottom w:val="0"/>
          <w:divBdr>
            <w:top w:val="none" w:sz="0" w:space="0" w:color="auto"/>
            <w:left w:val="none" w:sz="0" w:space="0" w:color="auto"/>
            <w:bottom w:val="none" w:sz="0" w:space="0" w:color="auto"/>
            <w:right w:val="none" w:sz="0" w:space="0" w:color="auto"/>
          </w:divBdr>
        </w:div>
        <w:div w:id="949900879">
          <w:marLeft w:val="360"/>
          <w:marRight w:val="0"/>
          <w:marTop w:val="200"/>
          <w:marBottom w:val="0"/>
          <w:divBdr>
            <w:top w:val="none" w:sz="0" w:space="0" w:color="auto"/>
            <w:left w:val="none" w:sz="0" w:space="0" w:color="auto"/>
            <w:bottom w:val="none" w:sz="0" w:space="0" w:color="auto"/>
            <w:right w:val="none" w:sz="0" w:space="0" w:color="auto"/>
          </w:divBdr>
        </w:div>
        <w:div w:id="527913039">
          <w:marLeft w:val="360"/>
          <w:marRight w:val="0"/>
          <w:marTop w:val="200"/>
          <w:marBottom w:val="0"/>
          <w:divBdr>
            <w:top w:val="none" w:sz="0" w:space="0" w:color="auto"/>
            <w:left w:val="none" w:sz="0" w:space="0" w:color="auto"/>
            <w:bottom w:val="none" w:sz="0" w:space="0" w:color="auto"/>
            <w:right w:val="none" w:sz="0" w:space="0" w:color="auto"/>
          </w:divBdr>
        </w:div>
        <w:div w:id="1466695865">
          <w:marLeft w:val="1080"/>
          <w:marRight w:val="0"/>
          <w:marTop w:val="100"/>
          <w:marBottom w:val="0"/>
          <w:divBdr>
            <w:top w:val="none" w:sz="0" w:space="0" w:color="auto"/>
            <w:left w:val="none" w:sz="0" w:space="0" w:color="auto"/>
            <w:bottom w:val="none" w:sz="0" w:space="0" w:color="auto"/>
            <w:right w:val="none" w:sz="0" w:space="0" w:color="auto"/>
          </w:divBdr>
        </w:div>
        <w:div w:id="1530751918">
          <w:marLeft w:val="2520"/>
          <w:marRight w:val="0"/>
          <w:marTop w:val="100"/>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0980422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3164141">
      <w:bodyDiv w:val="1"/>
      <w:marLeft w:val="0"/>
      <w:marRight w:val="0"/>
      <w:marTop w:val="0"/>
      <w:marBottom w:val="0"/>
      <w:divBdr>
        <w:top w:val="none" w:sz="0" w:space="0" w:color="auto"/>
        <w:left w:val="none" w:sz="0" w:space="0" w:color="auto"/>
        <w:bottom w:val="none" w:sz="0" w:space="0" w:color="auto"/>
        <w:right w:val="none" w:sz="0" w:space="0" w:color="auto"/>
      </w:divBdr>
      <w:divsChild>
        <w:div w:id="2063942954">
          <w:marLeft w:val="360"/>
          <w:marRight w:val="0"/>
          <w:marTop w:val="200"/>
          <w:marBottom w:val="0"/>
          <w:divBdr>
            <w:top w:val="none" w:sz="0" w:space="0" w:color="auto"/>
            <w:left w:val="none" w:sz="0" w:space="0" w:color="auto"/>
            <w:bottom w:val="none" w:sz="0" w:space="0" w:color="auto"/>
            <w:right w:val="none" w:sz="0" w:space="0" w:color="auto"/>
          </w:divBdr>
        </w:div>
        <w:div w:id="1609116331">
          <w:marLeft w:val="1080"/>
          <w:marRight w:val="0"/>
          <w:marTop w:val="100"/>
          <w:marBottom w:val="0"/>
          <w:divBdr>
            <w:top w:val="none" w:sz="0" w:space="0" w:color="auto"/>
            <w:left w:val="none" w:sz="0" w:space="0" w:color="auto"/>
            <w:bottom w:val="none" w:sz="0" w:space="0" w:color="auto"/>
            <w:right w:val="none" w:sz="0" w:space="0" w:color="auto"/>
          </w:divBdr>
        </w:div>
        <w:div w:id="1694842828">
          <w:marLeft w:val="360"/>
          <w:marRight w:val="0"/>
          <w:marTop w:val="200"/>
          <w:marBottom w:val="0"/>
          <w:divBdr>
            <w:top w:val="none" w:sz="0" w:space="0" w:color="auto"/>
            <w:left w:val="none" w:sz="0" w:space="0" w:color="auto"/>
            <w:bottom w:val="none" w:sz="0" w:space="0" w:color="auto"/>
            <w:right w:val="none" w:sz="0" w:space="0" w:color="auto"/>
          </w:divBdr>
        </w:div>
        <w:div w:id="1375929899">
          <w:marLeft w:val="360"/>
          <w:marRight w:val="0"/>
          <w:marTop w:val="200"/>
          <w:marBottom w:val="0"/>
          <w:divBdr>
            <w:top w:val="none" w:sz="0" w:space="0" w:color="auto"/>
            <w:left w:val="none" w:sz="0" w:space="0" w:color="auto"/>
            <w:bottom w:val="none" w:sz="0" w:space="0" w:color="auto"/>
            <w:right w:val="none" w:sz="0" w:space="0" w:color="auto"/>
          </w:divBdr>
        </w:div>
        <w:div w:id="1462457677">
          <w:marLeft w:val="1080"/>
          <w:marRight w:val="0"/>
          <w:marTop w:val="100"/>
          <w:marBottom w:val="0"/>
          <w:divBdr>
            <w:top w:val="none" w:sz="0" w:space="0" w:color="auto"/>
            <w:left w:val="none" w:sz="0" w:space="0" w:color="auto"/>
            <w:bottom w:val="none" w:sz="0" w:space="0" w:color="auto"/>
            <w:right w:val="none" w:sz="0" w:space="0" w:color="auto"/>
          </w:divBdr>
        </w:div>
        <w:div w:id="483087410">
          <w:marLeft w:val="2520"/>
          <w:marRight w:val="0"/>
          <w:marTop w:val="1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05765656">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13485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6191529">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2784250">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646091">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1961941">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C4990-162E-4D37-82D2-8D0AAF86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8967</TotalTime>
  <Pages>2</Pages>
  <Words>837</Words>
  <Characters>4774</Characters>
  <Application>Microsoft Office Word</Application>
  <DocSecurity>0</DocSecurity>
  <Lines>39</Lines>
  <Paragraphs>11</Paragraphs>
  <ScaleCrop>false</ScaleCrop>
  <Company>HUAWEI</Company>
  <LinksUpToDate>false</LinksUpToDate>
  <CharactersWithSpaces>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143</cp:revision>
  <dcterms:created xsi:type="dcterms:W3CDTF">2019-09-18T02:52:00Z</dcterms:created>
  <dcterms:modified xsi:type="dcterms:W3CDTF">2021-05-11T12:29:00Z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(3)N7ri64izhZhg5gOFF2h1oTNas2gZAT3N/oGtg6BdIwUKNzgzQf6sW/sqdT7SAxDPJNj9E/sg
uFyphVgXE/oeDZ2FO4JVf1GY3NfpJXlKp/DDqVbWvlNq0zAM+lPpkxKKQCQ7Iv0idIxo1oL8
0C0gANknXpuyn/Bc1erBfIkR0Ew4iWM+w/jALLHfp3AEXtfTakAGmaO3tg56lU0qcLGEejoG
RfP2I8cYFWsCfMmK+Z</vt:lpwstr>
  </property>
  <property fmtid="{D5CDD505-2E9C-101B-9397-08002B2CF9AE}" pid="3" name="_2015_ms_pID_7253431">
    <vt:lpwstr>ON4CiLBZJ5A2CouuINU3bAaSWuLkuJOpaXRbBcKUhRD70pV5NW9muc
dTIVVWyypruKunVudb22cFXFYzvY9h5nDUObGrkFHCrpV8QMiOkZgjpMpxE1Khatg0ITRqnw
jjgqwrUG2IyggzB+Os/pnk2D5iMbbFnOSWFrWME3i8pL/AqHQG0Akq8QJqYeuaZGh9Q0qRt6
m0d8ISWVqfGqj/3Fu6WSvOjMoWHfxv3wsZqB</vt:lpwstr>
  </property>
  <property fmtid="{D5CDD505-2E9C-101B-9397-08002B2CF9AE}" pid="4" name="_2015_ms_pID_7253432">
    <vt:lpwstr>lwP6qlNwql8d5PAHnk/Z3p8=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