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5129E977"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sidR="00250687">
        <w:rPr>
          <w:rFonts w:eastAsia="宋体" w:cs="Arial"/>
          <w:lang w:eastAsia="zh-CN"/>
        </w:rPr>
        <w:t>9</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r w:rsidR="00714F2C">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714F2C">
        <w:rPr>
          <w:rFonts w:eastAsia="宋体" w:cs="Arial"/>
          <w:lang w:eastAsia="zh-CN"/>
        </w:rPr>
        <w:t>10004</w:t>
      </w:r>
      <w:r w:rsidRPr="00C94DBE">
        <w:rPr>
          <w:rFonts w:eastAsia="宋体" w:cs="Arial"/>
          <w:lang w:eastAsia="zh-CN"/>
        </w:rPr>
        <w:t xml:space="preserve">                                     </w:t>
      </w:r>
      <w:r>
        <w:rPr>
          <w:rFonts w:eastAsia="宋体" w:cs="Arial"/>
          <w:lang w:eastAsia="zh-CN"/>
        </w:rPr>
        <w:t xml:space="preserve">                             </w:t>
      </w:r>
    </w:p>
    <w:p w14:paraId="4D5D8709" w14:textId="79A56D9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w:t>
      </w:r>
      <w:r w:rsidR="00250687">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66BBFAC1"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71193F">
        <w:rPr>
          <w:rFonts w:ascii="Arial" w:eastAsia="宋体" w:hAnsi="Arial" w:cs="Arial"/>
          <w:b/>
          <w:noProof/>
          <w:kern w:val="0"/>
          <w:sz w:val="22"/>
          <w:szCs w:val="22"/>
          <w:lang w:val="en-GB"/>
        </w:rPr>
        <w:t>16</w:t>
      </w:r>
      <w:r w:rsidR="0066418A">
        <w:rPr>
          <w:rFonts w:ascii="Arial" w:eastAsia="宋体" w:hAnsi="Arial" w:cs="Arial"/>
          <w:b/>
          <w:noProof/>
          <w:kern w:val="0"/>
          <w:sz w:val="22"/>
          <w:szCs w:val="22"/>
          <w:lang w:val="en-GB"/>
        </w:rPr>
        <w:t>.</w:t>
      </w:r>
      <w:r w:rsidR="0071193F">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2440D87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41E5C79B"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71193F">
        <w:rPr>
          <w:rFonts w:ascii="Arial" w:eastAsia="宋体" w:hAnsi="Arial" w:cs="Arial"/>
          <w:b/>
          <w:noProof/>
          <w:kern w:val="0"/>
          <w:sz w:val="22"/>
          <w:lang w:val="en-GB"/>
        </w:rPr>
        <w:t xml:space="preserve">Discussion on </w:t>
      </w:r>
      <w:r w:rsidR="00707F7E">
        <w:rPr>
          <w:rFonts w:ascii="Arial" w:eastAsia="宋体" w:hAnsi="Arial" w:cs="Arial"/>
          <w:b/>
          <w:noProof/>
          <w:kern w:val="0"/>
          <w:sz w:val="22"/>
          <w:lang w:val="en-GB"/>
        </w:rPr>
        <w:t>enhancemnet on timing mode</w:t>
      </w:r>
      <w:r w:rsidR="0071193F">
        <w:rPr>
          <w:rFonts w:ascii="Arial" w:eastAsia="宋体" w:hAnsi="Arial" w:cs="Arial"/>
          <w:b/>
          <w:noProof/>
          <w:kern w:val="0"/>
          <w:sz w:val="22"/>
          <w:lang w:val="en-GB"/>
        </w:rPr>
        <w:t xml:space="preserve"> for IAB</w:t>
      </w:r>
      <w:r>
        <w:rPr>
          <w:rFonts w:ascii="Arial" w:eastAsia="宋体" w:hAnsi="Arial" w:cs="Arial"/>
          <w:b/>
          <w:noProof/>
          <w:kern w:val="0"/>
          <w:sz w:val="22"/>
          <w:lang w:val="en-GB"/>
        </w:rPr>
        <w:t xml:space="preserve">    </w:t>
      </w:r>
    </w:p>
    <w:p w14:paraId="460F64DD" w14:textId="57E0AD2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B321E1">
        <w:rPr>
          <w:rFonts w:ascii="Arial" w:eastAsia="宋体" w:hAnsi="Arial" w:cs="Arial"/>
          <w:b/>
          <w:noProof/>
          <w:kern w:val="0"/>
          <w:sz w:val="22"/>
          <w:szCs w:val="22"/>
          <w:lang w:val="en-GB"/>
        </w:rPr>
        <w:t xml:space="preserve">Discussion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2D8F3B05" w14:textId="79C49AE1" w:rsidR="004E338D" w:rsidRDefault="0071193F" w:rsidP="004E338D">
      <w:pPr>
        <w:rPr>
          <w:rFonts w:ascii="Calibri" w:hAnsi="Calibri" w:cs="Calibri"/>
          <w:iCs/>
          <w:szCs w:val="21"/>
        </w:rPr>
      </w:pPr>
      <w:r>
        <w:rPr>
          <w:rFonts w:ascii="Calibri" w:hAnsi="Calibri" w:cs="Calibri"/>
          <w:iCs/>
          <w:szCs w:val="21"/>
        </w:rPr>
        <w:t xml:space="preserve">In previous meeting discussion, it’s agreed to further discuss the RAN4 spec </w:t>
      </w:r>
      <w:r w:rsidR="00F43ADB">
        <w:rPr>
          <w:rFonts w:ascii="Calibri" w:hAnsi="Calibri" w:cs="Calibri"/>
          <w:iCs/>
          <w:szCs w:val="21"/>
        </w:rPr>
        <w:t xml:space="preserve">impact due to </w:t>
      </w:r>
      <w:r w:rsidR="001563EE">
        <w:rPr>
          <w:rFonts w:ascii="Calibri" w:hAnsi="Calibri" w:cs="Calibri"/>
          <w:iCs/>
          <w:szCs w:val="21"/>
        </w:rPr>
        <w:t>enhancement on timing mode for Rel-17 IAB [1]</w:t>
      </w:r>
      <w:r w:rsidR="00F43ADB">
        <w:rPr>
          <w:rFonts w:ascii="Calibri" w:hAnsi="Calibri" w:cs="Calibri"/>
          <w:iCs/>
          <w:szCs w:val="21"/>
        </w:rPr>
        <w:t xml:space="preserve">. This contribution shares more analysis on </w:t>
      </w:r>
      <w:r w:rsidR="001563EE">
        <w:rPr>
          <w:rFonts w:ascii="Calibri" w:hAnsi="Calibri" w:cs="Calibri"/>
          <w:iCs/>
          <w:szCs w:val="21"/>
        </w:rPr>
        <w:t>this topic with respect to RF perspective</w:t>
      </w:r>
      <w:r w:rsidR="00CE6440">
        <w:rPr>
          <w:rFonts w:ascii="Calibri" w:hAnsi="Calibri" w:cs="Calibri"/>
          <w:iCs/>
          <w:szCs w:val="21"/>
        </w:rPr>
        <w:t xml:space="preserve">. </w:t>
      </w:r>
    </w:p>
    <w:p w14:paraId="098BC1D4" w14:textId="0F746E9E" w:rsidR="00276C66" w:rsidRDefault="00276C66" w:rsidP="00276C66">
      <w:pPr>
        <w:pStyle w:val="1"/>
        <w:rPr>
          <w:rFonts w:cs="Arial"/>
          <w:lang w:eastAsia="zh-CN"/>
        </w:rPr>
      </w:pPr>
      <w:r>
        <w:rPr>
          <w:rFonts w:cs="Arial"/>
          <w:lang w:eastAsia="zh-CN"/>
        </w:rPr>
        <w:t xml:space="preserve">Discussion   </w:t>
      </w:r>
    </w:p>
    <w:p w14:paraId="18C8A1C3" w14:textId="44A1FC6C" w:rsidR="00707F7E" w:rsidRPr="001563EE" w:rsidRDefault="001563EE" w:rsidP="00707F7E">
      <w:r w:rsidRPr="001563EE">
        <w:t xml:space="preserve">As summarized in </w:t>
      </w:r>
      <w:r>
        <w:t xml:space="preserve">[2], regarding timing mode RAN1 currently has below agreement. </w:t>
      </w:r>
    </w:p>
    <w:tbl>
      <w:tblPr>
        <w:tblStyle w:val="a6"/>
        <w:tblW w:w="0" w:type="auto"/>
        <w:tblLook w:val="04A0" w:firstRow="1" w:lastRow="0" w:firstColumn="1" w:lastColumn="0" w:noHBand="0" w:noVBand="1"/>
      </w:tblPr>
      <w:tblGrid>
        <w:gridCol w:w="10456"/>
      </w:tblGrid>
      <w:tr w:rsidR="00707F7E" w14:paraId="3C9E9923" w14:textId="77777777" w:rsidTr="00CB3A13">
        <w:tc>
          <w:tcPr>
            <w:tcW w:w="10456" w:type="dxa"/>
          </w:tcPr>
          <w:p w14:paraId="63F2712E" w14:textId="77777777" w:rsidR="00707F7E" w:rsidRPr="007B327B" w:rsidRDefault="00707F7E" w:rsidP="00CB3A13">
            <w:pPr>
              <w:rPr>
                <w:rFonts w:ascii="Times New Roman" w:hAnsi="Times New Roman" w:cs="Times New Roman"/>
                <w:b/>
                <w:bCs/>
                <w:highlight w:val="green"/>
                <w:lang w:eastAsia="x-none"/>
              </w:rPr>
            </w:pPr>
            <w:r w:rsidRPr="007B327B">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w:t>
            </w:r>
          </w:p>
          <w:p w14:paraId="66ECEC84" w14:textId="77777777" w:rsidR="00707F7E" w:rsidRPr="007B327B" w:rsidRDefault="00707F7E" w:rsidP="00CB3A13">
            <w:pPr>
              <w:rPr>
                <w:rFonts w:ascii="Times New Roman" w:hAnsi="Times New Roman" w:cs="Times New Roman"/>
                <w:lang w:eastAsia="x-none"/>
              </w:rPr>
            </w:pPr>
            <w:r w:rsidRPr="007B327B">
              <w:rPr>
                <w:rFonts w:ascii="Times New Roman" w:hAnsi="Times New Roman" w:cs="Times New Roman"/>
                <w:lang w:eastAsia="x-none"/>
              </w:rPr>
              <w:t>Case 7 timing is supported with symbol level alignment without explicit support for slot level alignment</w:t>
            </w:r>
          </w:p>
          <w:p w14:paraId="2A3A78FE" w14:textId="77777777" w:rsidR="00707F7E" w:rsidRPr="007B327B" w:rsidRDefault="00707F7E" w:rsidP="00CB3A13">
            <w:pPr>
              <w:rPr>
                <w:rFonts w:ascii="Times New Roman" w:hAnsi="Times New Roman" w:cs="Times New Roman"/>
                <w:szCs w:val="20"/>
              </w:rPr>
            </w:pPr>
            <w:r w:rsidRPr="007B327B">
              <w:rPr>
                <w:rStyle w:val="afa"/>
                <w:rFonts w:ascii="Times New Roman" w:hAnsi="Times New Roman" w:cs="Times New Roman"/>
                <w:szCs w:val="20"/>
                <w:highlight w:val="green"/>
                <w:lang w:eastAsia="x-none"/>
              </w:rPr>
              <w:t>Agre</w:t>
            </w:r>
            <w:r w:rsidRPr="00AB11DF">
              <w:rPr>
                <w:rStyle w:val="afa"/>
                <w:rFonts w:ascii="Times New Roman" w:hAnsi="Times New Roman" w:cs="Times New Roman"/>
                <w:szCs w:val="20"/>
                <w:highlight w:val="green"/>
                <w:lang w:eastAsia="x-none"/>
              </w:rPr>
              <w:t>ement in RAN1</w:t>
            </w:r>
          </w:p>
          <w:p w14:paraId="2040777A" w14:textId="77777777" w:rsidR="00707F7E" w:rsidRPr="007B327B" w:rsidRDefault="00707F7E" w:rsidP="00CB3A13">
            <w:pPr>
              <w:rPr>
                <w:rFonts w:ascii="Times New Roman" w:hAnsi="Times New Roman" w:cs="Times New Roman"/>
                <w:szCs w:val="20"/>
              </w:rPr>
            </w:pPr>
            <w:r w:rsidRPr="007B327B">
              <w:rPr>
                <w:rFonts w:ascii="Times New Roman" w:hAnsi="Times New Roman" w:cs="Times New Roman"/>
                <w:szCs w:val="20"/>
              </w:rPr>
              <w:t>Switching between Case 1, Case 6, and Case 7 timing is supported.</w:t>
            </w:r>
          </w:p>
          <w:p w14:paraId="64343692" w14:textId="77777777" w:rsidR="00707F7E" w:rsidRPr="007B327B" w:rsidRDefault="00707F7E" w:rsidP="00CB3A13">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whether Case 6 and Case 7 timing shall be restricted to certain resources, e.g. excluding resources used for access or TDM backhaul</w:t>
            </w:r>
          </w:p>
          <w:p w14:paraId="421E622B" w14:textId="77777777" w:rsidR="00707F7E" w:rsidRPr="007B327B" w:rsidRDefault="00707F7E" w:rsidP="00CB3A13">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details on switching including the switching conditions</w:t>
            </w:r>
          </w:p>
          <w:p w14:paraId="22A8F160" w14:textId="77777777" w:rsidR="00707F7E" w:rsidRPr="007B327B" w:rsidRDefault="00707F7E" w:rsidP="00CB3A13">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relationship between switching timing modes with the usage/indication of different resource multiplexing modes</w:t>
            </w:r>
          </w:p>
          <w:p w14:paraId="4640BCFA" w14:textId="77777777" w:rsidR="00707F7E" w:rsidRPr="00AE2902" w:rsidRDefault="00707F7E" w:rsidP="00CB3A13">
            <w:pPr>
              <w:widowControl/>
              <w:numPr>
                <w:ilvl w:val="0"/>
                <w:numId w:val="7"/>
              </w:numPr>
              <w:jc w:val="left"/>
              <w:rPr>
                <w:rFonts w:cs="Times"/>
                <w:szCs w:val="20"/>
              </w:rPr>
            </w:pPr>
            <w:r w:rsidRPr="007B327B">
              <w:rPr>
                <w:rFonts w:ascii="Times New Roman" w:hAnsi="Times New Roman" w:cs="Times New Roman"/>
                <w:szCs w:val="20"/>
              </w:rPr>
              <w:t>FFS whether Rel-16 OTA synchronization shall be enhanced to support switching timing modes</w:t>
            </w:r>
          </w:p>
        </w:tc>
      </w:tr>
    </w:tbl>
    <w:p w14:paraId="6947DB57" w14:textId="77777777" w:rsidR="00B11D30" w:rsidRDefault="004C60E9" w:rsidP="00707F7E">
      <w:r>
        <w:rPr>
          <w:rFonts w:hint="eastAsia"/>
        </w:rPr>
        <w:t>Fo</w:t>
      </w:r>
      <w:r>
        <w:t xml:space="preserve">r switching between </w:t>
      </w:r>
      <w:r w:rsidRPr="004C60E9">
        <w:t>Case 1, Case 6, and Case 7 timing</w:t>
      </w:r>
      <w:r>
        <w:t xml:space="preserve">, even though it is agreed to be supported by Rel-17 IAB in RAN1, there are almost all open in details for further study. Hence RAN4 cannot proceed with the discussion on this aspect until consolidated RAN1 progress. This area will not be touched in this contribution considering current situation. </w:t>
      </w:r>
    </w:p>
    <w:p w14:paraId="6268B9B2" w14:textId="106D2EBA" w:rsidR="00B11D30" w:rsidRDefault="00B11D30" w:rsidP="00707F7E">
      <w:r w:rsidRPr="00B11D30">
        <w:rPr>
          <w:b/>
        </w:rPr>
        <w:t>Observation 1</w:t>
      </w:r>
      <w:r>
        <w:t xml:space="preserve">: more RAN1 input is needed to proceed RAN4 discussion on requirement impact due to switching between Case 1, Case 6 and Case 7 timing is supporting. </w:t>
      </w:r>
    </w:p>
    <w:p w14:paraId="47A64A52" w14:textId="77777777" w:rsidR="00B11D30" w:rsidRDefault="00B11D30" w:rsidP="00707F7E"/>
    <w:p w14:paraId="2B65B725" w14:textId="035E1023" w:rsidR="00707F7E" w:rsidRPr="00032537" w:rsidRDefault="004C60E9" w:rsidP="00707F7E">
      <w:r>
        <w:t>What can be taken as start</w:t>
      </w:r>
      <w:r w:rsidR="007F6340">
        <w:t xml:space="preserve"> currently</w:t>
      </w:r>
      <w:r>
        <w:t xml:space="preserve"> </w:t>
      </w:r>
      <w:r w:rsidR="00B11D30">
        <w:t xml:space="preserve">for timing mode enhancement </w:t>
      </w:r>
      <w:r>
        <w:t xml:space="preserve">would be discussion on requirement impact due to individual timing mode. And this contribution will focus discussion on this perspective. </w:t>
      </w:r>
      <w:r w:rsidR="00707F7E" w:rsidRPr="00032537">
        <w:rPr>
          <w:rFonts w:hint="eastAsia"/>
        </w:rPr>
        <w:t>T</w:t>
      </w:r>
      <w:r w:rsidR="00707F7E" w:rsidRPr="00032537">
        <w:t xml:space="preserve">he definition on each timing </w:t>
      </w:r>
      <w:r w:rsidR="00707F7E">
        <w:t xml:space="preserve">model </w:t>
      </w:r>
      <w:r w:rsidR="00707F7E" w:rsidRPr="00032537">
        <w:t>case is stated in TR38.874 as below:</w:t>
      </w:r>
    </w:p>
    <w:tbl>
      <w:tblPr>
        <w:tblStyle w:val="a6"/>
        <w:tblW w:w="0" w:type="auto"/>
        <w:tblLook w:val="04A0" w:firstRow="1" w:lastRow="0" w:firstColumn="1" w:lastColumn="0" w:noHBand="0" w:noVBand="1"/>
      </w:tblPr>
      <w:tblGrid>
        <w:gridCol w:w="10456"/>
      </w:tblGrid>
      <w:tr w:rsidR="00707F7E" w14:paraId="202171CB" w14:textId="77777777" w:rsidTr="00CB3A13">
        <w:tc>
          <w:tcPr>
            <w:tcW w:w="10456" w:type="dxa"/>
          </w:tcPr>
          <w:p w14:paraId="782FE1B3" w14:textId="77777777" w:rsidR="00707F7E" w:rsidRPr="007B327B" w:rsidRDefault="00707F7E" w:rsidP="00CB3A13">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#1: DL transmission timing alignment across IAB-nodes and IAB-donors</w:t>
            </w:r>
            <w:r w:rsidRPr="007B327B">
              <w:rPr>
                <w:rFonts w:eastAsia="Malgun Gothic"/>
                <w:sz w:val="21"/>
                <w:szCs w:val="21"/>
                <w:lang w:eastAsia="ko-KR"/>
              </w:rPr>
              <w:t>:</w:t>
            </w:r>
          </w:p>
          <w:p w14:paraId="5FF2995F" w14:textId="77777777" w:rsidR="00707F7E" w:rsidRPr="007B327B" w:rsidRDefault="00707F7E" w:rsidP="00CB3A13">
            <w:pPr>
              <w:pStyle w:val="B2"/>
              <w:jc w:val="both"/>
              <w:rPr>
                <w:rFonts w:eastAsia="MS Mincho"/>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rFonts w:eastAsia="MS Mincho"/>
                <w:sz w:val="21"/>
                <w:szCs w:val="21"/>
              </w:rPr>
              <w:t>If DL TX and UL RX are not well aligned at the parent node, additional information about the alignment is needed for the child node to properly set its DL TX timing for OTA based timing &amp; synchronization</w:t>
            </w:r>
            <w:r w:rsidRPr="007B327B">
              <w:rPr>
                <w:rFonts w:eastAsia="Malgun Gothic"/>
                <w:sz w:val="21"/>
                <w:szCs w:val="21"/>
                <w:lang w:eastAsia="ko-KR"/>
              </w:rPr>
              <w:t>.</w:t>
            </w:r>
          </w:p>
          <w:p w14:paraId="78F2A966" w14:textId="77777777" w:rsidR="00707F7E" w:rsidRPr="007B327B" w:rsidRDefault="00707F7E" w:rsidP="00CB3A13">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#6 (Case#1 DL transmission timing + Case #2 UL transmission timing):</w:t>
            </w:r>
          </w:p>
          <w:p w14:paraId="1059B0BC" w14:textId="77777777" w:rsidR="00707F7E" w:rsidRPr="007B327B" w:rsidRDefault="00707F7E" w:rsidP="00CB3A1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5BDDC761" w14:textId="77777777" w:rsidR="00707F7E" w:rsidRPr="007B327B" w:rsidRDefault="00707F7E" w:rsidP="00CB3A1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UL transmission timing of an IAB-node can be aligned with the IAB-node's DL transmission timing</w:t>
            </w:r>
            <w:r w:rsidRPr="007B327B">
              <w:rPr>
                <w:rFonts w:eastAsia="Malgun Gothic"/>
                <w:sz w:val="21"/>
                <w:szCs w:val="21"/>
                <w:lang w:eastAsia="ko-KR"/>
              </w:rPr>
              <w:t>.</w:t>
            </w:r>
          </w:p>
          <w:p w14:paraId="6636BF16" w14:textId="77777777" w:rsidR="00707F7E" w:rsidRPr="007B327B" w:rsidRDefault="00707F7E" w:rsidP="00CB3A13">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#7 (Case#1 DL transmission timing + Case #3 UL reception timing):</w:t>
            </w:r>
          </w:p>
          <w:p w14:paraId="5D4D8994" w14:textId="77777777" w:rsidR="00707F7E" w:rsidRPr="007B327B" w:rsidRDefault="00707F7E" w:rsidP="00CB3A13">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02A3E3C3" w14:textId="77777777" w:rsidR="00707F7E" w:rsidRPr="007B327B" w:rsidRDefault="00707F7E" w:rsidP="00CB3A13">
            <w:pPr>
              <w:pStyle w:val="B2"/>
              <w:jc w:val="both"/>
              <w:rPr>
                <w:rFonts w:eastAsia="Malgun Gothic"/>
                <w:sz w:val="21"/>
                <w:szCs w:val="21"/>
                <w:lang w:eastAsia="ko-KR"/>
              </w:rPr>
            </w:pPr>
            <w:r w:rsidRPr="007B327B">
              <w:rPr>
                <w:rFonts w:eastAsia="Malgun Gothic"/>
                <w:sz w:val="21"/>
                <w:szCs w:val="21"/>
                <w:lang w:eastAsia="ko-KR"/>
              </w:rPr>
              <w:lastRenderedPageBreak/>
              <w:t>-</w:t>
            </w:r>
            <w:r w:rsidRPr="007B327B">
              <w:rPr>
                <w:rFonts w:eastAsia="Malgun Gothic"/>
                <w:sz w:val="21"/>
                <w:szCs w:val="21"/>
                <w:lang w:eastAsia="ko-KR"/>
              </w:rPr>
              <w:tab/>
            </w:r>
            <w:r w:rsidRPr="007B327B">
              <w:rPr>
                <w:sz w:val="21"/>
                <w:szCs w:val="21"/>
              </w:rPr>
              <w:t>The UL reception timing of an IAB-node can be aligned with the IAB-node's DL reception timing</w:t>
            </w:r>
            <w:r w:rsidRPr="007B327B">
              <w:rPr>
                <w:rFonts w:eastAsia="Malgun Gothic"/>
                <w:sz w:val="21"/>
                <w:szCs w:val="21"/>
                <w:lang w:eastAsia="ko-KR"/>
              </w:rPr>
              <w:t>;</w:t>
            </w:r>
          </w:p>
          <w:p w14:paraId="64656004" w14:textId="77777777" w:rsidR="00707F7E" w:rsidRPr="00032537" w:rsidRDefault="00707F7E" w:rsidP="00CB3A13">
            <w:pPr>
              <w:pStyle w:val="B2"/>
              <w:jc w:val="both"/>
            </w:pPr>
            <w:r w:rsidRPr="007B327B">
              <w:rPr>
                <w:rFonts w:eastAsia="Malgun Gothic"/>
                <w:iCs/>
                <w:color w:val="0D0D0D"/>
                <w:sz w:val="21"/>
                <w:szCs w:val="21"/>
                <w:lang w:eastAsia="ko-KR"/>
              </w:rPr>
              <w:t>-</w:t>
            </w:r>
            <w:r w:rsidRPr="007B327B">
              <w:rPr>
                <w:rFonts w:eastAsia="Malgun Gothic"/>
                <w:iCs/>
                <w:color w:val="0D0D0D"/>
                <w:sz w:val="21"/>
                <w:szCs w:val="21"/>
                <w:lang w:eastAsia="ko-KR"/>
              </w:rPr>
              <w:tab/>
            </w:r>
            <w:r w:rsidRPr="007B327B">
              <w:rPr>
                <w:rFonts w:eastAsia="MS Mincho"/>
                <w:iCs/>
                <w:color w:val="0D0D0D"/>
                <w:sz w:val="21"/>
                <w:szCs w:val="21"/>
              </w:rPr>
              <w:t>If DL TX and UL RX are not well aligned at the parent node, additional information about the alignment is needed for the child node to properly set its DL TX timing for OTA based timing &amp; synchronization</w:t>
            </w:r>
            <w:r w:rsidRPr="007B327B">
              <w:rPr>
                <w:rFonts w:eastAsia="Malgun Gothic"/>
                <w:iCs/>
                <w:color w:val="0D0D0D"/>
                <w:sz w:val="21"/>
                <w:szCs w:val="21"/>
                <w:lang w:eastAsia="ko-KR"/>
              </w:rPr>
              <w:t>.</w:t>
            </w:r>
          </w:p>
        </w:tc>
      </w:tr>
    </w:tbl>
    <w:p w14:paraId="7AF06352" w14:textId="5BAFDA7F" w:rsidR="0012750F" w:rsidRDefault="00420516" w:rsidP="0012750F">
      <w:r>
        <w:lastRenderedPageBreak/>
        <w:t>For timing</w:t>
      </w:r>
      <w:r w:rsidR="003F76E1">
        <w:t xml:space="preserve"> mode</w:t>
      </w:r>
      <w:r w:rsidR="00707F7E" w:rsidRPr="0014018E">
        <w:t xml:space="preserve"> Case </w:t>
      </w:r>
      <w:r>
        <w:t>#</w:t>
      </w:r>
      <w:r w:rsidR="00707F7E" w:rsidRPr="0014018E">
        <w:t>1</w:t>
      </w:r>
      <w:r>
        <w:t>,</w:t>
      </w:r>
      <w:r w:rsidR="00707F7E" w:rsidRPr="0014018E">
        <w:t xml:space="preserve"> RAN4 have already studied the scheme based on RAN1 conclusion and corresponding cell phase synchronizati</w:t>
      </w:r>
      <w:r w:rsidR="00707F7E">
        <w:t>on accuracy defined for IAB-DU in Rel-16</w:t>
      </w:r>
      <w:r w:rsidR="00707F7E" w:rsidRPr="0014018E">
        <w:t xml:space="preserve">. </w:t>
      </w:r>
      <w:r w:rsidR="0012750F">
        <w:t>Considering cell phase synchronization accuracy belongs to RRM scope, no RF requirement impact due to support of timing mode case #1 since Rel-16.</w:t>
      </w:r>
    </w:p>
    <w:p w14:paraId="3F732D31" w14:textId="68610F1E" w:rsidR="0012750F" w:rsidRDefault="0012750F" w:rsidP="0012750F">
      <w:r w:rsidRPr="005B2DB7">
        <w:rPr>
          <w:b/>
        </w:rPr>
        <w:t>Observation 2</w:t>
      </w:r>
      <w:r>
        <w:t xml:space="preserve">: To support timing case #1, only RRM requirement was implicated in </w:t>
      </w:r>
      <w:r w:rsidR="005B2DB7">
        <w:t xml:space="preserve">rel-16 study without any impact on RF requirement. </w:t>
      </w:r>
    </w:p>
    <w:p w14:paraId="6E8DD9AC" w14:textId="77777777" w:rsidR="005B2DB7" w:rsidRDefault="005B2DB7" w:rsidP="0012750F"/>
    <w:p w14:paraId="7E36CD15" w14:textId="4438275D" w:rsidR="003F76E1" w:rsidRDefault="003F76E1" w:rsidP="0012750F">
      <w:r>
        <w:t>For timing mode Case#</w:t>
      </w:r>
      <w:r w:rsidR="00707F7E" w:rsidRPr="0014018E">
        <w:t>6</w:t>
      </w:r>
      <w:r>
        <w:t xml:space="preserve"> shown in figure 1</w:t>
      </w:r>
      <w:r w:rsidR="00707F7E" w:rsidRPr="0014018E">
        <w:t xml:space="preserve">, </w:t>
      </w:r>
      <w:r>
        <w:t xml:space="preserve">that is combined DL synchronized transmission with parent node as case #1 and scenario 1 operation within target IAB node as numbered in [3]. </w:t>
      </w:r>
      <w:r w:rsidRPr="0014018E">
        <w:t>UL timing of IAB-MT can be configured by parent IAB or donor gNB as IAB-MT timing related requirements have been specified in RRM as well in Rel-16.</w:t>
      </w:r>
      <w:r w:rsidR="00720E9E">
        <w:t xml:space="preserve"> For intra IAB node synchronized between IAB-MT and IAB-DU, how to achieve the synchronized operation should allow implementation flexibility. </w:t>
      </w:r>
      <w:r w:rsidR="00F0161F">
        <w:t>From RF perspective the only requirement related to timing is TAE which is only defined for IAB-DU currently. However, the motivation for this requirement is to ensure UE successful reception with the time alignment error between two signal sources. While the IAB-MT and IAB-DU should transmit to different receiver as one to parent link and one to child link. Consequently, no receiver is expected to</w:t>
      </w:r>
      <w:r w:rsidR="00B321E1">
        <w:t xml:space="preserve"> take signal from</w:t>
      </w:r>
      <w:r w:rsidR="00F0161F">
        <w:t xml:space="preserve"> both IAB-MT and </w:t>
      </w:r>
      <w:r w:rsidR="00B321E1">
        <w:t>IAB-DU. Hence there is no necessity to define additional TAE requirement between IAB-DU and IAB-MT.</w:t>
      </w:r>
    </w:p>
    <w:p w14:paraId="394B039C" w14:textId="09B4CE67" w:rsidR="00B321E1" w:rsidRDefault="00B321E1" w:rsidP="0012750F">
      <w:r w:rsidRPr="00B321E1">
        <w:rPr>
          <w:b/>
        </w:rPr>
        <w:t>Observation 3</w:t>
      </w:r>
      <w:r>
        <w:t xml:space="preserve">: To support timing case#6, no RF requirement impact is anticipated. </w:t>
      </w:r>
    </w:p>
    <w:p w14:paraId="3F6C4954" w14:textId="77777777" w:rsidR="003F76E1" w:rsidRDefault="003F76E1" w:rsidP="003F76E1">
      <w:pPr>
        <w:jc w:val="center"/>
        <w:rPr>
          <w:rFonts w:ascii="Arial" w:hAnsi="Arial" w:cs="Arial"/>
          <w:b/>
          <w:sz w:val="18"/>
          <w:szCs w:val="18"/>
        </w:rPr>
      </w:pPr>
      <w:r>
        <w:rPr>
          <w:noProof/>
        </w:rPr>
        <mc:AlternateContent>
          <mc:Choice Requires="wps">
            <w:drawing>
              <wp:anchor distT="0" distB="0" distL="114300" distR="114300" simplePos="0" relativeHeight="251659264" behindDoc="0" locked="0" layoutInCell="1" allowOverlap="1" wp14:anchorId="22AF58F4" wp14:editId="1E851500">
                <wp:simplePos x="0" y="0"/>
                <wp:positionH relativeFrom="column">
                  <wp:posOffset>1723292</wp:posOffset>
                </wp:positionH>
                <wp:positionV relativeFrom="paragraph">
                  <wp:posOffset>259275</wp:posOffset>
                </wp:positionV>
                <wp:extent cx="548640" cy="450167"/>
                <wp:effectExtent l="38100" t="0" r="22860" b="64770"/>
                <wp:wrapNone/>
                <wp:docPr id="1" name="直接箭头连接符 1"/>
                <wp:cNvGraphicFramePr/>
                <a:graphic xmlns:a="http://schemas.openxmlformats.org/drawingml/2006/main">
                  <a:graphicData uri="http://schemas.microsoft.com/office/word/2010/wordprocessingShape">
                    <wps:wsp>
                      <wps:cNvCnPr/>
                      <wps:spPr>
                        <a:xfrm flipH="1">
                          <a:off x="0" y="0"/>
                          <a:ext cx="548640" cy="45016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050EFA" id="_x0000_t32" coordsize="21600,21600" o:spt="32" o:oned="t" path="m,l21600,21600e" filled="f">
                <v:path arrowok="t" fillok="f" o:connecttype="none"/>
                <o:lock v:ext="edit" shapetype="t"/>
              </v:shapetype>
              <v:shape id="直接箭头连接符 1" o:spid="_x0000_s1026" type="#_x0000_t32" style="position:absolute;left:0;text-align:left;margin-left:135.7pt;margin-top:20.4pt;width:43.2pt;height:35.4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" strokecolor="#5b9bd5 [3204]" strokeweight=".5pt">
                <v:stroke endarrow="block" joinstyle="miter"/>
              </v:shape>
            </w:pict>
          </mc:Fallback>
        </mc:AlternateContent>
      </w:r>
      <w:r>
        <w:rPr>
          <w:noProof/>
        </w:rPr>
        <w:drawing>
          <wp:inline distT="0" distB="0" distL="0" distR="0" wp14:anchorId="36743780" wp14:editId="2381FA80">
            <wp:extent cx="2475914" cy="895447"/>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6072" cy="906354"/>
                    </a:xfrm>
                    <a:prstGeom prst="rect">
                      <a:avLst/>
                    </a:prstGeom>
                    <a:noFill/>
                    <a:ln>
                      <a:noFill/>
                    </a:ln>
                  </pic:spPr>
                </pic:pic>
              </a:graphicData>
            </a:graphic>
          </wp:inline>
        </w:drawing>
      </w:r>
      <w:r w:rsidRPr="003F76E1">
        <w:rPr>
          <w:rFonts w:ascii="Arial" w:hAnsi="Arial" w:cs="Arial"/>
          <w:b/>
          <w:sz w:val="18"/>
          <w:szCs w:val="18"/>
        </w:rPr>
        <w:t xml:space="preserve"> </w:t>
      </w:r>
    </w:p>
    <w:p w14:paraId="4C73C18A" w14:textId="220F586D" w:rsidR="003F76E1" w:rsidRDefault="003F76E1" w:rsidP="003F76E1">
      <w:pPr>
        <w:jc w:val="center"/>
      </w:pPr>
      <w:r>
        <w:rPr>
          <w:rFonts w:ascii="Arial" w:hAnsi="Arial" w:cs="Arial"/>
          <w:b/>
          <w:sz w:val="18"/>
          <w:szCs w:val="18"/>
        </w:rPr>
        <w:t>Figure</w:t>
      </w:r>
      <w:r w:rsidRPr="004E0FF0">
        <w:rPr>
          <w:rFonts w:ascii="Arial" w:hAnsi="Arial" w:cs="Arial"/>
          <w:b/>
          <w:sz w:val="18"/>
          <w:szCs w:val="18"/>
        </w:rPr>
        <w:t>1</w:t>
      </w:r>
      <w:r w:rsidRPr="004E0FF0">
        <w:rPr>
          <w:rFonts w:ascii="Arial" w:hAnsi="Arial" w:cs="Arial"/>
          <w:sz w:val="18"/>
          <w:szCs w:val="18"/>
        </w:rPr>
        <w:t>: simultaneous IAB-MT TX and IAB-DU TX</w:t>
      </w:r>
    </w:p>
    <w:p w14:paraId="339B3FCE" w14:textId="25365BB0" w:rsidR="00EF5B22" w:rsidRDefault="00A574F3" w:rsidP="0012750F">
      <w:r>
        <w:t>For timing mode Case#7 shown in figure 1</w:t>
      </w:r>
      <w:r w:rsidRPr="0014018E">
        <w:t xml:space="preserve">, </w:t>
      </w:r>
      <w:r>
        <w:t>that is combined DL synchronized transmission with parent node as case #1 and scenario 2 operation within target IAB node as numbered in [3].</w:t>
      </w:r>
      <w:r w:rsidR="00707F7E" w:rsidRPr="0014018E">
        <w:t xml:space="preserve"> It’s supposed that if no further enhancement introduced in RAN1 there is no need to defined additional</w:t>
      </w:r>
      <w:r>
        <w:t xml:space="preserve"> RF</w:t>
      </w:r>
      <w:r w:rsidR="00707F7E" w:rsidRPr="0014018E">
        <w:t xml:space="preserve"> requirement</w:t>
      </w:r>
      <w:r w:rsidR="00707F7E">
        <w:t xml:space="preserve"> for </w:t>
      </w:r>
      <w:r>
        <w:t>this</w:t>
      </w:r>
      <w:r w:rsidR="00707F7E">
        <w:t xml:space="preserve"> case </w:t>
      </w:r>
      <w:r>
        <w:t xml:space="preserve">as well. </w:t>
      </w:r>
      <w:r w:rsidR="00707F7E">
        <w:t xml:space="preserve"> </w:t>
      </w:r>
    </w:p>
    <w:p w14:paraId="6F4ECD9F" w14:textId="3637763C" w:rsidR="00A574F3" w:rsidRPr="00A574F3" w:rsidRDefault="00A574F3" w:rsidP="0012750F">
      <w:r w:rsidRPr="00B321E1">
        <w:rPr>
          <w:b/>
        </w:rPr>
        <w:t xml:space="preserve">Observation </w:t>
      </w:r>
      <w:r>
        <w:rPr>
          <w:b/>
        </w:rPr>
        <w:t>4</w:t>
      </w:r>
      <w:r>
        <w:t xml:space="preserve">: To support timing case#7, no RF requirement impact is anticipated. </w:t>
      </w:r>
    </w:p>
    <w:p w14:paraId="371519BC" w14:textId="3F891C7C" w:rsidR="00A574F3" w:rsidRDefault="00A574F3" w:rsidP="00A574F3">
      <w:pPr>
        <w:jc w:val="center"/>
      </w:pPr>
      <w:r>
        <w:rPr>
          <w:noProof/>
        </w:rPr>
        <w:drawing>
          <wp:inline distT="0" distB="0" distL="0" distR="0" wp14:anchorId="0A169D10" wp14:editId="20942463">
            <wp:extent cx="2595489" cy="9033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1416" cy="912377"/>
                    </a:xfrm>
                    <a:prstGeom prst="rect">
                      <a:avLst/>
                    </a:prstGeom>
                    <a:noFill/>
                    <a:ln>
                      <a:noFill/>
                    </a:ln>
                  </pic:spPr>
                </pic:pic>
              </a:graphicData>
            </a:graphic>
          </wp:inline>
        </w:drawing>
      </w:r>
    </w:p>
    <w:p w14:paraId="6E44BEEE" w14:textId="0FBF8D4F" w:rsidR="00A574F3" w:rsidRDefault="00A574F3" w:rsidP="00A574F3">
      <w:pPr>
        <w:jc w:val="center"/>
        <w:rPr>
          <w:rFonts w:ascii="Arial" w:hAnsi="Arial" w:cs="Arial"/>
          <w:sz w:val="18"/>
          <w:szCs w:val="18"/>
        </w:rPr>
      </w:pPr>
      <w:r>
        <w:rPr>
          <w:rFonts w:ascii="Arial" w:hAnsi="Arial" w:cs="Arial"/>
          <w:b/>
          <w:sz w:val="18"/>
          <w:szCs w:val="18"/>
        </w:rPr>
        <w:t>Figure</w:t>
      </w:r>
      <w:r w:rsidRPr="001F57F3">
        <w:rPr>
          <w:rFonts w:ascii="Arial" w:hAnsi="Arial" w:cs="Arial"/>
          <w:b/>
          <w:sz w:val="18"/>
          <w:szCs w:val="18"/>
        </w:rPr>
        <w:t>2</w:t>
      </w:r>
      <w:r w:rsidRPr="004E0FF0">
        <w:rPr>
          <w:rFonts w:ascii="Arial" w:hAnsi="Arial" w:cs="Arial"/>
          <w:sz w:val="18"/>
          <w:szCs w:val="18"/>
        </w:rPr>
        <w:t>: simultaneous IAB-MT RX and IAB-DU RX</w:t>
      </w:r>
    </w:p>
    <w:p w14:paraId="5DFA8861" w14:textId="77777777" w:rsidR="00A574F3" w:rsidRPr="0012750F" w:rsidRDefault="00A574F3" w:rsidP="00A574F3">
      <w:pPr>
        <w:jc w:val="center"/>
      </w:pPr>
    </w:p>
    <w:p w14:paraId="18F5ECEF" w14:textId="43044E9F" w:rsidR="00276C66" w:rsidRDefault="00276C66" w:rsidP="00276C66">
      <w:pPr>
        <w:pStyle w:val="1"/>
        <w:rPr>
          <w:rFonts w:cs="Arial"/>
          <w:lang w:eastAsia="zh-CN"/>
        </w:rPr>
      </w:pPr>
      <w:r>
        <w:rPr>
          <w:rFonts w:cs="Arial"/>
          <w:lang w:eastAsia="zh-CN"/>
        </w:rPr>
        <w:t xml:space="preserve">Conclusion    </w:t>
      </w:r>
    </w:p>
    <w:p w14:paraId="35021ECC" w14:textId="00FEDC65" w:rsidR="00223C0E" w:rsidRPr="00223C0E" w:rsidRDefault="00223C0E" w:rsidP="00223C0E">
      <w:pPr>
        <w:rPr>
          <w:lang w:val="en-GB"/>
        </w:rPr>
      </w:pPr>
      <w:r>
        <w:rPr>
          <w:rFonts w:hint="eastAsia"/>
          <w:lang w:val="en-GB"/>
        </w:rPr>
        <w:t>T</w:t>
      </w:r>
      <w:r>
        <w:rPr>
          <w:lang w:val="en-GB"/>
        </w:rPr>
        <w:t xml:space="preserve">his contribution provides further discussion on Rel-17 IAB enhancement on timing mode. According to discussion we have below observations: </w:t>
      </w:r>
    </w:p>
    <w:p w14:paraId="3AE5B61E" w14:textId="77777777" w:rsidR="00B321E1" w:rsidRDefault="00B321E1" w:rsidP="00B321E1">
      <w:r w:rsidRPr="00B11D30">
        <w:rPr>
          <w:b/>
        </w:rPr>
        <w:t>Observation 1</w:t>
      </w:r>
      <w:r>
        <w:t xml:space="preserve">: more RAN1 input is needed to proceed RAN4 discussion on requirement impact due to switching between Case 1, Case 6 and Case 7 timing is supporting. </w:t>
      </w:r>
    </w:p>
    <w:p w14:paraId="4E4B28BB" w14:textId="77777777" w:rsidR="00B321E1" w:rsidRDefault="00B321E1" w:rsidP="00B321E1">
      <w:r w:rsidRPr="005B2DB7">
        <w:rPr>
          <w:b/>
        </w:rPr>
        <w:t>Observation 2</w:t>
      </w:r>
      <w:r>
        <w:t xml:space="preserve">: To support timing case #1, only RRM requirement was implicated in rel-16 study without any impact on RF requirement. </w:t>
      </w:r>
    </w:p>
    <w:p w14:paraId="5B0361EF" w14:textId="77777777" w:rsidR="00B321E1" w:rsidRDefault="00B321E1" w:rsidP="00B321E1">
      <w:r w:rsidRPr="00B321E1">
        <w:rPr>
          <w:b/>
        </w:rPr>
        <w:t>Observation 3</w:t>
      </w:r>
      <w:r>
        <w:t xml:space="preserve">: To support timing case#6, no RF requirement impact is anticipated. </w:t>
      </w:r>
    </w:p>
    <w:p w14:paraId="21F85114" w14:textId="0F4B7550" w:rsidR="00B321E1" w:rsidRPr="00A574F3" w:rsidRDefault="00A574F3" w:rsidP="00B321E1">
      <w:r w:rsidRPr="00B321E1">
        <w:rPr>
          <w:b/>
        </w:rPr>
        <w:t xml:space="preserve">Observation </w:t>
      </w:r>
      <w:r>
        <w:rPr>
          <w:b/>
        </w:rPr>
        <w:t>4</w:t>
      </w:r>
      <w:r>
        <w:t xml:space="preserve">: To support timing case#7, no RF requirement impact is anticipated. </w:t>
      </w:r>
    </w:p>
    <w:p w14:paraId="277971BB" w14:textId="77777777" w:rsidR="006C170D" w:rsidRPr="009676EF" w:rsidRDefault="005F1418" w:rsidP="009676EF">
      <w:pPr>
        <w:pStyle w:val="1"/>
        <w:rPr>
          <w:rFonts w:cs="Arial"/>
          <w:lang w:eastAsia="zh-CN"/>
        </w:rPr>
      </w:pPr>
      <w:r>
        <w:rPr>
          <w:rFonts w:cs="Arial"/>
          <w:lang w:eastAsia="zh-CN"/>
        </w:rPr>
        <w:lastRenderedPageBreak/>
        <w:t>Reference</w:t>
      </w:r>
      <w:r w:rsidR="004B40D6">
        <w:rPr>
          <w:rFonts w:cs="Arial"/>
          <w:lang w:eastAsia="zh-CN"/>
        </w:rPr>
        <w:t xml:space="preserve"> </w:t>
      </w:r>
    </w:p>
    <w:p w14:paraId="6DDE1BCD" w14:textId="7AAFD73B" w:rsidR="007B41E7" w:rsidRDefault="005F1418" w:rsidP="007B41E7">
      <w:pPr>
        <w:rPr>
          <w:szCs w:val="21"/>
        </w:rPr>
      </w:pPr>
      <w:r>
        <w:rPr>
          <w:rFonts w:ascii="Calibri" w:hAnsi="Calibri" w:cs="Calibri"/>
          <w:iCs/>
          <w:szCs w:val="21"/>
        </w:rPr>
        <w:t>[1]</w:t>
      </w:r>
      <w:r w:rsidR="00A70B6C">
        <w:rPr>
          <w:szCs w:val="21"/>
        </w:rPr>
        <w:t xml:space="preserve"> </w:t>
      </w:r>
      <w:r w:rsidR="00F43ADB">
        <w:rPr>
          <w:rFonts w:cstheme="minorHAnsi"/>
        </w:rPr>
        <w:t xml:space="preserve">R4-2106115, </w:t>
      </w:r>
      <w:r w:rsidR="00F43ADB" w:rsidRPr="00F43ADB">
        <w:rPr>
          <w:rFonts w:cstheme="minorHAnsi"/>
        </w:rPr>
        <w:t>WF on NR Rel-17 eIAB RAN4 scope</w:t>
      </w:r>
    </w:p>
    <w:p w14:paraId="324E080B" w14:textId="78B00D19" w:rsidR="00C37C9C" w:rsidRDefault="005F1418" w:rsidP="00EA6189">
      <w:pPr>
        <w:rPr>
          <w:rFonts w:cstheme="minorHAnsi"/>
        </w:rPr>
      </w:pPr>
      <w:r w:rsidRPr="007B41E7">
        <w:rPr>
          <w:rFonts w:hint="eastAsia"/>
          <w:szCs w:val="21"/>
        </w:rPr>
        <w:t>[</w:t>
      </w:r>
      <w:r w:rsidRPr="007B41E7">
        <w:rPr>
          <w:szCs w:val="21"/>
        </w:rPr>
        <w:t>2]</w:t>
      </w:r>
      <w:r w:rsidR="00F43ADB">
        <w:rPr>
          <w:szCs w:val="21"/>
        </w:rPr>
        <w:t xml:space="preserve"> R4-210</w:t>
      </w:r>
      <w:r w:rsidR="00B301CD">
        <w:rPr>
          <w:szCs w:val="21"/>
        </w:rPr>
        <w:t>5</w:t>
      </w:r>
      <w:r w:rsidR="00B301CD" w:rsidRPr="00B301CD">
        <w:rPr>
          <w:rFonts w:cstheme="minorHAnsi"/>
        </w:rPr>
        <w:t>040, Overview on NR Rel-17 eIAB</w:t>
      </w:r>
    </w:p>
    <w:p w14:paraId="74572401" w14:textId="6E755905" w:rsidR="005B2DB7" w:rsidRPr="00B301CD" w:rsidRDefault="005B2DB7" w:rsidP="00EA6189">
      <w:pPr>
        <w:rPr>
          <w:rFonts w:cstheme="minorHAnsi"/>
        </w:rPr>
      </w:pPr>
      <w:r>
        <w:rPr>
          <w:rFonts w:cstheme="minorHAnsi"/>
        </w:rPr>
        <w:t>[3] R4-21</w:t>
      </w:r>
      <w:r w:rsidR="00714F2C">
        <w:rPr>
          <w:rFonts w:cstheme="minorHAnsi"/>
        </w:rPr>
        <w:t>10003</w:t>
      </w:r>
      <w:r>
        <w:rPr>
          <w:rFonts w:cstheme="minorHAnsi"/>
        </w:rPr>
        <w:t xml:space="preserve">, </w:t>
      </w:r>
      <w:r w:rsidRPr="005B2DB7">
        <w:rPr>
          <w:rFonts w:cstheme="minorHAnsi"/>
        </w:rPr>
        <w:t xml:space="preserve">Discussion on </w:t>
      </w:r>
      <w:r w:rsidR="00714F2C" w:rsidRPr="005B2DB7">
        <w:rPr>
          <w:rFonts w:cstheme="minorHAnsi"/>
        </w:rPr>
        <w:t>simultaneous</w:t>
      </w:r>
      <w:r w:rsidRPr="005B2DB7">
        <w:rPr>
          <w:rFonts w:cstheme="minorHAnsi"/>
        </w:rPr>
        <w:t xml:space="preserve"> TX/RX </w:t>
      </w:r>
      <w:bookmarkStart w:id="0" w:name="_GoBack"/>
      <w:bookmarkEnd w:id="0"/>
      <w:r w:rsidRPr="005B2DB7">
        <w:rPr>
          <w:rFonts w:cstheme="minorHAnsi"/>
        </w:rPr>
        <w:t>for IAB node</w:t>
      </w:r>
    </w:p>
    <w:sectPr w:rsidR="005B2DB7" w:rsidRPr="00B301CD"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E27B7" w14:textId="77777777" w:rsidR="00193F3C" w:rsidRDefault="00193F3C" w:rsidP="006C170D">
      <w:r>
        <w:separator/>
      </w:r>
    </w:p>
  </w:endnote>
  <w:endnote w:type="continuationSeparator" w:id="0">
    <w:p w14:paraId="7290D48B" w14:textId="77777777" w:rsidR="00193F3C" w:rsidRDefault="00193F3C"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3FE5E" w14:textId="77777777" w:rsidR="00193F3C" w:rsidRDefault="00193F3C" w:rsidP="006C170D">
      <w:r>
        <w:separator/>
      </w:r>
    </w:p>
  </w:footnote>
  <w:footnote w:type="continuationSeparator" w:id="0">
    <w:p w14:paraId="406495E0" w14:textId="77777777" w:rsidR="00193F3C" w:rsidRDefault="00193F3C"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22FF"/>
    <w:multiLevelType w:val="hybridMultilevel"/>
    <w:tmpl w:val="B6CC34F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91C5B9A"/>
    <w:multiLevelType w:val="hybridMultilevel"/>
    <w:tmpl w:val="C458EDB0"/>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4F3779"/>
    <w:multiLevelType w:val="hybridMultilevel"/>
    <w:tmpl w:val="39061C60"/>
    <w:lvl w:ilvl="0" w:tplc="758E4908">
      <w:start w:val="2"/>
      <w:numFmt w:val="bullet"/>
      <w:lvlText w:val=""/>
      <w:lvlJc w:val="left"/>
      <w:pPr>
        <w:ind w:left="780" w:hanging="360"/>
      </w:pPr>
      <w:rPr>
        <w:rFonts w:ascii="Wingdings" w:eastAsia="宋体" w:hAnsi="Wingdings" w:cstheme="minorHAns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F9B5317"/>
    <w:multiLevelType w:val="hybridMultilevel"/>
    <w:tmpl w:val="A4141F12"/>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2"/>
  </w:num>
  <w:num w:numId="3">
    <w:abstractNumId w:val="0"/>
  </w:num>
  <w:num w:numId="4">
    <w:abstractNumId w:val="3"/>
  </w:num>
  <w:num w:numId="5">
    <w:abstractNumId w:val="5"/>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0351"/>
    <w:rsid w:val="00013FDE"/>
    <w:rsid w:val="00022C32"/>
    <w:rsid w:val="00022E69"/>
    <w:rsid w:val="00046A92"/>
    <w:rsid w:val="00056B0E"/>
    <w:rsid w:val="00056B30"/>
    <w:rsid w:val="000639A9"/>
    <w:rsid w:val="00075039"/>
    <w:rsid w:val="000A7746"/>
    <w:rsid w:val="000B062C"/>
    <w:rsid w:val="000B59F8"/>
    <w:rsid w:val="000B7FE5"/>
    <w:rsid w:val="000E1986"/>
    <w:rsid w:val="000F4059"/>
    <w:rsid w:val="00124E9A"/>
    <w:rsid w:val="0012750F"/>
    <w:rsid w:val="001563EE"/>
    <w:rsid w:val="00156FC2"/>
    <w:rsid w:val="0016269A"/>
    <w:rsid w:val="00193F3C"/>
    <w:rsid w:val="001C2F89"/>
    <w:rsid w:val="001C3269"/>
    <w:rsid w:val="001C7D79"/>
    <w:rsid w:val="001E0D2E"/>
    <w:rsid w:val="001F57F3"/>
    <w:rsid w:val="0020388B"/>
    <w:rsid w:val="002230D3"/>
    <w:rsid w:val="00223C0E"/>
    <w:rsid w:val="00237603"/>
    <w:rsid w:val="00245DF1"/>
    <w:rsid w:val="00250687"/>
    <w:rsid w:val="0025278A"/>
    <w:rsid w:val="0025315D"/>
    <w:rsid w:val="00276C66"/>
    <w:rsid w:val="00292821"/>
    <w:rsid w:val="002B087A"/>
    <w:rsid w:val="002C243D"/>
    <w:rsid w:val="002C6F1F"/>
    <w:rsid w:val="002D0FEA"/>
    <w:rsid w:val="002D7F8B"/>
    <w:rsid w:val="002E1038"/>
    <w:rsid w:val="002E210A"/>
    <w:rsid w:val="00353186"/>
    <w:rsid w:val="0036718C"/>
    <w:rsid w:val="003704DB"/>
    <w:rsid w:val="0038791C"/>
    <w:rsid w:val="003D197B"/>
    <w:rsid w:val="003D3E81"/>
    <w:rsid w:val="003D4B96"/>
    <w:rsid w:val="003D5584"/>
    <w:rsid w:val="003F76E1"/>
    <w:rsid w:val="004148DC"/>
    <w:rsid w:val="00420516"/>
    <w:rsid w:val="00427987"/>
    <w:rsid w:val="004346FE"/>
    <w:rsid w:val="004648DA"/>
    <w:rsid w:val="00467CB6"/>
    <w:rsid w:val="004922A0"/>
    <w:rsid w:val="004A4F80"/>
    <w:rsid w:val="004B40D6"/>
    <w:rsid w:val="004C60E9"/>
    <w:rsid w:val="004D6748"/>
    <w:rsid w:val="004E0FF0"/>
    <w:rsid w:val="004E338D"/>
    <w:rsid w:val="004E33EB"/>
    <w:rsid w:val="004E4598"/>
    <w:rsid w:val="004F7EEE"/>
    <w:rsid w:val="00502A45"/>
    <w:rsid w:val="0050306C"/>
    <w:rsid w:val="00507CFF"/>
    <w:rsid w:val="00516406"/>
    <w:rsid w:val="00524426"/>
    <w:rsid w:val="00524487"/>
    <w:rsid w:val="0053006D"/>
    <w:rsid w:val="00552F9D"/>
    <w:rsid w:val="00566AD2"/>
    <w:rsid w:val="00572E55"/>
    <w:rsid w:val="005766C7"/>
    <w:rsid w:val="00583901"/>
    <w:rsid w:val="0058741D"/>
    <w:rsid w:val="0059117C"/>
    <w:rsid w:val="00597495"/>
    <w:rsid w:val="005A4069"/>
    <w:rsid w:val="005A7521"/>
    <w:rsid w:val="005B2DB7"/>
    <w:rsid w:val="005B42B0"/>
    <w:rsid w:val="005B4331"/>
    <w:rsid w:val="005C1B2D"/>
    <w:rsid w:val="005C349D"/>
    <w:rsid w:val="005C3A74"/>
    <w:rsid w:val="005C3D7F"/>
    <w:rsid w:val="005E0B83"/>
    <w:rsid w:val="005E1995"/>
    <w:rsid w:val="005E52EE"/>
    <w:rsid w:val="005E55F2"/>
    <w:rsid w:val="005F1418"/>
    <w:rsid w:val="005F6844"/>
    <w:rsid w:val="0060793E"/>
    <w:rsid w:val="00624BBC"/>
    <w:rsid w:val="00632133"/>
    <w:rsid w:val="00633A50"/>
    <w:rsid w:val="00657849"/>
    <w:rsid w:val="0066201A"/>
    <w:rsid w:val="0066418A"/>
    <w:rsid w:val="0069011F"/>
    <w:rsid w:val="006C170D"/>
    <w:rsid w:val="006C61CE"/>
    <w:rsid w:val="006D26F5"/>
    <w:rsid w:val="006D3C78"/>
    <w:rsid w:val="006F002D"/>
    <w:rsid w:val="00704D67"/>
    <w:rsid w:val="00707F7E"/>
    <w:rsid w:val="0071193F"/>
    <w:rsid w:val="00714F2C"/>
    <w:rsid w:val="00720E9E"/>
    <w:rsid w:val="00732A59"/>
    <w:rsid w:val="00757381"/>
    <w:rsid w:val="0077304F"/>
    <w:rsid w:val="007A133A"/>
    <w:rsid w:val="007A72DA"/>
    <w:rsid w:val="007B41E7"/>
    <w:rsid w:val="007C0FAC"/>
    <w:rsid w:val="007D5A2F"/>
    <w:rsid w:val="007F6340"/>
    <w:rsid w:val="0080333A"/>
    <w:rsid w:val="00803792"/>
    <w:rsid w:val="0080710F"/>
    <w:rsid w:val="00811CBF"/>
    <w:rsid w:val="008128F5"/>
    <w:rsid w:val="0081568D"/>
    <w:rsid w:val="00831E3D"/>
    <w:rsid w:val="00832F12"/>
    <w:rsid w:val="00837DDC"/>
    <w:rsid w:val="00853742"/>
    <w:rsid w:val="00864831"/>
    <w:rsid w:val="00880126"/>
    <w:rsid w:val="0088215A"/>
    <w:rsid w:val="00882E64"/>
    <w:rsid w:val="00884208"/>
    <w:rsid w:val="008868B7"/>
    <w:rsid w:val="00897C70"/>
    <w:rsid w:val="008A5091"/>
    <w:rsid w:val="008B1AA0"/>
    <w:rsid w:val="008D4FBD"/>
    <w:rsid w:val="008E50F4"/>
    <w:rsid w:val="008F2DA0"/>
    <w:rsid w:val="00902EA0"/>
    <w:rsid w:val="009116F1"/>
    <w:rsid w:val="009173DC"/>
    <w:rsid w:val="00942548"/>
    <w:rsid w:val="009512B7"/>
    <w:rsid w:val="00960C16"/>
    <w:rsid w:val="009676EF"/>
    <w:rsid w:val="009746CF"/>
    <w:rsid w:val="009762DC"/>
    <w:rsid w:val="009842AA"/>
    <w:rsid w:val="0098605C"/>
    <w:rsid w:val="009C2147"/>
    <w:rsid w:val="009D129B"/>
    <w:rsid w:val="009D1509"/>
    <w:rsid w:val="009E5FEE"/>
    <w:rsid w:val="009F3EF2"/>
    <w:rsid w:val="00A04774"/>
    <w:rsid w:val="00A213F2"/>
    <w:rsid w:val="00A45137"/>
    <w:rsid w:val="00A46680"/>
    <w:rsid w:val="00A50FC5"/>
    <w:rsid w:val="00A5135D"/>
    <w:rsid w:val="00A574F3"/>
    <w:rsid w:val="00A61425"/>
    <w:rsid w:val="00A625FC"/>
    <w:rsid w:val="00A63619"/>
    <w:rsid w:val="00A70B6C"/>
    <w:rsid w:val="00AA37A9"/>
    <w:rsid w:val="00AB2105"/>
    <w:rsid w:val="00AC0590"/>
    <w:rsid w:val="00AC78EA"/>
    <w:rsid w:val="00AF0EC9"/>
    <w:rsid w:val="00AF3CAD"/>
    <w:rsid w:val="00AF6035"/>
    <w:rsid w:val="00B11D30"/>
    <w:rsid w:val="00B20A3D"/>
    <w:rsid w:val="00B24C81"/>
    <w:rsid w:val="00B301CD"/>
    <w:rsid w:val="00B321E1"/>
    <w:rsid w:val="00B61D6D"/>
    <w:rsid w:val="00B7587D"/>
    <w:rsid w:val="00B918F7"/>
    <w:rsid w:val="00BB4AD8"/>
    <w:rsid w:val="00BB774A"/>
    <w:rsid w:val="00BC23CC"/>
    <w:rsid w:val="00BC6689"/>
    <w:rsid w:val="00C01FF2"/>
    <w:rsid w:val="00C0710F"/>
    <w:rsid w:val="00C113ED"/>
    <w:rsid w:val="00C24DB7"/>
    <w:rsid w:val="00C36085"/>
    <w:rsid w:val="00C37C9C"/>
    <w:rsid w:val="00C672F9"/>
    <w:rsid w:val="00C87B9E"/>
    <w:rsid w:val="00CA29CE"/>
    <w:rsid w:val="00CB3A45"/>
    <w:rsid w:val="00CB5566"/>
    <w:rsid w:val="00CC53B3"/>
    <w:rsid w:val="00CD5855"/>
    <w:rsid w:val="00CE6440"/>
    <w:rsid w:val="00CF6307"/>
    <w:rsid w:val="00D0149E"/>
    <w:rsid w:val="00D07329"/>
    <w:rsid w:val="00D12EFB"/>
    <w:rsid w:val="00D12F26"/>
    <w:rsid w:val="00D1536C"/>
    <w:rsid w:val="00D74429"/>
    <w:rsid w:val="00DA0838"/>
    <w:rsid w:val="00DA0FF8"/>
    <w:rsid w:val="00DB37EC"/>
    <w:rsid w:val="00DB4D5C"/>
    <w:rsid w:val="00DD5A33"/>
    <w:rsid w:val="00DE2561"/>
    <w:rsid w:val="00DF143E"/>
    <w:rsid w:val="00E10EE5"/>
    <w:rsid w:val="00E21802"/>
    <w:rsid w:val="00E222A5"/>
    <w:rsid w:val="00E25D0F"/>
    <w:rsid w:val="00E50935"/>
    <w:rsid w:val="00E538F6"/>
    <w:rsid w:val="00E61D66"/>
    <w:rsid w:val="00E74E2E"/>
    <w:rsid w:val="00E951AB"/>
    <w:rsid w:val="00EA6189"/>
    <w:rsid w:val="00EC1A50"/>
    <w:rsid w:val="00EC341A"/>
    <w:rsid w:val="00EC341F"/>
    <w:rsid w:val="00ED4243"/>
    <w:rsid w:val="00ED7224"/>
    <w:rsid w:val="00EE0FFD"/>
    <w:rsid w:val="00EF5B22"/>
    <w:rsid w:val="00F009E9"/>
    <w:rsid w:val="00F0161F"/>
    <w:rsid w:val="00F06B62"/>
    <w:rsid w:val="00F21189"/>
    <w:rsid w:val="00F37547"/>
    <w:rsid w:val="00F402FF"/>
    <w:rsid w:val="00F43ADB"/>
    <w:rsid w:val="00F65876"/>
    <w:rsid w:val="00F75311"/>
    <w:rsid w:val="00F97783"/>
    <w:rsid w:val="00FC3F70"/>
    <w:rsid w:val="00FC56C0"/>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B1Char1">
    <w:name w:val="B1 Char1"/>
    <w:locked/>
    <w:rsid w:val="00707F7E"/>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541742864">
      <w:bodyDiv w:val="1"/>
      <w:marLeft w:val="0"/>
      <w:marRight w:val="0"/>
      <w:marTop w:val="0"/>
      <w:marBottom w:val="0"/>
      <w:divBdr>
        <w:top w:val="none" w:sz="0" w:space="0" w:color="auto"/>
        <w:left w:val="none" w:sz="0" w:space="0" w:color="auto"/>
        <w:bottom w:val="none" w:sz="0" w:space="0" w:color="auto"/>
        <w:right w:val="none" w:sz="0" w:space="0" w:color="auto"/>
      </w:divBdr>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3329A-DED4-47A8-8D27-2337454B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RAN4</cp:lastModifiedBy>
  <cp:revision>9</cp:revision>
  <dcterms:created xsi:type="dcterms:W3CDTF">2021-05-11T03:37:00Z</dcterms:created>
  <dcterms:modified xsi:type="dcterms:W3CDTF">2021-05-11T09:11:00Z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