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136D33D0" w:rsidR="006C170D" w:rsidRPr="00C94DBE" w:rsidRDefault="006C170D" w:rsidP="006C170D">
      <w:pPr>
        <w:pStyle w:val="a5"/>
        <w:rPr>
          <w:rFonts w:eastAsia="宋体" w:cs="Arial"/>
          <w:lang w:eastAsia="zh-CN"/>
        </w:rPr>
      </w:pPr>
      <w:r w:rsidRPr="00C94DBE">
        <w:rPr>
          <w:rFonts w:cs="Arial"/>
        </w:rPr>
        <w:t>3GPP TSG-RAN WG4 Meeting #</w:t>
      </w:r>
      <w:r w:rsidRPr="00C94DBE">
        <w:rPr>
          <w:rFonts w:eastAsia="宋体" w:cs="Arial"/>
          <w:lang w:eastAsia="zh-CN"/>
        </w:rPr>
        <w:t>9</w:t>
      </w:r>
      <w:r w:rsidR="00250687">
        <w:rPr>
          <w:rFonts w:eastAsia="宋体" w:cs="Arial"/>
          <w:lang w:eastAsia="zh-CN"/>
        </w:rPr>
        <w:t>9</w:t>
      </w:r>
      <w:r>
        <w:rPr>
          <w:rFonts w:eastAsia="宋体" w:cs="Arial"/>
          <w:lang w:eastAsia="zh-CN"/>
        </w:rPr>
        <w:t>-e</w:t>
      </w:r>
      <w:r>
        <w:rPr>
          <w:rFonts w:eastAsia="宋体" w:cs="Arial" w:hint="eastAsia"/>
          <w:lang w:eastAsia="zh-CN"/>
        </w:rPr>
        <w:t xml:space="preserve">                      </w:t>
      </w:r>
      <w:r w:rsidR="00F13EFE">
        <w:rPr>
          <w:rFonts w:eastAsia="宋体" w:cs="Arial"/>
          <w:lang w:eastAsia="zh-CN"/>
        </w:rPr>
        <w:t xml:space="preserve">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w:t>
      </w:r>
      <w:r w:rsidR="00F13EFE">
        <w:rPr>
          <w:rFonts w:eastAsia="宋体" w:cs="Arial"/>
          <w:lang w:eastAsia="zh-CN"/>
        </w:rPr>
        <w:t xml:space="preserve">   </w:t>
      </w:r>
      <w:r>
        <w:rPr>
          <w:rFonts w:eastAsia="宋体" w:cs="Arial" w:hint="eastAsia"/>
          <w:lang w:eastAsia="zh-CN"/>
        </w:rPr>
        <w:t xml:space="preserve">      R4-2</w:t>
      </w:r>
      <w:r>
        <w:rPr>
          <w:rFonts w:eastAsia="宋体" w:cs="Arial"/>
          <w:lang w:eastAsia="zh-CN"/>
        </w:rPr>
        <w:t>1</w:t>
      </w:r>
      <w:r w:rsidR="00F13EFE">
        <w:rPr>
          <w:rFonts w:eastAsia="宋体" w:cs="Arial"/>
          <w:lang w:eastAsia="zh-CN"/>
        </w:rPr>
        <w:t>10003</w:t>
      </w:r>
      <w:r w:rsidRPr="00C94DBE">
        <w:rPr>
          <w:rFonts w:eastAsia="宋体" w:cs="Arial"/>
          <w:lang w:eastAsia="zh-CN"/>
        </w:rPr>
        <w:t xml:space="preserve">                                     </w:t>
      </w:r>
      <w:r>
        <w:rPr>
          <w:rFonts w:eastAsia="宋体" w:cs="Arial"/>
          <w:lang w:eastAsia="zh-CN"/>
        </w:rPr>
        <w:t xml:space="preserve">                             </w:t>
      </w:r>
    </w:p>
    <w:p w14:paraId="4D5D8709" w14:textId="79A56D9E"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12</w:t>
      </w:r>
      <w:r w:rsidRPr="007144F1">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20</w:t>
      </w:r>
      <w:r w:rsidRPr="00F51A98">
        <w:rPr>
          <w:rFonts w:eastAsiaTheme="minorEastAsia" w:cs="Arial" w:hint="eastAsia"/>
          <w:vertAlign w:val="superscript"/>
          <w:lang w:eastAsia="zh-CN"/>
        </w:rPr>
        <w:t>th</w:t>
      </w:r>
      <w:r>
        <w:rPr>
          <w:rFonts w:eastAsiaTheme="minorEastAsia" w:cs="Arial"/>
          <w:lang w:eastAsia="zh-CN"/>
        </w:rPr>
        <w:t xml:space="preserve"> </w:t>
      </w:r>
      <w:r w:rsidR="00250687">
        <w:rPr>
          <w:rFonts w:eastAsiaTheme="minorEastAsia" w:cs="Arial"/>
          <w:lang w:eastAsia="zh-CN"/>
        </w:rPr>
        <w:t>May</w:t>
      </w:r>
      <w:r w:rsidRPr="00051CD8">
        <w:rPr>
          <w:rFonts w:cs="Arial"/>
        </w:rPr>
        <w:t>, 20</w:t>
      </w:r>
      <w:r>
        <w:rPr>
          <w:rFonts w:eastAsiaTheme="minorEastAsia" w:cs="Arial" w:hint="eastAsia"/>
          <w:lang w:eastAsia="zh-CN"/>
        </w:rPr>
        <w:t>2</w:t>
      </w:r>
      <w:r>
        <w:rPr>
          <w:rFonts w:eastAsiaTheme="minorEastAsia" w:cs="Arial"/>
          <w:lang w:eastAsia="zh-CN"/>
        </w:rPr>
        <w:t>1</w:t>
      </w:r>
    </w:p>
    <w:p w14:paraId="18124BC0" w14:textId="77777777" w:rsidR="006C170D" w:rsidRPr="00051CD8" w:rsidRDefault="006C170D" w:rsidP="006C170D">
      <w:pPr>
        <w:pStyle w:val="a5"/>
        <w:rPr>
          <w:rFonts w:eastAsiaTheme="minorEastAsia" w:cs="Arial"/>
          <w:lang w:eastAsia="zh-CN"/>
        </w:rPr>
      </w:pPr>
    </w:p>
    <w:p w14:paraId="10F0B24F" w14:textId="66BBFAC1"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427987">
        <w:rPr>
          <w:rFonts w:ascii="Arial" w:eastAsia="宋体" w:hAnsi="Arial" w:cs="Arial"/>
          <w:b/>
          <w:noProof/>
          <w:kern w:val="0"/>
          <w:sz w:val="22"/>
          <w:szCs w:val="22"/>
          <w:lang w:val="en-GB"/>
        </w:rPr>
        <w:t>9.</w:t>
      </w:r>
      <w:r w:rsidR="0071193F">
        <w:rPr>
          <w:rFonts w:ascii="Arial" w:eastAsia="宋体" w:hAnsi="Arial" w:cs="Arial"/>
          <w:b/>
          <w:noProof/>
          <w:kern w:val="0"/>
          <w:sz w:val="22"/>
          <w:szCs w:val="22"/>
          <w:lang w:val="en-GB"/>
        </w:rPr>
        <w:t>16</w:t>
      </w:r>
      <w:r w:rsidR="0066418A">
        <w:rPr>
          <w:rFonts w:ascii="Arial" w:eastAsia="宋体" w:hAnsi="Arial" w:cs="Arial"/>
          <w:b/>
          <w:noProof/>
          <w:kern w:val="0"/>
          <w:sz w:val="22"/>
          <w:szCs w:val="22"/>
          <w:lang w:val="en-GB"/>
        </w:rPr>
        <w:t>.</w:t>
      </w:r>
      <w:r w:rsidR="0071193F">
        <w:rPr>
          <w:rFonts w:ascii="Arial" w:eastAsia="宋体" w:hAnsi="Arial" w:cs="Arial"/>
          <w:b/>
          <w:noProof/>
          <w:kern w:val="0"/>
          <w:sz w:val="22"/>
          <w:szCs w:val="22"/>
          <w:lang w:val="en-GB"/>
        </w:rPr>
        <w:t>2</w:t>
      </w:r>
      <w:r w:rsidRPr="003F6833">
        <w:rPr>
          <w:rFonts w:ascii="Arial" w:eastAsia="宋体" w:hAnsi="Arial" w:cs="Arial"/>
          <w:b/>
          <w:noProof/>
          <w:kern w:val="0"/>
          <w:sz w:val="22"/>
          <w:szCs w:val="22"/>
          <w:lang w:val="en-GB" w:eastAsia="en-US"/>
        </w:rPr>
        <w:tab/>
      </w:r>
    </w:p>
    <w:p w14:paraId="7CF544F5" w14:textId="2440D870"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10DE493E"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71193F">
        <w:rPr>
          <w:rFonts w:ascii="Arial" w:eastAsia="宋体" w:hAnsi="Arial" w:cs="Arial"/>
          <w:b/>
          <w:noProof/>
          <w:kern w:val="0"/>
          <w:sz w:val="22"/>
          <w:lang w:val="en-GB"/>
        </w:rPr>
        <w:t>Discussion on simultan</w:t>
      </w:r>
      <w:r w:rsidR="008E046D">
        <w:rPr>
          <w:rFonts w:ascii="Arial" w:eastAsia="宋体" w:hAnsi="Arial" w:cs="Arial"/>
          <w:b/>
          <w:noProof/>
          <w:kern w:val="0"/>
          <w:sz w:val="22"/>
          <w:lang w:val="en-GB"/>
        </w:rPr>
        <w:t>e</w:t>
      </w:r>
      <w:r w:rsidR="0071193F">
        <w:rPr>
          <w:rFonts w:ascii="Arial" w:eastAsia="宋体" w:hAnsi="Arial" w:cs="Arial"/>
          <w:b/>
          <w:noProof/>
          <w:kern w:val="0"/>
          <w:sz w:val="22"/>
          <w:lang w:val="en-GB"/>
        </w:rPr>
        <w:t xml:space="preserve">ous TX/RX for IAB node </w:t>
      </w:r>
      <w:r>
        <w:rPr>
          <w:rFonts w:ascii="Arial" w:eastAsia="宋体" w:hAnsi="Arial" w:cs="Arial"/>
          <w:b/>
          <w:noProof/>
          <w:kern w:val="0"/>
          <w:sz w:val="22"/>
          <w:lang w:val="en-GB"/>
        </w:rPr>
        <w:t xml:space="preserve">    </w:t>
      </w:r>
    </w:p>
    <w:p w14:paraId="460F64DD" w14:textId="31D48FAA"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71193F">
        <w:rPr>
          <w:rFonts w:ascii="Arial" w:eastAsia="宋体" w:hAnsi="Arial" w:cs="Arial"/>
          <w:b/>
          <w:noProof/>
          <w:kern w:val="0"/>
          <w:sz w:val="22"/>
          <w:szCs w:val="22"/>
          <w:lang w:val="en-GB"/>
        </w:rPr>
        <w:t>Approval</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2D8F3B05" w14:textId="18CA6461" w:rsidR="004E338D" w:rsidRDefault="0071193F" w:rsidP="004E338D">
      <w:pPr>
        <w:rPr>
          <w:rFonts w:ascii="Calibri" w:hAnsi="Calibri" w:cs="Calibri"/>
          <w:iCs/>
          <w:szCs w:val="21"/>
        </w:rPr>
      </w:pPr>
      <w:r>
        <w:rPr>
          <w:rFonts w:ascii="Calibri" w:hAnsi="Calibri" w:cs="Calibri"/>
          <w:iCs/>
          <w:szCs w:val="21"/>
        </w:rPr>
        <w:t xml:space="preserve">In previous meeting discussion, it’s agreed to further discuss the RAN4 spec </w:t>
      </w:r>
      <w:r w:rsidR="00F43ADB">
        <w:rPr>
          <w:rFonts w:ascii="Calibri" w:hAnsi="Calibri" w:cs="Calibri"/>
          <w:iCs/>
          <w:szCs w:val="21"/>
        </w:rPr>
        <w:t xml:space="preserve">impact due to simultaneous transmission and reception for IAB node’s child and parent links. This contribution shares more analysis on </w:t>
      </w:r>
      <w:r w:rsidR="00572E55">
        <w:rPr>
          <w:rFonts w:ascii="Calibri" w:hAnsi="Calibri" w:cs="Calibri"/>
          <w:iCs/>
          <w:szCs w:val="21"/>
        </w:rPr>
        <w:t xml:space="preserve">this </w:t>
      </w:r>
      <w:r w:rsidR="00CE6440">
        <w:rPr>
          <w:rFonts w:ascii="Calibri" w:hAnsi="Calibri" w:cs="Calibri"/>
          <w:iCs/>
          <w:szCs w:val="21"/>
        </w:rPr>
        <w:t xml:space="preserve">aspect. </w:t>
      </w:r>
    </w:p>
    <w:p w14:paraId="098BC1D4" w14:textId="0F746E9E" w:rsidR="00276C66" w:rsidRDefault="00276C66" w:rsidP="00276C66">
      <w:pPr>
        <w:pStyle w:val="1"/>
        <w:rPr>
          <w:rFonts w:cs="Arial"/>
          <w:lang w:eastAsia="zh-CN"/>
        </w:rPr>
      </w:pPr>
      <w:r>
        <w:rPr>
          <w:rFonts w:cs="Arial"/>
          <w:lang w:eastAsia="zh-CN"/>
        </w:rPr>
        <w:t xml:space="preserve">Discussion   </w:t>
      </w:r>
    </w:p>
    <w:p w14:paraId="4CD1C0BF" w14:textId="4A0013F7" w:rsidR="000639A9" w:rsidRDefault="00CE6440" w:rsidP="0053006D">
      <w:pPr>
        <w:rPr>
          <w:rFonts w:ascii="Calibri" w:hAnsi="Calibri" w:cs="Calibri"/>
          <w:iCs/>
          <w:szCs w:val="21"/>
        </w:rPr>
      </w:pPr>
      <w:r>
        <w:rPr>
          <w:rFonts w:ascii="Calibri" w:hAnsi="Calibri" w:cs="Calibri"/>
          <w:iCs/>
          <w:szCs w:val="21"/>
        </w:rPr>
        <w:t>In Rel-16 IAB WI, the</w:t>
      </w:r>
      <w:r w:rsidR="00F37547">
        <w:rPr>
          <w:rFonts w:ascii="Calibri" w:hAnsi="Calibri" w:cs="Calibri"/>
          <w:iCs/>
          <w:szCs w:val="21"/>
        </w:rPr>
        <w:t xml:space="preserve"> resource multiplexing</w:t>
      </w:r>
      <w:r>
        <w:rPr>
          <w:rFonts w:ascii="Calibri" w:hAnsi="Calibri" w:cs="Calibri"/>
          <w:iCs/>
          <w:szCs w:val="21"/>
        </w:rPr>
        <w:t xml:space="preserve"> is </w:t>
      </w:r>
      <w:r w:rsidR="00BB774A">
        <w:rPr>
          <w:rFonts w:ascii="Calibri" w:hAnsi="Calibri" w:cs="Calibri"/>
          <w:iCs/>
          <w:szCs w:val="21"/>
        </w:rPr>
        <w:t>discussed based on</w:t>
      </w:r>
      <w:r>
        <w:rPr>
          <w:rFonts w:ascii="Calibri" w:hAnsi="Calibri" w:cs="Calibri"/>
          <w:iCs/>
          <w:szCs w:val="21"/>
        </w:rPr>
        <w:t xml:space="preserve"> </w:t>
      </w:r>
      <w:r w:rsidR="00F37547">
        <w:rPr>
          <w:rFonts w:ascii="Calibri" w:hAnsi="Calibri" w:cs="Calibri"/>
          <w:iCs/>
          <w:szCs w:val="21"/>
        </w:rPr>
        <w:t xml:space="preserve">TDM operation subject to half-duplexer constraint. </w:t>
      </w:r>
      <w:r w:rsidR="00BB774A">
        <w:rPr>
          <w:rFonts w:ascii="Calibri" w:hAnsi="Calibri" w:cs="Calibri"/>
          <w:iCs/>
          <w:szCs w:val="21"/>
        </w:rPr>
        <w:t>In R</w:t>
      </w:r>
      <w:r w:rsidR="00811CBF">
        <w:rPr>
          <w:rFonts w:ascii="Calibri" w:hAnsi="Calibri" w:cs="Calibri"/>
          <w:iCs/>
          <w:szCs w:val="21"/>
        </w:rPr>
        <w:t>el-17 with the aim of</w:t>
      </w:r>
      <w:r w:rsidR="00BB774A">
        <w:rPr>
          <w:rFonts w:ascii="Calibri" w:hAnsi="Calibri" w:cs="Calibri"/>
          <w:iCs/>
          <w:szCs w:val="21"/>
        </w:rPr>
        <w:t xml:space="preserve"> duplexing enhancement for IAB operation, the </w:t>
      </w:r>
      <w:r w:rsidR="00811CBF">
        <w:rPr>
          <w:rFonts w:ascii="Calibri" w:hAnsi="Calibri" w:cs="Calibri"/>
          <w:iCs/>
          <w:szCs w:val="21"/>
        </w:rPr>
        <w:t>specification enhancement to support simultaneous operation is addressed in WID as below:</w:t>
      </w:r>
    </w:p>
    <w:tbl>
      <w:tblPr>
        <w:tblStyle w:val="a6"/>
        <w:tblW w:w="0" w:type="auto"/>
        <w:tblLook w:val="04A0" w:firstRow="1" w:lastRow="0" w:firstColumn="1" w:lastColumn="0" w:noHBand="0" w:noVBand="1"/>
      </w:tblPr>
      <w:tblGrid>
        <w:gridCol w:w="10456"/>
      </w:tblGrid>
      <w:tr w:rsidR="0025278A" w14:paraId="363892AB" w14:textId="77777777" w:rsidTr="0025278A">
        <w:tc>
          <w:tcPr>
            <w:tcW w:w="10456" w:type="dxa"/>
          </w:tcPr>
          <w:p w14:paraId="42257B77" w14:textId="77777777" w:rsidR="0025278A" w:rsidRPr="0025278A" w:rsidRDefault="0025278A" w:rsidP="008868B7">
            <w:pPr>
              <w:pStyle w:val="a7"/>
              <w:numPr>
                <w:ilvl w:val="0"/>
                <w:numId w:val="2"/>
              </w:numPr>
              <w:spacing w:after="180"/>
              <w:ind w:firstLineChars="0"/>
              <w:rPr>
                <w:rFonts w:ascii="Times New Roman" w:hAnsi="Times New Roman" w:cs="Times New Roman"/>
                <w:sz w:val="18"/>
                <w:szCs w:val="18"/>
              </w:rPr>
            </w:pPr>
            <w:r w:rsidRPr="0025278A">
              <w:rPr>
                <w:rFonts w:ascii="Times New Roman" w:hAnsi="Times New Roman" w:cs="Times New Roman"/>
                <w:sz w:val="18"/>
                <w:szCs w:val="18"/>
              </w:rPr>
              <w:t>Specification of enhancements to the resource multiplexing between child and parent links of an IAB node, including:</w:t>
            </w:r>
          </w:p>
          <w:p w14:paraId="21FB0697" w14:textId="3AE59A38" w:rsidR="0025278A" w:rsidRPr="0025278A" w:rsidRDefault="0025278A" w:rsidP="008868B7">
            <w:pPr>
              <w:pStyle w:val="a7"/>
              <w:numPr>
                <w:ilvl w:val="1"/>
                <w:numId w:val="2"/>
              </w:numPr>
              <w:spacing w:after="180"/>
              <w:ind w:firstLineChars="0"/>
              <w:rPr>
                <w:rFonts w:ascii="Times New Roman" w:hAnsi="Times New Roman" w:cs="Times New Roman"/>
                <w:sz w:val="18"/>
                <w:szCs w:val="18"/>
              </w:rPr>
            </w:pPr>
            <w:r w:rsidRPr="0025278A">
              <w:rPr>
                <w:rFonts w:ascii="Times New Roman" w:hAnsi="Times New Roman" w:cs="Times New Roman"/>
                <w:sz w:val="18"/>
                <w:szCs w:val="18"/>
              </w:rPr>
              <w:t>Support of simultaneous operation (transmission and/or reception) of IAB-node’s child and parent links (i.e., MT Tx/DU Tx, MT Tx/DU Rx, MT Rx/DU Tx, MT Rx/DU Rx).</w:t>
            </w:r>
          </w:p>
        </w:tc>
      </w:tr>
    </w:tbl>
    <w:p w14:paraId="6ED7B9DF" w14:textId="09D092E3" w:rsidR="00837DDC" w:rsidRDefault="00837DDC" w:rsidP="0053006D">
      <w:pPr>
        <w:rPr>
          <w:rFonts w:ascii="Calibri" w:hAnsi="Calibri" w:cs="Calibri"/>
          <w:iCs/>
          <w:szCs w:val="21"/>
        </w:rPr>
      </w:pPr>
    </w:p>
    <w:p w14:paraId="65028BC2" w14:textId="130FAB04" w:rsidR="00837DDC" w:rsidRDefault="002C6F1F" w:rsidP="0053006D">
      <w:pPr>
        <w:rPr>
          <w:rFonts w:ascii="Calibri" w:hAnsi="Calibri" w:cs="Calibri"/>
          <w:iCs/>
          <w:szCs w:val="21"/>
        </w:rPr>
      </w:pPr>
      <w:r>
        <w:rPr>
          <w:rFonts w:ascii="Calibri" w:hAnsi="Calibri" w:cs="Calibri" w:hint="eastAsia"/>
          <w:iCs/>
          <w:szCs w:val="21"/>
        </w:rPr>
        <w:t>A</w:t>
      </w:r>
      <w:r>
        <w:rPr>
          <w:rFonts w:ascii="Calibri" w:hAnsi="Calibri" w:cs="Calibri"/>
          <w:iCs/>
          <w:szCs w:val="21"/>
        </w:rPr>
        <w:t xml:space="preserve">s shown in figure below </w:t>
      </w:r>
      <w:r w:rsidR="004346FE">
        <w:rPr>
          <w:rFonts w:ascii="Calibri" w:hAnsi="Calibri" w:cs="Calibri"/>
          <w:iCs/>
          <w:szCs w:val="21"/>
        </w:rPr>
        <w:t>parent link is the backhaul link between IAB-MT and its parent node, i.e., Parent IAB or donor gNB. And child link includes both access link between IAB-DU</w:t>
      </w:r>
      <w:r w:rsidR="00897C70">
        <w:rPr>
          <w:rFonts w:ascii="Calibri" w:hAnsi="Calibri" w:cs="Calibri"/>
          <w:iCs/>
          <w:szCs w:val="21"/>
        </w:rPr>
        <w:t xml:space="preserve"> and UE, and child backhaul link between IAB-DU and it child IAB-MT. </w:t>
      </w:r>
    </w:p>
    <w:p w14:paraId="38A85FC3" w14:textId="30A9F5D8" w:rsidR="0025278A" w:rsidRDefault="00837DDC" w:rsidP="004346FE">
      <w:pPr>
        <w:jc w:val="center"/>
        <w:rPr>
          <w:rFonts w:ascii="Calibri" w:hAnsi="Calibri" w:cs="Calibri"/>
          <w:iCs/>
          <w:szCs w:val="21"/>
        </w:rPr>
      </w:pPr>
      <w:r w:rsidRPr="00E23CFA">
        <w:rPr>
          <w:noProof/>
        </w:rPr>
        <w:drawing>
          <wp:inline distT="0" distB="0" distL="0" distR="0" wp14:anchorId="20311824" wp14:editId="59C43181">
            <wp:extent cx="4635304" cy="1746889"/>
            <wp:effectExtent l="0" t="0" r="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2849" cy="1757270"/>
                    </a:xfrm>
                    <a:prstGeom prst="rect">
                      <a:avLst/>
                    </a:prstGeom>
                    <a:noFill/>
                    <a:ln>
                      <a:noFill/>
                    </a:ln>
                  </pic:spPr>
                </pic:pic>
              </a:graphicData>
            </a:graphic>
          </wp:inline>
        </w:drawing>
      </w:r>
    </w:p>
    <w:p w14:paraId="0CE5F2B8" w14:textId="3C50F7F9" w:rsidR="004346FE" w:rsidRPr="004E0FF0" w:rsidRDefault="004346FE" w:rsidP="004346FE">
      <w:pPr>
        <w:jc w:val="center"/>
        <w:rPr>
          <w:rFonts w:ascii="Arial" w:hAnsi="Arial" w:cs="Arial"/>
          <w:iCs/>
          <w:sz w:val="18"/>
          <w:szCs w:val="18"/>
        </w:rPr>
      </w:pPr>
      <w:r w:rsidRPr="004E0FF0">
        <w:rPr>
          <w:rFonts w:ascii="Arial" w:hAnsi="Arial" w:cs="Arial"/>
          <w:b/>
          <w:sz w:val="18"/>
          <w:szCs w:val="18"/>
          <w:lang w:val="en-GB"/>
        </w:rPr>
        <w:t>Figure 1</w:t>
      </w:r>
      <w:r w:rsidRPr="004E0FF0">
        <w:rPr>
          <w:rFonts w:ascii="Arial" w:hAnsi="Arial" w:cs="Arial"/>
          <w:sz w:val="18"/>
          <w:szCs w:val="18"/>
          <w:lang w:val="en-GB"/>
        </w:rPr>
        <w:t>[figure 7.</w:t>
      </w:r>
      <w:r w:rsidRPr="004E0FF0">
        <w:rPr>
          <w:rFonts w:ascii="Arial" w:eastAsia="Malgun Gothic" w:hAnsi="Arial" w:cs="Arial"/>
          <w:sz w:val="18"/>
          <w:szCs w:val="18"/>
          <w:lang w:val="en-GB" w:eastAsia="ko-KR"/>
        </w:rPr>
        <w:t>3</w:t>
      </w:r>
      <w:r w:rsidRPr="004E0FF0">
        <w:rPr>
          <w:rFonts w:ascii="Arial" w:hAnsi="Arial" w:cs="Arial"/>
          <w:sz w:val="18"/>
          <w:szCs w:val="18"/>
          <w:lang w:val="en-GB"/>
        </w:rPr>
        <w:t>.</w:t>
      </w:r>
      <w:r w:rsidRPr="004E0FF0">
        <w:rPr>
          <w:rFonts w:ascii="Arial" w:eastAsia="Malgun Gothic" w:hAnsi="Arial" w:cs="Arial"/>
          <w:sz w:val="18"/>
          <w:szCs w:val="18"/>
          <w:lang w:val="en-GB" w:eastAsia="ko-KR"/>
        </w:rPr>
        <w:t>1</w:t>
      </w:r>
      <w:r w:rsidRPr="004E0FF0">
        <w:rPr>
          <w:rFonts w:ascii="Arial" w:hAnsi="Arial" w:cs="Arial"/>
          <w:sz w:val="18"/>
          <w:szCs w:val="18"/>
          <w:lang w:val="en-GB"/>
        </w:rPr>
        <w:t>-1 in TS38.874]</w:t>
      </w:r>
      <w:r w:rsidRPr="004E0FF0">
        <w:rPr>
          <w:rFonts w:ascii="Arial" w:eastAsia="Malgun Gothic" w:hAnsi="Arial" w:cs="Arial"/>
          <w:sz w:val="18"/>
          <w:szCs w:val="18"/>
          <w:lang w:val="en-GB" w:eastAsia="ko-KR"/>
        </w:rPr>
        <w:t>:</w:t>
      </w:r>
      <w:r w:rsidRPr="004E0FF0">
        <w:rPr>
          <w:rFonts w:ascii="Arial" w:hAnsi="Arial" w:cs="Arial"/>
          <w:sz w:val="18"/>
          <w:szCs w:val="18"/>
          <w:lang w:val="en-GB"/>
        </w:rPr>
        <w:t xml:space="preserve"> Different IAB link types</w:t>
      </w:r>
    </w:p>
    <w:p w14:paraId="0E84B6A3" w14:textId="641A710B" w:rsidR="009842AA" w:rsidRDefault="00897C70" w:rsidP="0053006D">
      <w:pPr>
        <w:rPr>
          <w:rFonts w:ascii="Calibri" w:hAnsi="Calibri" w:cs="Calibri"/>
          <w:iCs/>
          <w:szCs w:val="21"/>
        </w:rPr>
      </w:pPr>
      <w:r>
        <w:rPr>
          <w:rFonts w:ascii="Calibri" w:hAnsi="Calibri" w:cs="Calibri"/>
          <w:iCs/>
          <w:szCs w:val="21"/>
        </w:rPr>
        <w:t xml:space="preserve">Hence it’s supposed that simultaneous operation between IAB own child and parent link can be enable by </w:t>
      </w:r>
      <w:r w:rsidR="009842AA">
        <w:rPr>
          <w:rFonts w:ascii="Calibri" w:hAnsi="Calibri" w:cs="Calibri"/>
          <w:iCs/>
          <w:szCs w:val="21"/>
        </w:rPr>
        <w:t>FDM and</w:t>
      </w:r>
      <w:r>
        <w:rPr>
          <w:rFonts w:ascii="Calibri" w:hAnsi="Calibri" w:cs="Calibri"/>
          <w:iCs/>
          <w:szCs w:val="21"/>
        </w:rPr>
        <w:t>/or</w:t>
      </w:r>
      <w:r w:rsidR="009842AA">
        <w:rPr>
          <w:rFonts w:ascii="Calibri" w:hAnsi="Calibri" w:cs="Calibri"/>
          <w:iCs/>
          <w:szCs w:val="21"/>
        </w:rPr>
        <w:t xml:space="preserve"> SDM solution</w:t>
      </w:r>
      <w:r w:rsidR="001F57F3">
        <w:rPr>
          <w:rFonts w:ascii="Calibri" w:hAnsi="Calibri" w:cs="Calibri"/>
          <w:iCs/>
          <w:szCs w:val="21"/>
        </w:rPr>
        <w:t>.</w:t>
      </w:r>
      <w:r w:rsidR="009842AA">
        <w:rPr>
          <w:rFonts w:ascii="Calibri" w:hAnsi="Calibri" w:cs="Calibri"/>
          <w:iCs/>
          <w:szCs w:val="21"/>
        </w:rPr>
        <w:t xml:space="preserve"> </w:t>
      </w:r>
      <w:r w:rsidR="00AF3CAD">
        <w:rPr>
          <w:rFonts w:ascii="Calibri" w:hAnsi="Calibri" w:cs="Calibri"/>
          <w:iCs/>
          <w:szCs w:val="21"/>
        </w:rPr>
        <w:t xml:space="preserve">The target scenarios listed for Rel-17 IAB simultaneous operation are illustrated briefly as below, in which the child link is simplified </w:t>
      </w:r>
      <w:r w:rsidR="0059117C">
        <w:rPr>
          <w:rFonts w:ascii="Calibri" w:hAnsi="Calibri" w:cs="Calibri"/>
          <w:iCs/>
          <w:szCs w:val="21"/>
        </w:rPr>
        <w:t>to point to its</w:t>
      </w:r>
      <w:r w:rsidR="00AF3CAD">
        <w:rPr>
          <w:rFonts w:ascii="Calibri" w:hAnsi="Calibri" w:cs="Calibri"/>
          <w:iCs/>
          <w:szCs w:val="21"/>
        </w:rPr>
        <w:t xml:space="preserve"> </w:t>
      </w:r>
      <w:r w:rsidR="0059117C">
        <w:rPr>
          <w:rFonts w:ascii="Calibri" w:hAnsi="Calibri" w:cs="Calibri"/>
          <w:iCs/>
          <w:szCs w:val="21"/>
        </w:rPr>
        <w:t>child IAB node only. But as explain above for target IAB node in the middle its child link covers both access link to UE and child link to its child IAB node.</w:t>
      </w:r>
    </w:p>
    <w:p w14:paraId="7653FBA6" w14:textId="77777777" w:rsidR="00292821" w:rsidRDefault="00292821" w:rsidP="0053006D">
      <w:pPr>
        <w:rPr>
          <w:rFonts w:ascii="Calibri" w:hAnsi="Calibri" w:cs="Calibri"/>
          <w:iCs/>
          <w:szCs w:val="21"/>
        </w:rPr>
      </w:pPr>
    </w:p>
    <w:p w14:paraId="6F95729C" w14:textId="75FAEA6E" w:rsidR="00E61D66" w:rsidRDefault="00E61D66" w:rsidP="001F57F3">
      <w:pPr>
        <w:jc w:val="center"/>
      </w:pPr>
      <w:r>
        <w:rPr>
          <w:noProof/>
        </w:rPr>
        <w:drawing>
          <wp:inline distT="0" distB="0" distL="0" distR="0" wp14:anchorId="575B1670" wp14:editId="1A321FA2">
            <wp:extent cx="2475914" cy="895447"/>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06072" cy="906354"/>
                    </a:xfrm>
                    <a:prstGeom prst="rect">
                      <a:avLst/>
                    </a:prstGeom>
                    <a:noFill/>
                    <a:ln>
                      <a:noFill/>
                    </a:ln>
                  </pic:spPr>
                </pic:pic>
              </a:graphicData>
            </a:graphic>
          </wp:inline>
        </w:drawing>
      </w:r>
      <w:r>
        <w:rPr>
          <w:noProof/>
        </w:rPr>
        <w:drawing>
          <wp:inline distT="0" distB="0" distL="0" distR="0" wp14:anchorId="5C78ADA3" wp14:editId="2AE9282B">
            <wp:extent cx="2595489" cy="90335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1416" cy="912377"/>
                    </a:xfrm>
                    <a:prstGeom prst="rect">
                      <a:avLst/>
                    </a:prstGeom>
                    <a:noFill/>
                    <a:ln>
                      <a:noFill/>
                    </a:ln>
                  </pic:spPr>
                </pic:pic>
              </a:graphicData>
            </a:graphic>
          </wp:inline>
        </w:drawing>
      </w:r>
    </w:p>
    <w:p w14:paraId="535AC075" w14:textId="5964BED5" w:rsidR="00E61D66" w:rsidRPr="004E0FF0" w:rsidRDefault="004E0FF0" w:rsidP="001F57F3">
      <w:pPr>
        <w:ind w:firstLineChars="450" w:firstLine="813"/>
        <w:rPr>
          <w:rFonts w:ascii="Arial" w:hAnsi="Arial" w:cs="Arial"/>
          <w:sz w:val="18"/>
          <w:szCs w:val="18"/>
        </w:rPr>
      </w:pPr>
      <w:r w:rsidRPr="004E0FF0">
        <w:rPr>
          <w:rFonts w:ascii="Arial" w:hAnsi="Arial" w:cs="Arial"/>
          <w:b/>
          <w:sz w:val="18"/>
          <w:szCs w:val="18"/>
        </w:rPr>
        <w:t>Figure2-1</w:t>
      </w:r>
      <w:r w:rsidRPr="004E0FF0">
        <w:rPr>
          <w:rFonts w:ascii="Arial" w:hAnsi="Arial" w:cs="Arial"/>
          <w:sz w:val="18"/>
          <w:szCs w:val="18"/>
        </w:rPr>
        <w:t xml:space="preserve">: simultaneous IAB-MT TX and IAB-DU </w:t>
      </w:r>
      <w:r w:rsidR="001F57F3" w:rsidRPr="004E0FF0">
        <w:rPr>
          <w:rFonts w:ascii="Arial" w:hAnsi="Arial" w:cs="Arial"/>
          <w:sz w:val="18"/>
          <w:szCs w:val="18"/>
        </w:rPr>
        <w:t xml:space="preserve">TX </w:t>
      </w:r>
      <w:r w:rsidR="001F57F3">
        <w:rPr>
          <w:rFonts w:ascii="Arial" w:hAnsi="Arial" w:cs="Arial"/>
          <w:sz w:val="18"/>
          <w:szCs w:val="18"/>
        </w:rPr>
        <w:t xml:space="preserve"> </w:t>
      </w:r>
      <w:r w:rsidR="001F57F3" w:rsidRPr="001F57F3">
        <w:rPr>
          <w:rFonts w:ascii="Arial" w:hAnsi="Arial" w:cs="Arial"/>
          <w:b/>
          <w:sz w:val="18"/>
          <w:szCs w:val="18"/>
        </w:rPr>
        <w:t>Figure2</w:t>
      </w:r>
      <w:r w:rsidR="00E61D66" w:rsidRPr="001F57F3">
        <w:rPr>
          <w:rFonts w:ascii="Arial" w:hAnsi="Arial" w:cs="Arial"/>
          <w:b/>
          <w:sz w:val="18"/>
          <w:szCs w:val="18"/>
        </w:rPr>
        <w:t>-2</w:t>
      </w:r>
      <w:r w:rsidR="00E61D66" w:rsidRPr="004E0FF0">
        <w:rPr>
          <w:rFonts w:ascii="Arial" w:hAnsi="Arial" w:cs="Arial"/>
          <w:sz w:val="18"/>
          <w:szCs w:val="18"/>
        </w:rPr>
        <w:t xml:space="preserve">: simultaneous IAB-MT RX and IAB-DU RX </w:t>
      </w:r>
    </w:p>
    <w:p w14:paraId="67BF1F48" w14:textId="09E27511" w:rsidR="00E61D66" w:rsidRDefault="00E61D66" w:rsidP="001F57F3">
      <w:pPr>
        <w:jc w:val="center"/>
      </w:pPr>
      <w:r>
        <w:rPr>
          <w:noProof/>
        </w:rPr>
        <w:lastRenderedPageBreak/>
        <w:drawing>
          <wp:inline distT="0" distB="0" distL="0" distR="0" wp14:anchorId="1CAA3616" wp14:editId="128BD94A">
            <wp:extent cx="2366036" cy="8440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0173" cy="852671"/>
                    </a:xfrm>
                    <a:prstGeom prst="rect">
                      <a:avLst/>
                    </a:prstGeom>
                    <a:noFill/>
                    <a:ln>
                      <a:noFill/>
                    </a:ln>
                  </pic:spPr>
                </pic:pic>
              </a:graphicData>
            </a:graphic>
          </wp:inline>
        </w:drawing>
      </w:r>
      <w:r>
        <w:rPr>
          <w:noProof/>
        </w:rPr>
        <w:drawing>
          <wp:inline distT="0" distB="0" distL="0" distR="0" wp14:anchorId="48E9A4BC" wp14:editId="253C0041">
            <wp:extent cx="2384474" cy="84729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9059" cy="856027"/>
                    </a:xfrm>
                    <a:prstGeom prst="rect">
                      <a:avLst/>
                    </a:prstGeom>
                    <a:noFill/>
                    <a:ln>
                      <a:noFill/>
                    </a:ln>
                  </pic:spPr>
                </pic:pic>
              </a:graphicData>
            </a:graphic>
          </wp:inline>
        </w:drawing>
      </w:r>
    </w:p>
    <w:p w14:paraId="7BE173AB" w14:textId="4A9FFA59" w:rsidR="00292821" w:rsidRDefault="004E0FF0" w:rsidP="004E33EB">
      <w:pPr>
        <w:ind w:firstLineChars="450" w:firstLine="813"/>
        <w:rPr>
          <w:rFonts w:ascii="Arial" w:hAnsi="Arial" w:cs="Arial"/>
          <w:b/>
          <w:sz w:val="18"/>
          <w:szCs w:val="18"/>
        </w:rPr>
      </w:pPr>
      <w:r w:rsidRPr="001F57F3">
        <w:rPr>
          <w:rFonts w:ascii="Arial" w:hAnsi="Arial" w:cs="Arial"/>
          <w:b/>
          <w:sz w:val="18"/>
          <w:szCs w:val="18"/>
        </w:rPr>
        <w:t xml:space="preserve">Figure2-3: </w:t>
      </w:r>
      <w:r w:rsidRPr="001F57F3">
        <w:rPr>
          <w:rFonts w:ascii="Arial" w:hAnsi="Arial" w:cs="Arial"/>
          <w:sz w:val="18"/>
          <w:szCs w:val="18"/>
        </w:rPr>
        <w:t>simultaneous IAB-MT RX and IAB-DU TX</w:t>
      </w:r>
      <w:r w:rsidRPr="001F57F3">
        <w:rPr>
          <w:rFonts w:ascii="Arial" w:hAnsi="Arial" w:cs="Arial"/>
          <w:b/>
          <w:sz w:val="18"/>
          <w:szCs w:val="18"/>
        </w:rPr>
        <w:t xml:space="preserve"> </w:t>
      </w:r>
      <w:r w:rsidRPr="001F57F3">
        <w:rPr>
          <w:rFonts w:ascii="Arial" w:hAnsi="Arial" w:cs="Arial" w:hint="eastAsia"/>
          <w:b/>
          <w:sz w:val="18"/>
          <w:szCs w:val="18"/>
        </w:rPr>
        <w:t xml:space="preserve"> </w:t>
      </w:r>
      <w:r w:rsidR="00E61D66" w:rsidRPr="001F57F3">
        <w:rPr>
          <w:rFonts w:ascii="Arial" w:hAnsi="Arial" w:cs="Arial"/>
          <w:b/>
          <w:sz w:val="18"/>
          <w:szCs w:val="18"/>
        </w:rPr>
        <w:t>Figure</w:t>
      </w:r>
      <w:r w:rsidR="001F57F3">
        <w:rPr>
          <w:rFonts w:ascii="Arial" w:hAnsi="Arial" w:cs="Arial"/>
          <w:b/>
          <w:sz w:val="18"/>
          <w:szCs w:val="18"/>
        </w:rPr>
        <w:t>2</w:t>
      </w:r>
      <w:r w:rsidR="00E61D66" w:rsidRPr="001F57F3">
        <w:rPr>
          <w:rFonts w:ascii="Arial" w:hAnsi="Arial" w:cs="Arial"/>
          <w:b/>
          <w:sz w:val="18"/>
          <w:szCs w:val="18"/>
        </w:rPr>
        <w:t xml:space="preserve">-4: </w:t>
      </w:r>
      <w:r w:rsidR="00E61D66" w:rsidRPr="001F57F3">
        <w:rPr>
          <w:rFonts w:ascii="Arial" w:hAnsi="Arial" w:cs="Arial"/>
          <w:sz w:val="18"/>
          <w:szCs w:val="18"/>
        </w:rPr>
        <w:t>simultaneous IAB-MT TX and IAB-DU RX</w:t>
      </w:r>
      <w:r w:rsidR="00E61D66" w:rsidRPr="001F57F3">
        <w:rPr>
          <w:rFonts w:ascii="Arial" w:hAnsi="Arial" w:cs="Arial"/>
          <w:b/>
          <w:sz w:val="18"/>
          <w:szCs w:val="18"/>
        </w:rPr>
        <w:t xml:space="preserve"> </w:t>
      </w:r>
    </w:p>
    <w:p w14:paraId="5591C2F1" w14:textId="3EB2BA8D" w:rsidR="00583901" w:rsidRPr="00583901" w:rsidRDefault="00583901" w:rsidP="00583901">
      <w:pPr>
        <w:jc w:val="left"/>
        <w:rPr>
          <w:rFonts w:cstheme="minorHAnsi"/>
          <w:szCs w:val="21"/>
        </w:rPr>
      </w:pPr>
      <w:r w:rsidRPr="00583901">
        <w:rPr>
          <w:rFonts w:cstheme="minorHAnsi"/>
          <w:szCs w:val="21"/>
        </w:rPr>
        <w:t xml:space="preserve">The scenarios are numbered as below to </w:t>
      </w:r>
      <w:r>
        <w:rPr>
          <w:rFonts w:cstheme="minorHAnsi"/>
          <w:szCs w:val="21"/>
        </w:rPr>
        <w:t>facilitate</w:t>
      </w:r>
      <w:r w:rsidRPr="00583901">
        <w:rPr>
          <w:rFonts w:cstheme="minorHAnsi"/>
          <w:szCs w:val="21"/>
        </w:rPr>
        <w:t xml:space="preserve"> following discussion in this contribution. </w:t>
      </w:r>
    </w:p>
    <w:p w14:paraId="2EDBA633" w14:textId="0771730D" w:rsidR="00583901" w:rsidRPr="00583901" w:rsidRDefault="00583901" w:rsidP="008868B7">
      <w:pPr>
        <w:pStyle w:val="a7"/>
        <w:numPr>
          <w:ilvl w:val="2"/>
          <w:numId w:val="4"/>
        </w:numPr>
        <w:ind w:firstLineChars="0"/>
        <w:rPr>
          <w:rFonts w:asciiTheme="minorHAnsi" w:hAnsiTheme="minorHAnsi" w:cstheme="minorHAnsi"/>
          <w:sz w:val="21"/>
          <w:szCs w:val="21"/>
        </w:rPr>
      </w:pPr>
      <w:r w:rsidRPr="00583901">
        <w:rPr>
          <w:rFonts w:asciiTheme="minorHAnsi" w:hAnsiTheme="minorHAnsi" w:cstheme="minorHAnsi"/>
          <w:b/>
          <w:sz w:val="21"/>
          <w:szCs w:val="21"/>
        </w:rPr>
        <w:t xml:space="preserve">Scenario 1: </w:t>
      </w:r>
      <w:r w:rsidRPr="00583901">
        <w:rPr>
          <w:rFonts w:asciiTheme="minorHAnsi" w:hAnsiTheme="minorHAnsi" w:cstheme="minorHAnsi"/>
          <w:sz w:val="21"/>
          <w:szCs w:val="21"/>
        </w:rPr>
        <w:t>simultaneous IAB-MT TX and IAB-DU</w:t>
      </w:r>
      <w:r w:rsidR="00010351">
        <w:rPr>
          <w:rFonts w:asciiTheme="minorHAnsi" w:hAnsiTheme="minorHAnsi" w:cstheme="minorHAnsi"/>
          <w:sz w:val="21"/>
          <w:szCs w:val="21"/>
        </w:rPr>
        <w:t xml:space="preserve"> TX</w:t>
      </w:r>
    </w:p>
    <w:p w14:paraId="32D7E621" w14:textId="5B544566" w:rsidR="00583901" w:rsidRPr="00583901" w:rsidRDefault="00583901" w:rsidP="008868B7">
      <w:pPr>
        <w:pStyle w:val="a7"/>
        <w:numPr>
          <w:ilvl w:val="2"/>
          <w:numId w:val="4"/>
        </w:numPr>
        <w:ind w:firstLineChars="0"/>
        <w:rPr>
          <w:rFonts w:asciiTheme="minorHAnsi" w:hAnsiTheme="minorHAnsi" w:cstheme="minorHAnsi"/>
          <w:sz w:val="21"/>
          <w:szCs w:val="21"/>
        </w:rPr>
      </w:pPr>
      <w:r w:rsidRPr="00583901">
        <w:rPr>
          <w:rFonts w:asciiTheme="minorHAnsi" w:hAnsiTheme="minorHAnsi" w:cstheme="minorHAnsi"/>
          <w:b/>
          <w:sz w:val="21"/>
          <w:szCs w:val="21"/>
        </w:rPr>
        <w:t>Scenario 2</w:t>
      </w:r>
      <w:r w:rsidRPr="00583901">
        <w:rPr>
          <w:rFonts w:asciiTheme="minorHAnsi" w:hAnsiTheme="minorHAnsi" w:cstheme="minorHAnsi"/>
          <w:sz w:val="21"/>
          <w:szCs w:val="21"/>
        </w:rPr>
        <w:t>: simultaneous IAB-MT RX and IAB-DU RX</w:t>
      </w:r>
    </w:p>
    <w:p w14:paraId="4AF75011" w14:textId="289A68D8" w:rsidR="00583901" w:rsidRPr="00583901" w:rsidRDefault="00583901" w:rsidP="008868B7">
      <w:pPr>
        <w:pStyle w:val="a7"/>
        <w:numPr>
          <w:ilvl w:val="2"/>
          <w:numId w:val="4"/>
        </w:numPr>
        <w:ind w:firstLineChars="0"/>
        <w:rPr>
          <w:rFonts w:asciiTheme="minorHAnsi" w:hAnsiTheme="minorHAnsi" w:cstheme="minorHAnsi"/>
          <w:sz w:val="21"/>
          <w:szCs w:val="21"/>
        </w:rPr>
      </w:pPr>
      <w:r w:rsidRPr="00583901">
        <w:rPr>
          <w:rFonts w:asciiTheme="minorHAnsi" w:hAnsiTheme="minorHAnsi" w:cstheme="minorHAnsi"/>
          <w:b/>
          <w:sz w:val="21"/>
          <w:szCs w:val="21"/>
        </w:rPr>
        <w:t>Scenario 3</w:t>
      </w:r>
      <w:r w:rsidRPr="00583901">
        <w:rPr>
          <w:rFonts w:asciiTheme="minorHAnsi" w:hAnsiTheme="minorHAnsi" w:cstheme="minorHAnsi"/>
          <w:sz w:val="21"/>
          <w:szCs w:val="21"/>
        </w:rPr>
        <w:t>: simultaneous IAB-MT RX and IAB-DU TX</w:t>
      </w:r>
    </w:p>
    <w:p w14:paraId="46B4FD03" w14:textId="26033100" w:rsidR="00583901" w:rsidRPr="00583901" w:rsidRDefault="00583901" w:rsidP="008868B7">
      <w:pPr>
        <w:pStyle w:val="a7"/>
        <w:numPr>
          <w:ilvl w:val="2"/>
          <w:numId w:val="4"/>
        </w:numPr>
        <w:ind w:firstLineChars="0"/>
        <w:rPr>
          <w:rFonts w:asciiTheme="minorHAnsi" w:hAnsiTheme="minorHAnsi" w:cstheme="minorHAnsi"/>
          <w:b/>
          <w:sz w:val="21"/>
          <w:szCs w:val="21"/>
        </w:rPr>
      </w:pPr>
      <w:r w:rsidRPr="00583901">
        <w:rPr>
          <w:rFonts w:asciiTheme="minorHAnsi" w:hAnsiTheme="minorHAnsi" w:cstheme="minorHAnsi"/>
          <w:b/>
          <w:sz w:val="21"/>
          <w:szCs w:val="21"/>
        </w:rPr>
        <w:t>Scenario 4</w:t>
      </w:r>
      <w:r w:rsidRPr="00583901">
        <w:rPr>
          <w:rFonts w:asciiTheme="minorHAnsi" w:hAnsiTheme="minorHAnsi" w:cstheme="minorHAnsi"/>
          <w:sz w:val="21"/>
          <w:szCs w:val="21"/>
        </w:rPr>
        <w:t>: simultaneous IAB-MT TX and IAB-DU RX</w:t>
      </w:r>
    </w:p>
    <w:p w14:paraId="5C777FCF" w14:textId="5DB0DC05" w:rsidR="00F65876" w:rsidRPr="00F65876" w:rsidRDefault="00F65876" w:rsidP="0053006D">
      <w:pPr>
        <w:rPr>
          <w:rFonts w:ascii="Calibri" w:hAnsi="Calibri" w:cs="Calibri"/>
          <w:iCs/>
          <w:szCs w:val="21"/>
        </w:rPr>
      </w:pPr>
    </w:p>
    <w:p w14:paraId="61DC2863" w14:textId="2A8A61E0" w:rsidR="008B1AA0" w:rsidRDefault="00E222A5" w:rsidP="0053006D">
      <w:pPr>
        <w:rPr>
          <w:rFonts w:ascii="Calibri" w:hAnsi="Calibri" w:cs="Calibri"/>
          <w:iCs/>
          <w:szCs w:val="21"/>
        </w:rPr>
      </w:pPr>
      <w:r w:rsidRPr="005A7521">
        <w:rPr>
          <w:rFonts w:ascii="Calibri" w:hAnsi="Calibri" w:cs="Calibri"/>
          <w:iCs/>
          <w:szCs w:val="21"/>
        </w:rPr>
        <w:t>In figure</w:t>
      </w:r>
      <w:r w:rsidR="00292821" w:rsidRPr="005A7521">
        <w:rPr>
          <w:rFonts w:ascii="Calibri" w:hAnsi="Calibri" w:cs="Calibri"/>
          <w:iCs/>
          <w:szCs w:val="21"/>
        </w:rPr>
        <w:t>2</w:t>
      </w:r>
      <w:r w:rsidRPr="005A7521">
        <w:rPr>
          <w:rFonts w:ascii="Calibri" w:hAnsi="Calibri" w:cs="Calibri"/>
          <w:iCs/>
          <w:szCs w:val="21"/>
        </w:rPr>
        <w:t xml:space="preserve"> it is shown as separated panels between IAB-DU and IAB-MT as example. It is not precluded any implementation flexibility </w:t>
      </w:r>
      <w:r w:rsidR="009173DC" w:rsidRPr="005A7521">
        <w:rPr>
          <w:rFonts w:ascii="Calibri" w:hAnsi="Calibri" w:cs="Calibri"/>
          <w:iCs/>
          <w:szCs w:val="21"/>
        </w:rPr>
        <w:t xml:space="preserve">such how panel mapping to RIB </w:t>
      </w:r>
      <w:r w:rsidR="00F65876">
        <w:rPr>
          <w:rFonts w:ascii="Calibri" w:hAnsi="Calibri" w:cs="Calibri"/>
          <w:iCs/>
          <w:szCs w:val="21"/>
        </w:rPr>
        <w:t xml:space="preserve">/connector </w:t>
      </w:r>
      <w:r w:rsidRPr="005A7521">
        <w:rPr>
          <w:rFonts w:ascii="Calibri" w:hAnsi="Calibri" w:cs="Calibri"/>
          <w:iCs/>
          <w:szCs w:val="21"/>
        </w:rPr>
        <w:t>as RAN4 requirement is defined as RF architecture agnostic way (as much as possible).</w:t>
      </w:r>
      <w:r w:rsidR="009173DC" w:rsidRPr="005A7521">
        <w:rPr>
          <w:rFonts w:ascii="Calibri" w:hAnsi="Calibri" w:cs="Calibri"/>
          <w:iCs/>
          <w:szCs w:val="21"/>
        </w:rPr>
        <w:t xml:space="preserve"> However, it would still be</w:t>
      </w:r>
      <w:r w:rsidRPr="005A7521">
        <w:rPr>
          <w:rFonts w:ascii="Calibri" w:hAnsi="Calibri" w:cs="Calibri"/>
          <w:iCs/>
          <w:szCs w:val="21"/>
        </w:rPr>
        <w:t xml:space="preserve"> beneficial to take </w:t>
      </w:r>
      <w:r w:rsidR="009173DC" w:rsidRPr="005A7521">
        <w:rPr>
          <w:rFonts w:ascii="Calibri" w:hAnsi="Calibri" w:cs="Calibri"/>
          <w:iCs/>
          <w:szCs w:val="21"/>
        </w:rPr>
        <w:t>a review on legacy Rel-16 specification/terminology</w:t>
      </w:r>
      <w:r w:rsidR="005A7521">
        <w:rPr>
          <w:rFonts w:ascii="Calibri" w:hAnsi="Calibri" w:cs="Calibri"/>
          <w:iCs/>
          <w:szCs w:val="21"/>
        </w:rPr>
        <w:t xml:space="preserve"> which may relate to simultaneous operation between IAB-MT and IAB-DU</w:t>
      </w:r>
      <w:r w:rsidR="009173DC" w:rsidRPr="005A7521">
        <w:rPr>
          <w:rFonts w:ascii="Calibri" w:hAnsi="Calibri" w:cs="Calibri"/>
          <w:iCs/>
          <w:szCs w:val="21"/>
        </w:rPr>
        <w:t xml:space="preserve">. </w:t>
      </w:r>
    </w:p>
    <w:p w14:paraId="17E9ABEC" w14:textId="2E7ED617" w:rsidR="00C0710F" w:rsidRDefault="00C0710F" w:rsidP="0053006D">
      <w:pPr>
        <w:rPr>
          <w:rFonts w:ascii="Calibri" w:hAnsi="Calibri" w:cs="Calibri"/>
          <w:iCs/>
          <w:szCs w:val="21"/>
        </w:rPr>
      </w:pPr>
      <w:r>
        <w:rPr>
          <w:rFonts w:ascii="Calibri" w:hAnsi="Calibri" w:cs="Calibri"/>
          <w:iCs/>
          <w:szCs w:val="21"/>
        </w:rPr>
        <w:t>First of all, since Rel-16 both multi-carrier and multi-band operation are defined for both IAB-MT and IAB-DU</w:t>
      </w:r>
      <w:r w:rsidR="004F7EEE">
        <w:rPr>
          <w:rFonts w:ascii="Calibri" w:hAnsi="Calibri" w:cs="Calibri"/>
          <w:iCs/>
          <w:szCs w:val="21"/>
        </w:rPr>
        <w:t>, which complies with gNB’s approach,</w:t>
      </w:r>
      <w:r>
        <w:rPr>
          <w:rFonts w:ascii="Calibri" w:hAnsi="Calibri" w:cs="Calibri"/>
          <w:iCs/>
          <w:szCs w:val="21"/>
        </w:rPr>
        <w:t xml:space="preserve"> as in below general sub-clauses in TS38.174</w:t>
      </w:r>
      <w:r w:rsidR="004F7EEE">
        <w:rPr>
          <w:rFonts w:ascii="Calibri" w:hAnsi="Calibri" w:cs="Calibri"/>
          <w:iCs/>
          <w:szCs w:val="21"/>
        </w:rPr>
        <w:t>.</w:t>
      </w:r>
    </w:p>
    <w:p w14:paraId="18D6AED3" w14:textId="15618E58" w:rsidR="00C0710F" w:rsidRPr="004F7EEE" w:rsidRDefault="00C0710F" w:rsidP="008868B7">
      <w:pPr>
        <w:pStyle w:val="a7"/>
        <w:numPr>
          <w:ilvl w:val="0"/>
          <w:numId w:val="3"/>
        </w:numPr>
        <w:ind w:firstLineChars="0"/>
        <w:rPr>
          <w:rFonts w:ascii="Times New Roman" w:hAnsi="Times New Roman" w:cs="Times New Roman"/>
          <w:iCs/>
          <w:sz w:val="21"/>
          <w:szCs w:val="21"/>
        </w:rPr>
      </w:pPr>
      <w:r w:rsidRPr="004F7EEE">
        <w:rPr>
          <w:rFonts w:ascii="Times New Roman" w:hAnsi="Times New Roman" w:cs="Times New Roman"/>
          <w:iCs/>
          <w:sz w:val="21"/>
          <w:szCs w:val="21"/>
        </w:rPr>
        <w:t xml:space="preserve">4.8 </w:t>
      </w:r>
      <w:r w:rsidR="004F7EEE" w:rsidRPr="004F7EEE">
        <w:rPr>
          <w:rFonts w:ascii="Times New Roman" w:hAnsi="Times New Roman" w:cs="Times New Roman"/>
          <w:sz w:val="21"/>
          <w:szCs w:val="21"/>
        </w:rPr>
        <w:t>Requirements for contiguous and non-contiguous spectrum</w:t>
      </w:r>
    </w:p>
    <w:p w14:paraId="7F2D428D" w14:textId="6BA8AC1F" w:rsidR="004F7EEE" w:rsidRPr="004F7EEE" w:rsidRDefault="00C0710F" w:rsidP="008868B7">
      <w:pPr>
        <w:pStyle w:val="a7"/>
        <w:numPr>
          <w:ilvl w:val="0"/>
          <w:numId w:val="3"/>
        </w:numPr>
        <w:ind w:firstLineChars="0"/>
        <w:rPr>
          <w:rFonts w:ascii="Times New Roman" w:hAnsi="Times New Roman" w:cs="Times New Roman"/>
          <w:iCs/>
          <w:sz w:val="21"/>
          <w:szCs w:val="21"/>
        </w:rPr>
      </w:pPr>
      <w:r w:rsidRPr="004F7EEE">
        <w:rPr>
          <w:rFonts w:ascii="Times New Roman" w:hAnsi="Times New Roman" w:cs="Times New Roman"/>
          <w:iCs/>
          <w:sz w:val="21"/>
          <w:szCs w:val="21"/>
        </w:rPr>
        <w:t xml:space="preserve">4.9 </w:t>
      </w:r>
      <w:r w:rsidR="004F7EEE" w:rsidRPr="004F7EEE">
        <w:rPr>
          <w:rFonts w:ascii="Times New Roman" w:hAnsi="Times New Roman" w:cs="Times New Roman"/>
          <w:sz w:val="21"/>
          <w:szCs w:val="21"/>
        </w:rPr>
        <w:t>Requirements for IAB-DU and IAB-MT capable of multi-band operation</w:t>
      </w:r>
      <w:r w:rsidRPr="004F7EEE">
        <w:rPr>
          <w:rFonts w:ascii="Times New Roman" w:hAnsi="Times New Roman" w:cs="Times New Roman"/>
          <w:iCs/>
          <w:sz w:val="21"/>
          <w:szCs w:val="21"/>
        </w:rPr>
        <w:t xml:space="preserve"> </w:t>
      </w:r>
    </w:p>
    <w:p w14:paraId="52E7F211" w14:textId="11202558" w:rsidR="004F7EEE" w:rsidRPr="004F7EEE" w:rsidRDefault="004F7EEE" w:rsidP="004F7EEE">
      <w:pPr>
        <w:rPr>
          <w:rFonts w:ascii="Calibri" w:hAnsi="Calibri" w:cs="Calibri"/>
          <w:iCs/>
          <w:szCs w:val="21"/>
        </w:rPr>
      </w:pPr>
      <w:r>
        <w:rPr>
          <w:rFonts w:ascii="Calibri" w:hAnsi="Calibri" w:cs="Calibri" w:hint="eastAsia"/>
          <w:iCs/>
          <w:szCs w:val="21"/>
        </w:rPr>
        <w:t>F</w:t>
      </w:r>
      <w:r>
        <w:rPr>
          <w:rFonts w:ascii="Calibri" w:hAnsi="Calibri" w:cs="Calibri"/>
          <w:iCs/>
          <w:szCs w:val="21"/>
        </w:rPr>
        <w:t xml:space="preserve">urthermore, there are below terminologies defined in TS38.174. </w:t>
      </w:r>
    </w:p>
    <w:tbl>
      <w:tblPr>
        <w:tblStyle w:val="a6"/>
        <w:tblW w:w="0" w:type="auto"/>
        <w:tblLook w:val="04A0" w:firstRow="1" w:lastRow="0" w:firstColumn="1" w:lastColumn="0" w:noHBand="0" w:noVBand="1"/>
      </w:tblPr>
      <w:tblGrid>
        <w:gridCol w:w="10456"/>
      </w:tblGrid>
      <w:tr w:rsidR="00C0710F" w14:paraId="68267DA8" w14:textId="77777777" w:rsidTr="0091128E">
        <w:tc>
          <w:tcPr>
            <w:tcW w:w="10456" w:type="dxa"/>
          </w:tcPr>
          <w:p w14:paraId="2EB4C641" w14:textId="77777777" w:rsidR="00C0710F" w:rsidRPr="00657849" w:rsidRDefault="00C0710F" w:rsidP="0091128E">
            <w:pPr>
              <w:rPr>
                <w:rFonts w:ascii="Times New Roman" w:hAnsi="Times New Roman" w:cs="Times New Roman"/>
                <w:b/>
                <w:bCs/>
              </w:rPr>
            </w:pPr>
            <w:r w:rsidRPr="00657849">
              <w:rPr>
                <w:rFonts w:ascii="Times New Roman" w:hAnsi="Times New Roman" w:cs="Times New Roman"/>
                <w:b/>
              </w:rPr>
              <w:t>multi-band connector</w:t>
            </w:r>
            <w:r w:rsidRPr="00657849">
              <w:rPr>
                <w:rFonts w:ascii="Times New Roman" w:hAnsi="Times New Roman" w:cs="Times New Roman"/>
              </w:rPr>
              <w:t xml:space="preserve">: </w:t>
            </w:r>
            <w:r w:rsidRPr="00657849">
              <w:rPr>
                <w:rFonts w:ascii="Times New Roman" w:hAnsi="Times New Roman" w:cs="Times New Roman"/>
                <w:i/>
                <w:iCs/>
              </w:rPr>
              <w:t>TAB connector</w:t>
            </w:r>
            <w:r w:rsidRPr="00657849">
              <w:rPr>
                <w:rFonts w:ascii="Times New Roman" w:hAnsi="Times New Roman" w:cs="Times New Roman"/>
              </w:rPr>
              <w:t xml:space="preserve"> of </w:t>
            </w:r>
            <w:r w:rsidRPr="00657849">
              <w:rPr>
                <w:rFonts w:ascii="Times New Roman" w:hAnsi="Times New Roman" w:cs="Times New Roman"/>
                <w:i/>
              </w:rPr>
              <w:t>IAB type 1-H</w:t>
            </w:r>
            <w:r w:rsidRPr="00657849">
              <w:rPr>
                <w:rFonts w:ascii="Times New Roman" w:hAnsi="Times New Roman" w:cs="Times New Roman"/>
              </w:rPr>
              <w:t xml:space="preserve"> associated with a transmitter or receiver that is characterized by the ability to process two or more carriers in common active RF components simultaneously, where at least one carrier is configured at a different </w:t>
            </w:r>
            <w:r w:rsidRPr="00657849">
              <w:rPr>
                <w:rFonts w:ascii="Times New Roman" w:hAnsi="Times New Roman" w:cs="Times New Roman"/>
                <w:i/>
              </w:rPr>
              <w:t>operating band</w:t>
            </w:r>
            <w:r w:rsidRPr="00657849">
              <w:rPr>
                <w:rFonts w:ascii="Times New Roman" w:hAnsi="Times New Roman" w:cs="Times New Roman"/>
              </w:rPr>
              <w:t xml:space="preserve"> than the other carrier(s) and where this different </w:t>
            </w:r>
            <w:r w:rsidRPr="00657849">
              <w:rPr>
                <w:rFonts w:ascii="Times New Roman" w:hAnsi="Times New Roman" w:cs="Times New Roman"/>
                <w:i/>
              </w:rPr>
              <w:t>operating band</w:t>
            </w:r>
            <w:r w:rsidRPr="00657849">
              <w:rPr>
                <w:rFonts w:ascii="Times New Roman" w:hAnsi="Times New Roman" w:cs="Times New Roman"/>
              </w:rPr>
              <w:t xml:space="preserve"> is not a </w:t>
            </w:r>
            <w:r w:rsidRPr="00657849">
              <w:rPr>
                <w:rFonts w:ascii="Times New Roman" w:hAnsi="Times New Roman" w:cs="Times New Roman"/>
                <w:i/>
              </w:rPr>
              <w:t>sub-band</w:t>
            </w:r>
            <w:r w:rsidRPr="00657849">
              <w:rPr>
                <w:rFonts w:ascii="Times New Roman" w:hAnsi="Times New Roman" w:cs="Times New Roman"/>
              </w:rPr>
              <w:t xml:space="preserve"> or </w:t>
            </w:r>
            <w:r w:rsidRPr="00657849">
              <w:rPr>
                <w:rFonts w:ascii="Times New Roman" w:hAnsi="Times New Roman" w:cs="Times New Roman"/>
                <w:i/>
              </w:rPr>
              <w:t>superseding-band</w:t>
            </w:r>
            <w:r w:rsidRPr="00657849">
              <w:rPr>
                <w:rFonts w:ascii="Times New Roman" w:hAnsi="Times New Roman" w:cs="Times New Roman"/>
              </w:rPr>
              <w:t xml:space="preserve"> of another supported </w:t>
            </w:r>
            <w:r w:rsidRPr="00657849">
              <w:rPr>
                <w:rFonts w:ascii="Times New Roman" w:hAnsi="Times New Roman" w:cs="Times New Roman"/>
                <w:i/>
              </w:rPr>
              <w:t>operating band</w:t>
            </w:r>
          </w:p>
        </w:tc>
      </w:tr>
      <w:tr w:rsidR="00C0710F" w14:paraId="158AF453" w14:textId="77777777" w:rsidTr="0091128E">
        <w:tc>
          <w:tcPr>
            <w:tcW w:w="10456" w:type="dxa"/>
          </w:tcPr>
          <w:p w14:paraId="27AF9244" w14:textId="77777777" w:rsidR="00C0710F" w:rsidRPr="00657849" w:rsidRDefault="00C0710F" w:rsidP="0091128E">
            <w:pPr>
              <w:rPr>
                <w:rFonts w:ascii="Times New Roman" w:hAnsi="Times New Roman" w:cs="Times New Roman"/>
              </w:rPr>
            </w:pPr>
            <w:r w:rsidRPr="00657849">
              <w:rPr>
                <w:rFonts w:ascii="Times New Roman" w:hAnsi="Times New Roman" w:cs="Times New Roman"/>
                <w:b/>
              </w:rPr>
              <w:t>multi-band RIB:</w:t>
            </w:r>
            <w:r w:rsidRPr="00657849">
              <w:rPr>
                <w:rFonts w:ascii="Times New Roman" w:hAnsi="Times New Roman" w:cs="Times New Roman"/>
              </w:rPr>
              <w:t xml:space="preserve"> </w:t>
            </w:r>
            <w:r w:rsidRPr="00657849">
              <w:rPr>
                <w:rFonts w:ascii="Times New Roman" w:hAnsi="Times New Roman" w:cs="Times New Roman"/>
                <w:i/>
              </w:rPr>
              <w:t>operating band</w:t>
            </w:r>
            <w:r w:rsidRPr="00657849">
              <w:rPr>
                <w:rFonts w:ascii="Times New Roman" w:hAnsi="Times New Roman" w:cs="Times New Roman"/>
              </w:rPr>
              <w:t xml:space="preserve"> specific RIB associated with a transmitter or receiver that is characterized by the ability to process two or more carriers in common active RF components simultaneously, where at least one carrier is configured at a different </w:t>
            </w:r>
            <w:r w:rsidRPr="00657849">
              <w:rPr>
                <w:rFonts w:ascii="Times New Roman" w:hAnsi="Times New Roman" w:cs="Times New Roman"/>
                <w:i/>
              </w:rPr>
              <w:t>operating band</w:t>
            </w:r>
            <w:r w:rsidRPr="00657849">
              <w:rPr>
                <w:rFonts w:ascii="Times New Roman" w:hAnsi="Times New Roman" w:cs="Times New Roman"/>
              </w:rPr>
              <w:t xml:space="preserve"> than the other carrier(s) and where this different </w:t>
            </w:r>
            <w:r w:rsidRPr="00657849">
              <w:rPr>
                <w:rFonts w:ascii="Times New Roman" w:hAnsi="Times New Roman" w:cs="Times New Roman"/>
                <w:i/>
              </w:rPr>
              <w:t>operating band</w:t>
            </w:r>
            <w:r w:rsidRPr="00657849">
              <w:rPr>
                <w:rFonts w:ascii="Times New Roman" w:hAnsi="Times New Roman" w:cs="Times New Roman"/>
              </w:rPr>
              <w:t xml:space="preserve"> is not a </w:t>
            </w:r>
            <w:r w:rsidRPr="00657849">
              <w:rPr>
                <w:rFonts w:ascii="Times New Roman" w:hAnsi="Times New Roman" w:cs="Times New Roman"/>
                <w:i/>
              </w:rPr>
              <w:t>sub-band</w:t>
            </w:r>
            <w:r w:rsidRPr="00657849">
              <w:rPr>
                <w:rFonts w:ascii="Times New Roman" w:hAnsi="Times New Roman" w:cs="Times New Roman"/>
              </w:rPr>
              <w:t xml:space="preserve"> or </w:t>
            </w:r>
            <w:r w:rsidRPr="00657849">
              <w:rPr>
                <w:rFonts w:ascii="Times New Roman" w:hAnsi="Times New Roman" w:cs="Times New Roman"/>
                <w:i/>
              </w:rPr>
              <w:t>superseding-band</w:t>
            </w:r>
            <w:r w:rsidRPr="00657849">
              <w:rPr>
                <w:rFonts w:ascii="Times New Roman" w:hAnsi="Times New Roman" w:cs="Times New Roman"/>
              </w:rPr>
              <w:t xml:space="preserve"> of another supported </w:t>
            </w:r>
            <w:r w:rsidRPr="00657849">
              <w:rPr>
                <w:rFonts w:ascii="Times New Roman" w:hAnsi="Times New Roman" w:cs="Times New Roman"/>
                <w:i/>
              </w:rPr>
              <w:t>operating band</w:t>
            </w:r>
          </w:p>
        </w:tc>
      </w:tr>
      <w:tr w:rsidR="00C0710F" w14:paraId="3EA17007" w14:textId="77777777" w:rsidTr="0091128E">
        <w:tc>
          <w:tcPr>
            <w:tcW w:w="10456" w:type="dxa"/>
          </w:tcPr>
          <w:p w14:paraId="0ECBE1C8" w14:textId="77777777" w:rsidR="00C0710F" w:rsidRPr="009173DC" w:rsidRDefault="00C0710F" w:rsidP="0091128E">
            <w:pPr>
              <w:rPr>
                <w:rFonts w:ascii="Times New Roman" w:hAnsi="Times New Roman" w:cs="Times New Roman"/>
              </w:rPr>
            </w:pPr>
            <w:r w:rsidRPr="009173DC">
              <w:rPr>
                <w:rFonts w:ascii="Times New Roman" w:hAnsi="Times New Roman" w:cs="Times New Roman"/>
                <w:b/>
                <w:bCs/>
              </w:rPr>
              <w:t>single-band connector:</w:t>
            </w:r>
            <w:r w:rsidRPr="009173DC">
              <w:rPr>
                <w:rFonts w:ascii="Times New Roman" w:hAnsi="Times New Roman" w:cs="Times New Roman"/>
              </w:rPr>
              <w:t xml:space="preserve"> </w:t>
            </w:r>
            <w:r w:rsidRPr="009173DC">
              <w:rPr>
                <w:rFonts w:ascii="Times New Roman" w:hAnsi="Times New Roman" w:cs="Times New Roman"/>
                <w:i/>
              </w:rPr>
              <w:t>IAB type 1-H</w:t>
            </w:r>
            <w:r w:rsidRPr="009173DC">
              <w:rPr>
                <w:rFonts w:ascii="Times New Roman" w:hAnsi="Times New Roman" w:cs="Times New Roman"/>
              </w:rPr>
              <w:t xml:space="preserve"> </w:t>
            </w:r>
            <w:r w:rsidRPr="009173DC">
              <w:rPr>
                <w:rFonts w:ascii="Times New Roman" w:hAnsi="Times New Roman" w:cs="Times New Roman"/>
                <w:i/>
                <w:iCs/>
              </w:rPr>
              <w:t>TAB connector</w:t>
            </w:r>
            <w:r w:rsidRPr="009173DC">
              <w:rPr>
                <w:rFonts w:ascii="Times New Roman" w:hAnsi="Times New Roman" w:cs="Times New Roman"/>
              </w:rPr>
              <w:t xml:space="preserve"> supporting operation either in a single </w:t>
            </w:r>
            <w:r w:rsidRPr="009173DC">
              <w:rPr>
                <w:rFonts w:ascii="Times New Roman" w:hAnsi="Times New Roman" w:cs="Times New Roman"/>
                <w:i/>
                <w:iCs/>
              </w:rPr>
              <w:t>operating band</w:t>
            </w:r>
            <w:r w:rsidRPr="009173DC">
              <w:rPr>
                <w:rFonts w:ascii="Times New Roman" w:hAnsi="Times New Roman" w:cs="Times New Roman"/>
              </w:rPr>
              <w:t xml:space="preserve"> only, or in multiple </w:t>
            </w:r>
            <w:r w:rsidRPr="009173DC">
              <w:rPr>
                <w:rFonts w:ascii="Times New Roman" w:hAnsi="Times New Roman" w:cs="Times New Roman"/>
                <w:i/>
                <w:iCs/>
              </w:rPr>
              <w:t>operating bands</w:t>
            </w:r>
            <w:r w:rsidRPr="009173DC">
              <w:rPr>
                <w:rFonts w:ascii="Times New Roman" w:hAnsi="Times New Roman" w:cs="Times New Roman"/>
              </w:rPr>
              <w:t xml:space="preserve"> but does not meet the conditions for a </w:t>
            </w:r>
            <w:r w:rsidRPr="009173DC">
              <w:rPr>
                <w:rFonts w:ascii="Times New Roman" w:hAnsi="Times New Roman" w:cs="Times New Roman"/>
                <w:i/>
              </w:rPr>
              <w:t>multi-band connector</w:t>
            </w:r>
            <w:r w:rsidRPr="009173DC">
              <w:rPr>
                <w:rFonts w:ascii="Times New Roman" w:hAnsi="Times New Roman" w:cs="Times New Roman"/>
              </w:rPr>
              <w:t>.</w:t>
            </w:r>
          </w:p>
        </w:tc>
      </w:tr>
      <w:tr w:rsidR="00C0710F" w14:paraId="68DA4082" w14:textId="77777777" w:rsidTr="0091128E">
        <w:tc>
          <w:tcPr>
            <w:tcW w:w="10456" w:type="dxa"/>
          </w:tcPr>
          <w:p w14:paraId="52538320" w14:textId="77777777" w:rsidR="00C0710F" w:rsidRPr="00657849" w:rsidRDefault="00C0710F" w:rsidP="0091128E">
            <w:pPr>
              <w:rPr>
                <w:rFonts w:ascii="Times New Roman" w:hAnsi="Times New Roman" w:cs="Times New Roman"/>
              </w:rPr>
            </w:pPr>
            <w:r w:rsidRPr="00657849">
              <w:rPr>
                <w:rFonts w:ascii="Times New Roman" w:hAnsi="Times New Roman" w:cs="Times New Roman"/>
                <w:b/>
              </w:rPr>
              <w:t>single-band RIB:</w:t>
            </w:r>
            <w:r w:rsidRPr="00657849">
              <w:rPr>
                <w:rFonts w:ascii="Times New Roman" w:hAnsi="Times New Roman" w:cs="Times New Roman"/>
              </w:rPr>
              <w:t xml:space="preserve"> </w:t>
            </w:r>
            <w:r w:rsidRPr="00657849">
              <w:rPr>
                <w:rFonts w:ascii="Times New Roman" w:hAnsi="Times New Roman" w:cs="Times New Roman"/>
                <w:i/>
              </w:rPr>
              <w:t>operating band</w:t>
            </w:r>
            <w:r w:rsidRPr="00657849">
              <w:rPr>
                <w:rFonts w:ascii="Times New Roman" w:hAnsi="Times New Roman" w:cs="Times New Roman"/>
              </w:rPr>
              <w:t xml:space="preserve"> specific RIB supporting operation either in a single </w:t>
            </w:r>
            <w:r w:rsidRPr="00657849">
              <w:rPr>
                <w:rFonts w:ascii="Times New Roman" w:hAnsi="Times New Roman" w:cs="Times New Roman"/>
                <w:i/>
                <w:iCs/>
              </w:rPr>
              <w:t>operating band</w:t>
            </w:r>
            <w:r w:rsidRPr="00657849">
              <w:rPr>
                <w:rFonts w:ascii="Times New Roman" w:hAnsi="Times New Roman" w:cs="Times New Roman"/>
              </w:rPr>
              <w:t xml:space="preserve"> only, or in multiple </w:t>
            </w:r>
            <w:r w:rsidRPr="00657849">
              <w:rPr>
                <w:rFonts w:ascii="Times New Roman" w:hAnsi="Times New Roman" w:cs="Times New Roman"/>
                <w:i/>
                <w:iCs/>
              </w:rPr>
              <w:t>operating bands</w:t>
            </w:r>
            <w:r w:rsidRPr="00657849">
              <w:rPr>
                <w:rFonts w:ascii="Times New Roman" w:hAnsi="Times New Roman" w:cs="Times New Roman"/>
              </w:rPr>
              <w:t xml:space="preserve"> but does not meet the conditions for a </w:t>
            </w:r>
            <w:r w:rsidRPr="00657849">
              <w:rPr>
                <w:rFonts w:ascii="Times New Roman" w:hAnsi="Times New Roman" w:cs="Times New Roman"/>
                <w:i/>
              </w:rPr>
              <w:t>multi-band RIB</w:t>
            </w:r>
            <w:r w:rsidRPr="00657849">
              <w:rPr>
                <w:rFonts w:ascii="Times New Roman" w:hAnsi="Times New Roman" w:cs="Times New Roman"/>
              </w:rPr>
              <w:t xml:space="preserve">. </w:t>
            </w:r>
          </w:p>
        </w:tc>
      </w:tr>
    </w:tbl>
    <w:p w14:paraId="5725537D" w14:textId="11D34B12" w:rsidR="00C0710F" w:rsidRDefault="004F7EEE" w:rsidP="0053006D">
      <w:pPr>
        <w:rPr>
          <w:rFonts w:ascii="Calibri" w:hAnsi="Calibri" w:cs="Calibri"/>
          <w:iCs/>
          <w:szCs w:val="21"/>
        </w:rPr>
      </w:pPr>
      <w:r>
        <w:rPr>
          <w:rFonts w:ascii="Calibri" w:hAnsi="Calibri" w:cs="Calibri"/>
          <w:iCs/>
          <w:szCs w:val="21"/>
        </w:rPr>
        <w:t xml:space="preserve">Hence it is believed that the current specification is forward compatible with definition on FDM and SDM operation. </w:t>
      </w:r>
    </w:p>
    <w:p w14:paraId="4E00BD39" w14:textId="77777777" w:rsidR="00C0710F" w:rsidRDefault="00C0710F" w:rsidP="0053006D">
      <w:pPr>
        <w:rPr>
          <w:rFonts w:ascii="Calibri" w:hAnsi="Calibri" w:cs="Calibri"/>
          <w:iCs/>
          <w:szCs w:val="21"/>
        </w:rPr>
      </w:pPr>
    </w:p>
    <w:p w14:paraId="4862E171" w14:textId="2F2DE3AC" w:rsidR="00010351" w:rsidRDefault="004F7EEE" w:rsidP="0053006D">
      <w:pPr>
        <w:rPr>
          <w:rFonts w:ascii="Calibri" w:hAnsi="Calibri" w:cs="Calibri"/>
          <w:iCs/>
          <w:szCs w:val="21"/>
        </w:rPr>
      </w:pPr>
      <w:r>
        <w:rPr>
          <w:rFonts w:ascii="Calibri" w:hAnsi="Calibri" w:cs="Calibri"/>
          <w:iCs/>
          <w:szCs w:val="21"/>
        </w:rPr>
        <w:t>Specific f</w:t>
      </w:r>
      <w:r w:rsidR="00F65876">
        <w:rPr>
          <w:rFonts w:ascii="Calibri" w:hAnsi="Calibri" w:cs="Calibri"/>
          <w:iCs/>
          <w:szCs w:val="21"/>
        </w:rPr>
        <w:t xml:space="preserve">or scenario 1 and scenario 2, IAB-MT and IAB-DU can be recognized as </w:t>
      </w:r>
      <w:r w:rsidR="00583901">
        <w:rPr>
          <w:rFonts w:ascii="Calibri" w:hAnsi="Calibri" w:cs="Calibri"/>
          <w:iCs/>
          <w:szCs w:val="21"/>
        </w:rPr>
        <w:t>gNB placed on the same site but orients to different sector</w:t>
      </w:r>
      <w:r w:rsidR="00010351">
        <w:rPr>
          <w:rFonts w:ascii="Calibri" w:hAnsi="Calibri" w:cs="Calibri"/>
          <w:iCs/>
          <w:szCs w:val="21"/>
        </w:rPr>
        <w:t xml:space="preserve"> (or direction)</w:t>
      </w:r>
      <w:r w:rsidR="00583901">
        <w:rPr>
          <w:rFonts w:ascii="Calibri" w:hAnsi="Calibri" w:cs="Calibri"/>
          <w:iCs/>
          <w:szCs w:val="21"/>
        </w:rPr>
        <w:t xml:space="preserve"> as shown in figure below. For the same IAB node it is simultaneous transmission on both IAB-MT and IAB-DU in scenario 1. </w:t>
      </w:r>
      <w:r w:rsidR="00C24DB7">
        <w:rPr>
          <w:rFonts w:ascii="Calibri" w:hAnsi="Calibri" w:cs="Calibri"/>
          <w:iCs/>
          <w:szCs w:val="21"/>
        </w:rPr>
        <w:t xml:space="preserve">Similar </w:t>
      </w:r>
      <w:r w:rsidR="00583901">
        <w:rPr>
          <w:rFonts w:ascii="Calibri" w:hAnsi="Calibri" w:cs="Calibri"/>
          <w:iCs/>
          <w:szCs w:val="21"/>
        </w:rPr>
        <w:t>to scenario 2 it is simultaneous reception on both IAB-MT and IAB-DU. The behavior is the same as TDD synchronized operation for gNBs allocated on the same site</w:t>
      </w:r>
      <w:r w:rsidR="00D12EFB">
        <w:rPr>
          <w:rFonts w:ascii="Calibri" w:hAnsi="Calibri" w:cs="Calibri"/>
          <w:iCs/>
          <w:szCs w:val="21"/>
        </w:rPr>
        <w:t xml:space="preserve"> if we take LTE (un)synchronized operation definition as </w:t>
      </w:r>
      <w:r w:rsidR="002B087A">
        <w:rPr>
          <w:rFonts w:ascii="Calibri" w:hAnsi="Calibri" w:cs="Calibri"/>
          <w:iCs/>
          <w:szCs w:val="21"/>
        </w:rPr>
        <w:t xml:space="preserve">below. </w:t>
      </w:r>
      <w:r w:rsidR="00010351">
        <w:rPr>
          <w:rFonts w:ascii="Calibri" w:hAnsi="Calibri" w:cs="Calibri"/>
          <w:iCs/>
          <w:szCs w:val="21"/>
        </w:rPr>
        <w:t xml:space="preserve">From this perspective, it’s believed that to enable scenario 1 and scenario 2 no RF core impact expected for target IAB node itself. </w:t>
      </w:r>
    </w:p>
    <w:p w14:paraId="19D99F73" w14:textId="0F26375A" w:rsidR="00F65876" w:rsidRDefault="00F65876" w:rsidP="0053006D">
      <w:pPr>
        <w:rPr>
          <w:rFonts w:ascii="Calibri" w:hAnsi="Calibri" w:cs="Calibri"/>
          <w:iCs/>
          <w:szCs w:val="21"/>
        </w:rPr>
      </w:pPr>
    </w:p>
    <w:p w14:paraId="762B2954" w14:textId="55C65E31" w:rsidR="00F65876" w:rsidRDefault="00F65876" w:rsidP="0053006D">
      <w:pPr>
        <w:rPr>
          <w:rFonts w:ascii="Calibri" w:hAnsi="Calibri" w:cs="Calibri"/>
          <w:iCs/>
          <w:szCs w:val="21"/>
        </w:rPr>
      </w:pPr>
      <w:r>
        <w:rPr>
          <w:rFonts w:ascii="Calibri" w:hAnsi="Calibri" w:cs="Calibri"/>
          <w:iCs/>
          <w:noProof/>
          <w:szCs w:val="21"/>
        </w:rPr>
        <mc:AlternateContent>
          <mc:Choice Requires="wps">
            <w:drawing>
              <wp:anchor distT="0" distB="0" distL="114300" distR="114300" simplePos="0" relativeHeight="251664384" behindDoc="0" locked="0" layoutInCell="1" allowOverlap="1" wp14:anchorId="36185AF0" wp14:editId="3B2D6243">
                <wp:simplePos x="0" y="0"/>
                <wp:positionH relativeFrom="column">
                  <wp:posOffset>3066708</wp:posOffset>
                </wp:positionH>
                <wp:positionV relativeFrom="paragraph">
                  <wp:posOffset>168812</wp:posOffset>
                </wp:positionV>
                <wp:extent cx="175895" cy="316523"/>
                <wp:effectExtent l="0" t="38100" r="52705" b="26670"/>
                <wp:wrapNone/>
                <wp:docPr id="22" name="直接箭头连接符 22"/>
                <wp:cNvGraphicFramePr/>
                <a:graphic xmlns:a="http://schemas.openxmlformats.org/drawingml/2006/main">
                  <a:graphicData uri="http://schemas.microsoft.com/office/word/2010/wordprocessingShape">
                    <wps:wsp>
                      <wps:cNvCnPr/>
                      <wps:spPr>
                        <a:xfrm flipV="1">
                          <a:off x="0" y="0"/>
                          <a:ext cx="175895" cy="31652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544F45D" id="_x0000_t32" coordsize="21600,21600" o:spt="32" o:oned="t" path="m,l21600,21600e" filled="f">
                <v:path arrowok="t" fillok="f" o:connecttype="none"/>
                <o:lock v:ext="edit" shapetype="t"/>
              </v:shapetype>
              <v:shape id="直接箭头连接符 22" o:spid="_x0000_s1026" type="#_x0000_t32" style="position:absolute;left:0;text-align:left;margin-left:241.45pt;margin-top:13.3pt;width:13.85pt;height:24.9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" strokecolor="black [3213]" strokeweight=".5pt">
                <v:stroke endarrow="block" joinstyle="miter"/>
              </v:shape>
            </w:pict>
          </mc:Fallback>
        </mc:AlternateContent>
      </w:r>
      <w:r>
        <w:rPr>
          <w:rFonts w:ascii="Calibri" w:hAnsi="Calibri" w:cs="Calibri"/>
          <w:iCs/>
          <w:noProof/>
          <w:szCs w:val="21"/>
        </w:rPr>
        <mc:AlternateContent>
          <mc:Choice Requires="wps">
            <w:drawing>
              <wp:anchor distT="0" distB="0" distL="114300" distR="114300" simplePos="0" relativeHeight="251661312" behindDoc="0" locked="0" layoutInCell="1" allowOverlap="1" wp14:anchorId="5F428CD4" wp14:editId="14DF9233">
                <wp:simplePos x="0" y="0"/>
                <wp:positionH relativeFrom="column">
                  <wp:posOffset>2935605</wp:posOffset>
                </wp:positionH>
                <wp:positionV relativeFrom="paragraph">
                  <wp:posOffset>4445</wp:posOffset>
                </wp:positionV>
                <wp:extent cx="555625" cy="506095"/>
                <wp:effectExtent l="19050" t="0" r="34925" b="27305"/>
                <wp:wrapNone/>
                <wp:docPr id="20" name="六边形 20"/>
                <wp:cNvGraphicFramePr/>
                <a:graphic xmlns:a="http://schemas.openxmlformats.org/drawingml/2006/main">
                  <a:graphicData uri="http://schemas.microsoft.com/office/word/2010/wordprocessingShape">
                    <wps:wsp>
                      <wps:cNvSpPr/>
                      <wps:spPr>
                        <a:xfrm>
                          <a:off x="0" y="0"/>
                          <a:ext cx="555625" cy="506095"/>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6771736"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20" o:spid="_x0000_s1026" type="#_x0000_t9" style="position:absolute;left:0;text-align:left;margin-left:231.15pt;margin-top:.35pt;width:43.75pt;height:39.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" adj="4919" fillcolor="#5b9bd5 [3204]" strokecolor="#1f4d78 [1604]" strokeweight="1pt"/>
            </w:pict>
          </mc:Fallback>
        </mc:AlternateContent>
      </w:r>
    </w:p>
    <w:p w14:paraId="70DD7C64" w14:textId="7F7F32DA" w:rsidR="00F65876" w:rsidRDefault="00F65876" w:rsidP="0053006D">
      <w:pPr>
        <w:rPr>
          <w:rFonts w:ascii="Calibri" w:hAnsi="Calibri" w:cs="Calibri"/>
          <w:iCs/>
          <w:szCs w:val="21"/>
        </w:rPr>
      </w:pPr>
      <w:r>
        <w:rPr>
          <w:rFonts w:ascii="Calibri" w:hAnsi="Calibri" w:cs="Calibri"/>
          <w:iCs/>
          <w:noProof/>
          <w:szCs w:val="21"/>
        </w:rPr>
        <mc:AlternateContent>
          <mc:Choice Requires="wps">
            <w:drawing>
              <wp:anchor distT="0" distB="0" distL="114300" distR="114300" simplePos="0" relativeHeight="251659264" behindDoc="0" locked="0" layoutInCell="1" allowOverlap="1" wp14:anchorId="6A39862D" wp14:editId="1923CADA">
                <wp:simplePos x="0" y="0"/>
                <wp:positionH relativeFrom="column">
                  <wp:posOffset>2510790</wp:posOffset>
                </wp:positionH>
                <wp:positionV relativeFrom="paragraph">
                  <wp:posOffset>76249</wp:posOffset>
                </wp:positionV>
                <wp:extent cx="555625" cy="506095"/>
                <wp:effectExtent l="19050" t="0" r="34925" b="27305"/>
                <wp:wrapNone/>
                <wp:docPr id="19" name="六边形 19"/>
                <wp:cNvGraphicFramePr/>
                <a:graphic xmlns:a="http://schemas.openxmlformats.org/drawingml/2006/main">
                  <a:graphicData uri="http://schemas.microsoft.com/office/word/2010/wordprocessingShape">
                    <wps:wsp>
                      <wps:cNvSpPr/>
                      <wps:spPr>
                        <a:xfrm>
                          <a:off x="0" y="0"/>
                          <a:ext cx="555625" cy="506095"/>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67F9AB" id="六边形 19" o:spid="_x0000_s1026" type="#_x0000_t9" style="position:absolute;left:0;text-align:left;margin-left:197.7pt;margin-top:6pt;width:43.75pt;height:39.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" adj="4919" fillcolor="#5b9bd5 [3204]" strokecolor="#1f4d78 [1604]" strokeweight="1pt"/>
            </w:pict>
          </mc:Fallback>
        </mc:AlternateContent>
      </w:r>
    </w:p>
    <w:p w14:paraId="7BF9F259" w14:textId="24E57FFE" w:rsidR="00F65876" w:rsidRDefault="00583901" w:rsidP="0053006D">
      <w:pPr>
        <w:rPr>
          <w:rFonts w:ascii="Calibri" w:hAnsi="Calibri" w:cs="Calibri"/>
          <w:iCs/>
          <w:szCs w:val="21"/>
        </w:rPr>
      </w:pPr>
      <w:r>
        <w:rPr>
          <w:rFonts w:ascii="Calibri" w:hAnsi="Calibri" w:cs="Calibri"/>
          <w:iCs/>
          <w:noProof/>
          <w:szCs w:val="21"/>
        </w:rPr>
        <mc:AlternateContent>
          <mc:Choice Requires="wps">
            <w:drawing>
              <wp:anchor distT="0" distB="0" distL="114300" distR="114300" simplePos="0" relativeHeight="251666432" behindDoc="0" locked="0" layoutInCell="1" allowOverlap="1" wp14:anchorId="136C01BA" wp14:editId="5668751F">
                <wp:simplePos x="0" y="0"/>
                <wp:positionH relativeFrom="column">
                  <wp:posOffset>2698750</wp:posOffset>
                </wp:positionH>
                <wp:positionV relativeFrom="paragraph">
                  <wp:posOffset>88949</wp:posOffset>
                </wp:positionV>
                <wp:extent cx="365760" cy="105507"/>
                <wp:effectExtent l="38100" t="0" r="15240" b="66040"/>
                <wp:wrapNone/>
                <wp:docPr id="24" name="直接箭头连接符 24"/>
                <wp:cNvGraphicFramePr/>
                <a:graphic xmlns:a="http://schemas.openxmlformats.org/drawingml/2006/main">
                  <a:graphicData uri="http://schemas.microsoft.com/office/word/2010/wordprocessingShape">
                    <wps:wsp>
                      <wps:cNvCnPr/>
                      <wps:spPr>
                        <a:xfrm flipH="1">
                          <a:off x="0" y="0"/>
                          <a:ext cx="365760" cy="10550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B12383" id="直接箭头连接符 24" o:spid="_x0000_s1026" type="#_x0000_t32" style="position:absolute;left:0;text-align:left;margin-left:212.5pt;margin-top:7pt;width:28.8pt;height:8.3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" strokecolor="black [3213]" strokeweight=".5pt">
                <v:stroke endarrow="block" joinstyle="miter"/>
              </v:shape>
            </w:pict>
          </mc:Fallback>
        </mc:AlternateContent>
      </w:r>
      <w:r w:rsidR="00F65876">
        <w:rPr>
          <w:rFonts w:ascii="Calibri" w:hAnsi="Calibri" w:cs="Calibri"/>
          <w:iCs/>
          <w:noProof/>
          <w:szCs w:val="21"/>
        </w:rPr>
        <mc:AlternateContent>
          <mc:Choice Requires="wps">
            <w:drawing>
              <wp:anchor distT="0" distB="0" distL="114300" distR="114300" simplePos="0" relativeHeight="251665408" behindDoc="0" locked="0" layoutInCell="1" allowOverlap="1" wp14:anchorId="106CD69B" wp14:editId="3C4556B7">
                <wp:simplePos x="0" y="0"/>
                <wp:positionH relativeFrom="column">
                  <wp:posOffset>3087858</wp:posOffset>
                </wp:positionH>
                <wp:positionV relativeFrom="paragraph">
                  <wp:posOffset>110197</wp:posOffset>
                </wp:positionV>
                <wp:extent cx="154794" cy="273978"/>
                <wp:effectExtent l="0" t="0" r="74295" b="50165"/>
                <wp:wrapNone/>
                <wp:docPr id="23" name="直接箭头连接符 23"/>
                <wp:cNvGraphicFramePr/>
                <a:graphic xmlns:a="http://schemas.openxmlformats.org/drawingml/2006/main">
                  <a:graphicData uri="http://schemas.microsoft.com/office/word/2010/wordprocessingShape">
                    <wps:wsp>
                      <wps:cNvCnPr/>
                      <wps:spPr>
                        <a:xfrm>
                          <a:off x="0" y="0"/>
                          <a:ext cx="154794" cy="27397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C3B47A" id="直接箭头连接符 23" o:spid="_x0000_s1026" type="#_x0000_t32" style="position:absolute;left:0;text-align:left;margin-left:243.15pt;margin-top:8.7pt;width:12.2pt;height:21.5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" strokecolor="black [3213]" strokeweight=".5pt">
                <v:stroke endarrow="block" joinstyle="miter"/>
              </v:shape>
            </w:pict>
          </mc:Fallback>
        </mc:AlternateContent>
      </w:r>
      <w:r w:rsidR="00F65876">
        <w:rPr>
          <w:rFonts w:ascii="Calibri" w:hAnsi="Calibri" w:cs="Calibri"/>
          <w:iCs/>
          <w:noProof/>
          <w:szCs w:val="21"/>
        </w:rPr>
        <mc:AlternateContent>
          <mc:Choice Requires="wps">
            <w:drawing>
              <wp:anchor distT="0" distB="0" distL="114300" distR="114300" simplePos="0" relativeHeight="251663360" behindDoc="0" locked="0" layoutInCell="1" allowOverlap="1" wp14:anchorId="5CE55BAD" wp14:editId="18411C18">
                <wp:simplePos x="0" y="0"/>
                <wp:positionH relativeFrom="margin">
                  <wp:posOffset>2945765</wp:posOffset>
                </wp:positionH>
                <wp:positionV relativeFrom="paragraph">
                  <wp:posOffset>113079</wp:posOffset>
                </wp:positionV>
                <wp:extent cx="555625" cy="506095"/>
                <wp:effectExtent l="19050" t="0" r="34925" b="27305"/>
                <wp:wrapNone/>
                <wp:docPr id="21" name="六边形 21"/>
                <wp:cNvGraphicFramePr/>
                <a:graphic xmlns:a="http://schemas.openxmlformats.org/drawingml/2006/main">
                  <a:graphicData uri="http://schemas.microsoft.com/office/word/2010/wordprocessingShape">
                    <wps:wsp>
                      <wps:cNvSpPr/>
                      <wps:spPr>
                        <a:xfrm>
                          <a:off x="0" y="0"/>
                          <a:ext cx="555625" cy="506095"/>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65E2FB" id="六边形 21" o:spid="_x0000_s1026" type="#_x0000_t9" style="position:absolute;left:0;text-align:left;margin-left:231.95pt;margin-top:8.9pt;width:43.75pt;height:39.85pt;z-index:25166336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" adj="4919" fillcolor="#5b9bd5 [3204]" strokecolor="#1f4d78 [1604]" strokeweight="1pt">
                <w10:wrap anchorx="margin"/>
              </v:shape>
            </w:pict>
          </mc:Fallback>
        </mc:AlternateContent>
      </w:r>
    </w:p>
    <w:p w14:paraId="3ED3416F" w14:textId="0CEA7432" w:rsidR="00F65876" w:rsidRDefault="00F65876" w:rsidP="0053006D">
      <w:pPr>
        <w:rPr>
          <w:rFonts w:ascii="Calibri" w:hAnsi="Calibri" w:cs="Calibri"/>
          <w:iCs/>
          <w:szCs w:val="21"/>
        </w:rPr>
      </w:pPr>
    </w:p>
    <w:p w14:paraId="498217F7" w14:textId="2BBF57F3" w:rsidR="00F65876" w:rsidRDefault="00F65876" w:rsidP="0053006D">
      <w:pPr>
        <w:rPr>
          <w:rFonts w:ascii="Calibri" w:hAnsi="Calibri" w:cs="Calibri"/>
          <w:iCs/>
          <w:szCs w:val="21"/>
        </w:rPr>
      </w:pPr>
    </w:p>
    <w:p w14:paraId="2657621C" w14:textId="77777777" w:rsidR="00010351" w:rsidRDefault="00010351" w:rsidP="0053006D">
      <w:pPr>
        <w:rPr>
          <w:rFonts w:ascii="Calibri" w:hAnsi="Calibri" w:cs="Calibri"/>
          <w:iCs/>
          <w:szCs w:val="21"/>
        </w:rPr>
      </w:pPr>
    </w:p>
    <w:p w14:paraId="16CD8AD8" w14:textId="7B4788FB" w:rsidR="00010351" w:rsidRDefault="00010351" w:rsidP="00010351">
      <w:pPr>
        <w:jc w:val="center"/>
        <w:rPr>
          <w:rFonts w:ascii="Arial" w:hAnsi="Arial" w:cs="Arial"/>
          <w:sz w:val="18"/>
          <w:szCs w:val="18"/>
        </w:rPr>
      </w:pPr>
      <w:r w:rsidRPr="00010351">
        <w:rPr>
          <w:rFonts w:ascii="Arial" w:hAnsi="Arial" w:cs="Arial"/>
          <w:b/>
          <w:iCs/>
          <w:sz w:val="18"/>
          <w:szCs w:val="18"/>
        </w:rPr>
        <w:t>Figure 3</w:t>
      </w:r>
      <w:r w:rsidRPr="00010351">
        <w:rPr>
          <w:rFonts w:ascii="Arial" w:hAnsi="Arial" w:cs="Arial"/>
          <w:iCs/>
          <w:sz w:val="18"/>
          <w:szCs w:val="18"/>
        </w:rPr>
        <w:t xml:space="preserve">: example </w:t>
      </w:r>
      <w:r w:rsidRPr="00010351">
        <w:rPr>
          <w:rFonts w:ascii="Arial" w:hAnsi="Arial" w:cs="Arial"/>
          <w:sz w:val="18"/>
          <w:szCs w:val="18"/>
        </w:rPr>
        <w:t>Base stations with 3 sectors per site</w:t>
      </w:r>
    </w:p>
    <w:p w14:paraId="46D024D2" w14:textId="2EFFE73B" w:rsidR="00D12EFB" w:rsidRDefault="00D12EFB" w:rsidP="00010351">
      <w:pPr>
        <w:jc w:val="center"/>
        <w:rPr>
          <w:rFonts w:ascii="Arial" w:hAnsi="Arial" w:cs="Arial"/>
          <w:sz w:val="18"/>
          <w:szCs w:val="18"/>
        </w:rPr>
      </w:pPr>
      <w:r>
        <w:rPr>
          <w:rFonts w:ascii="Arial" w:hAnsi="Arial" w:cs="Arial"/>
          <w:sz w:val="18"/>
          <w:szCs w:val="18"/>
        </w:rPr>
        <w:lastRenderedPageBreak/>
        <w:t>Definition in TS36.104</w:t>
      </w:r>
    </w:p>
    <w:tbl>
      <w:tblPr>
        <w:tblStyle w:val="a6"/>
        <w:tblW w:w="0" w:type="auto"/>
        <w:tblLook w:val="04A0" w:firstRow="1" w:lastRow="0" w:firstColumn="1" w:lastColumn="0" w:noHBand="0" w:noVBand="1"/>
      </w:tblPr>
      <w:tblGrid>
        <w:gridCol w:w="10456"/>
      </w:tblGrid>
      <w:tr w:rsidR="00D12EFB" w14:paraId="097A2732" w14:textId="77777777" w:rsidTr="00D12EFB">
        <w:tc>
          <w:tcPr>
            <w:tcW w:w="10456" w:type="dxa"/>
          </w:tcPr>
          <w:p w14:paraId="43D97C16" w14:textId="3B65601D" w:rsidR="00D12EFB" w:rsidRPr="00D12EFB" w:rsidRDefault="00D12EFB" w:rsidP="00D12EFB">
            <w:pPr>
              <w:rPr>
                <w:rFonts w:ascii="Times New Roman" w:hAnsi="Times New Roman" w:cs="Times New Roman"/>
                <w:b/>
              </w:rPr>
            </w:pPr>
            <w:r w:rsidRPr="00D12EFB">
              <w:rPr>
                <w:rFonts w:ascii="Times New Roman" w:hAnsi="Times New Roman" w:cs="Times New Roman"/>
                <w:b/>
              </w:rPr>
              <w:t xml:space="preserve">Synchronized operation: </w:t>
            </w:r>
            <w:r w:rsidRPr="00D12EFB">
              <w:rPr>
                <w:rFonts w:ascii="Times New Roman" w:hAnsi="Times New Roman" w:cs="Times New Roman"/>
              </w:rPr>
              <w:t>operation of TDD in two different systems, where no simultaneous uplink and downlink occur.</w:t>
            </w:r>
          </w:p>
        </w:tc>
      </w:tr>
      <w:tr w:rsidR="00D12EFB" w14:paraId="296C31A4" w14:textId="77777777" w:rsidTr="00D12EFB">
        <w:tc>
          <w:tcPr>
            <w:tcW w:w="10456" w:type="dxa"/>
          </w:tcPr>
          <w:p w14:paraId="2E3E5C6B" w14:textId="695AB62B" w:rsidR="00D12EFB" w:rsidRPr="00D12EFB" w:rsidRDefault="00D12EFB" w:rsidP="00D12EFB">
            <w:pPr>
              <w:tabs>
                <w:tab w:val="left" w:pos="2448"/>
                <w:tab w:val="left" w:pos="9468"/>
              </w:tabs>
              <w:spacing w:line="240" w:lineRule="exact"/>
              <w:rPr>
                <w:rFonts w:ascii="Times New Roman" w:hAnsi="Times New Roman" w:cs="Times New Roman"/>
              </w:rPr>
            </w:pPr>
            <w:r w:rsidRPr="00D12EFB">
              <w:rPr>
                <w:rFonts w:ascii="Times New Roman" w:hAnsi="Times New Roman" w:cs="Times New Roman"/>
                <w:b/>
                <w:bCs/>
              </w:rPr>
              <w:t xml:space="preserve">Unsynchronized operation: </w:t>
            </w:r>
            <w:r w:rsidRPr="00D12EFB">
              <w:rPr>
                <w:rFonts w:ascii="Times New Roman" w:hAnsi="Times New Roman" w:cs="Times New Roman"/>
              </w:rPr>
              <w:t>operation of TDD in two different systems, where the conditions for synchronized operation are not met.</w:t>
            </w:r>
          </w:p>
        </w:tc>
      </w:tr>
    </w:tbl>
    <w:p w14:paraId="0E4C13AC" w14:textId="77777777" w:rsidR="004F7EEE" w:rsidRDefault="004F7EEE" w:rsidP="00D12EFB">
      <w:pPr>
        <w:rPr>
          <w:rFonts w:ascii="Arial" w:hAnsi="Arial" w:cs="Arial"/>
          <w:sz w:val="18"/>
          <w:szCs w:val="18"/>
        </w:rPr>
      </w:pPr>
    </w:p>
    <w:p w14:paraId="5C8CBC6A" w14:textId="1E250919" w:rsidR="00D12EFB" w:rsidRPr="00D12EFB" w:rsidRDefault="004F7EEE" w:rsidP="004F7EEE">
      <w:pPr>
        <w:rPr>
          <w:rFonts w:ascii="Calibri" w:hAnsi="Calibri" w:cs="Calibri"/>
          <w:iCs/>
          <w:szCs w:val="21"/>
        </w:rPr>
      </w:pPr>
      <w:r>
        <w:rPr>
          <w:rFonts w:ascii="Calibri" w:hAnsi="Calibri" w:cs="Calibri"/>
          <w:iCs/>
          <w:szCs w:val="21"/>
        </w:rPr>
        <w:t>However, in the other hand, this scenario implies unsynchronized operation with Parent link and/or child link. More consideration may need to see whether additional requirement needed to protect neighbor unsynchronized operations. For BS perspective the co-existence requirement for unsynchronized base stations is not covered in 3GPP specification since UTRA era. Even dynamic TDD specified in LTE and CLI enabled in Rel-16 NR, no RF core requirement is introduced for TDD unsynchronized operation. The interference is controlled, cancelled and avoided by other scheduling scheme based on measurement or system coordination.</w:t>
      </w:r>
      <w:r w:rsidR="00D12EFB">
        <w:rPr>
          <w:rFonts w:ascii="Calibri" w:hAnsi="Calibri" w:cs="Calibri"/>
          <w:iCs/>
          <w:szCs w:val="21"/>
        </w:rPr>
        <w:t xml:space="preserve"> Hence it is suggested to comply with gNB’s approach on unsynchronized operation as well for IAB node. </w:t>
      </w:r>
    </w:p>
    <w:p w14:paraId="015BA258" w14:textId="55F3E52D" w:rsidR="00010351" w:rsidRDefault="00010351" w:rsidP="0053006D">
      <w:pPr>
        <w:rPr>
          <w:rFonts w:ascii="Calibri" w:hAnsi="Calibri" w:cs="Calibri"/>
          <w:iCs/>
          <w:szCs w:val="21"/>
        </w:rPr>
      </w:pPr>
      <w:r w:rsidRPr="00010351">
        <w:rPr>
          <w:rFonts w:ascii="Calibri" w:hAnsi="Calibri" w:cs="Calibri" w:hint="eastAsia"/>
          <w:b/>
          <w:iCs/>
          <w:szCs w:val="21"/>
        </w:rPr>
        <w:t>O</w:t>
      </w:r>
      <w:r w:rsidRPr="00010351">
        <w:rPr>
          <w:rFonts w:ascii="Calibri" w:hAnsi="Calibri" w:cs="Calibri"/>
          <w:b/>
          <w:iCs/>
          <w:szCs w:val="21"/>
        </w:rPr>
        <w:t>bservation 1</w:t>
      </w:r>
      <w:r w:rsidRPr="00010351">
        <w:rPr>
          <w:rFonts w:ascii="Calibri" w:hAnsi="Calibri" w:cs="Calibri"/>
          <w:iCs/>
          <w:szCs w:val="21"/>
        </w:rPr>
        <w:t xml:space="preserve">: </w:t>
      </w:r>
      <w:r>
        <w:rPr>
          <w:rFonts w:ascii="Calibri" w:hAnsi="Calibri" w:cs="Calibri"/>
          <w:iCs/>
          <w:szCs w:val="21"/>
        </w:rPr>
        <w:t xml:space="preserve">For scenario 1 and scenario 2, IAB-MT and IAB-DU can be recognized to be same as TDD synchronization operation among gNBs belong to same site. </w:t>
      </w:r>
    </w:p>
    <w:p w14:paraId="61CF4712" w14:textId="6525FCBD" w:rsidR="00010351" w:rsidRDefault="00010351" w:rsidP="0053006D">
      <w:pPr>
        <w:rPr>
          <w:rFonts w:ascii="Calibri" w:hAnsi="Calibri" w:cs="Calibri"/>
          <w:iCs/>
          <w:szCs w:val="21"/>
        </w:rPr>
      </w:pPr>
      <w:r w:rsidRPr="00010351">
        <w:rPr>
          <w:rFonts w:ascii="Calibri" w:hAnsi="Calibri" w:cs="Calibri"/>
          <w:b/>
          <w:iCs/>
          <w:szCs w:val="21"/>
        </w:rPr>
        <w:t>Observation 2</w:t>
      </w:r>
      <w:r>
        <w:rPr>
          <w:rFonts w:ascii="Calibri" w:hAnsi="Calibri" w:cs="Calibri"/>
          <w:iCs/>
          <w:szCs w:val="21"/>
        </w:rPr>
        <w:t xml:space="preserve">: Unsynchronized TDD operation discussed in legacy release has no impact on BS RF core requirement. </w:t>
      </w:r>
    </w:p>
    <w:p w14:paraId="2E5A7D4B" w14:textId="14EF1448" w:rsidR="00010351" w:rsidRDefault="00010351" w:rsidP="0053006D">
      <w:pPr>
        <w:rPr>
          <w:rFonts w:ascii="Calibri" w:hAnsi="Calibri" w:cs="Calibri"/>
          <w:iCs/>
          <w:szCs w:val="21"/>
        </w:rPr>
      </w:pPr>
      <w:r w:rsidRPr="00010351">
        <w:rPr>
          <w:rFonts w:ascii="Calibri" w:hAnsi="Calibri" w:cs="Calibri"/>
          <w:b/>
          <w:iCs/>
          <w:szCs w:val="21"/>
        </w:rPr>
        <w:t>Proposal 1</w:t>
      </w:r>
      <w:r>
        <w:rPr>
          <w:rFonts w:ascii="Calibri" w:hAnsi="Calibri" w:cs="Calibri"/>
          <w:iCs/>
          <w:szCs w:val="21"/>
        </w:rPr>
        <w:t xml:space="preserve">: there is no RF core requirement impact due to enable IAB simultaneous operation in scenario 1 and scenario 2. </w:t>
      </w:r>
    </w:p>
    <w:p w14:paraId="5ADE21B5" w14:textId="77777777" w:rsidR="00C0710F" w:rsidRDefault="00C0710F" w:rsidP="0053006D">
      <w:pPr>
        <w:rPr>
          <w:rFonts w:ascii="Calibri" w:hAnsi="Calibri" w:cs="Calibri"/>
          <w:iCs/>
          <w:szCs w:val="21"/>
        </w:rPr>
      </w:pPr>
    </w:p>
    <w:p w14:paraId="16C0129E" w14:textId="19A584F7" w:rsidR="00C0710F" w:rsidRPr="00C36085" w:rsidRDefault="00D12EFB" w:rsidP="00C36085">
      <w:pPr>
        <w:rPr>
          <w:rFonts w:ascii="Calibri" w:hAnsi="Calibri" w:cs="Calibri"/>
          <w:iCs/>
          <w:szCs w:val="21"/>
        </w:rPr>
      </w:pPr>
      <w:r>
        <w:rPr>
          <w:rFonts w:ascii="Calibri" w:hAnsi="Calibri" w:cs="Calibri" w:hint="eastAsia"/>
          <w:iCs/>
          <w:szCs w:val="21"/>
        </w:rPr>
        <w:t>F</w:t>
      </w:r>
      <w:r>
        <w:rPr>
          <w:rFonts w:ascii="Calibri" w:hAnsi="Calibri" w:cs="Calibri"/>
          <w:iCs/>
          <w:szCs w:val="21"/>
        </w:rPr>
        <w:t xml:space="preserve">or scenario 3 and scenario 4, IAB-MT and IAB-DU within one IAB node is unsynchronized operation referring to above definition. However, that may imply the synchronized operation with neighbor system on the other sites. </w:t>
      </w:r>
      <w:r w:rsidR="00DD5A33">
        <w:rPr>
          <w:rFonts w:ascii="Calibri" w:hAnsi="Calibri" w:cs="Calibri"/>
          <w:iCs/>
          <w:szCs w:val="21"/>
        </w:rPr>
        <w:t xml:space="preserve">But still it would be possible to be collocated with other gNB and IAB under unsync operation. </w:t>
      </w:r>
      <w:r>
        <w:rPr>
          <w:rFonts w:ascii="Calibri" w:hAnsi="Calibri" w:cs="Calibri"/>
          <w:iCs/>
          <w:szCs w:val="21"/>
        </w:rPr>
        <w:t>From this angle, the main problem to be resolved in these scenario</w:t>
      </w:r>
      <w:r w:rsidR="00C24DB7">
        <w:rPr>
          <w:rFonts w:ascii="Calibri" w:hAnsi="Calibri" w:cs="Calibri"/>
          <w:iCs/>
          <w:szCs w:val="21"/>
        </w:rPr>
        <w:t>s</w:t>
      </w:r>
      <w:r>
        <w:rPr>
          <w:rFonts w:ascii="Calibri" w:hAnsi="Calibri" w:cs="Calibri"/>
          <w:iCs/>
          <w:szCs w:val="21"/>
        </w:rPr>
        <w:t xml:space="preserve"> is whether new requirement and/or side conditions on existi</w:t>
      </w:r>
      <w:r w:rsidR="00C24DB7">
        <w:rPr>
          <w:rFonts w:ascii="Calibri" w:hAnsi="Calibri" w:cs="Calibri"/>
          <w:iCs/>
          <w:szCs w:val="21"/>
        </w:rPr>
        <w:t>ng requirement needed to ensure:</w:t>
      </w:r>
    </w:p>
    <w:p w14:paraId="03B4397D" w14:textId="7E6DBB4D" w:rsidR="00C24DB7" w:rsidRPr="00A213F2" w:rsidRDefault="00C24DB7" w:rsidP="008868B7">
      <w:pPr>
        <w:pStyle w:val="a7"/>
        <w:numPr>
          <w:ilvl w:val="0"/>
          <w:numId w:val="5"/>
        </w:numPr>
        <w:ind w:firstLineChars="0"/>
        <w:rPr>
          <w:rFonts w:asciiTheme="minorHAnsi" w:hAnsiTheme="minorHAnsi" w:cstheme="minorHAnsi"/>
          <w:iCs/>
          <w:sz w:val="21"/>
          <w:szCs w:val="21"/>
          <w:u w:val="single"/>
        </w:rPr>
      </w:pPr>
      <w:r w:rsidRPr="00A213F2">
        <w:rPr>
          <w:rFonts w:asciiTheme="minorHAnsi" w:hAnsiTheme="minorHAnsi" w:cstheme="minorHAnsi"/>
          <w:iCs/>
          <w:sz w:val="21"/>
          <w:szCs w:val="21"/>
          <w:u w:val="single"/>
        </w:rPr>
        <w:t>Transmitter operates properly</w:t>
      </w:r>
      <w:r w:rsidRPr="00A213F2">
        <w:rPr>
          <w:rFonts w:asciiTheme="minorHAnsi" w:hAnsiTheme="minorHAnsi" w:cstheme="minorHAnsi"/>
          <w:sz w:val="21"/>
          <w:szCs w:val="21"/>
          <w:u w:val="single"/>
        </w:rPr>
        <w:t xml:space="preserve"> to inhibit the generation of signals in its non</w:t>
      </w:r>
      <w:r w:rsidR="00C36085" w:rsidRPr="00A213F2">
        <w:rPr>
          <w:rFonts w:asciiTheme="minorHAnsi" w:hAnsiTheme="minorHAnsi" w:cstheme="minorHAnsi"/>
          <w:sz w:val="21"/>
          <w:szCs w:val="21"/>
          <w:u w:val="single"/>
        </w:rPr>
        <w:t>-</w:t>
      </w:r>
      <w:r w:rsidRPr="00A213F2">
        <w:rPr>
          <w:rFonts w:asciiTheme="minorHAnsi" w:hAnsiTheme="minorHAnsi" w:cstheme="minorHAnsi"/>
          <w:sz w:val="21"/>
          <w:szCs w:val="21"/>
          <w:u w:val="single"/>
        </w:rPr>
        <w:t>linear elements caused by presence of the wanted signal and an interfering signal from intra-system reaching the transmitter via the antenna</w:t>
      </w:r>
    </w:p>
    <w:p w14:paraId="52B76EC2" w14:textId="454AFF1B" w:rsidR="00C36085" w:rsidRPr="00C36085" w:rsidRDefault="00C36085" w:rsidP="008868B7">
      <w:pPr>
        <w:pStyle w:val="a7"/>
        <w:numPr>
          <w:ilvl w:val="0"/>
          <w:numId w:val="6"/>
        </w:numPr>
        <w:ind w:firstLineChars="0"/>
        <w:rPr>
          <w:rFonts w:asciiTheme="minorHAnsi" w:hAnsiTheme="minorHAnsi" w:cstheme="minorHAnsi"/>
          <w:iCs/>
          <w:sz w:val="21"/>
          <w:szCs w:val="21"/>
        </w:rPr>
      </w:pPr>
      <w:r>
        <w:rPr>
          <w:rFonts w:asciiTheme="minorHAnsi" w:hAnsiTheme="minorHAnsi" w:cstheme="minorHAnsi"/>
          <w:sz w:val="21"/>
          <w:szCs w:val="21"/>
        </w:rPr>
        <w:t>This one is transmitter intermodulation requirement which has already been defined for IAB node type 1-H of which the intra-system transmitter interference defined as below.</w:t>
      </w:r>
    </w:p>
    <w:p w14:paraId="4B6DBFCF" w14:textId="35035D04" w:rsidR="00C36085" w:rsidRPr="00C36085" w:rsidRDefault="00C36085" w:rsidP="00C36085">
      <w:pPr>
        <w:pStyle w:val="a7"/>
        <w:ind w:left="780" w:firstLineChars="0" w:firstLine="0"/>
        <w:rPr>
          <w:rFonts w:asciiTheme="minorHAnsi" w:hAnsiTheme="minorHAnsi" w:cstheme="minorHAnsi"/>
          <w:iCs/>
          <w:sz w:val="21"/>
          <w:szCs w:val="21"/>
        </w:rPr>
      </w:pPr>
      <w:r>
        <w:rPr>
          <w:rFonts w:asciiTheme="minorHAnsi" w:hAnsiTheme="minorHAnsi" w:cstheme="minorHAnsi"/>
          <w:sz w:val="21"/>
          <w:szCs w:val="21"/>
        </w:rPr>
        <w:t>Conducted IAB intermodulation requirement:</w:t>
      </w:r>
    </w:p>
    <w:tbl>
      <w:tblPr>
        <w:tblStyle w:val="a6"/>
        <w:tblW w:w="0" w:type="auto"/>
        <w:tblInd w:w="780" w:type="dxa"/>
        <w:tblLook w:val="04A0" w:firstRow="1" w:lastRow="0" w:firstColumn="1" w:lastColumn="0" w:noHBand="0" w:noVBand="1"/>
      </w:tblPr>
      <w:tblGrid>
        <w:gridCol w:w="9676"/>
      </w:tblGrid>
      <w:tr w:rsidR="00C36085" w14:paraId="42075046" w14:textId="77777777" w:rsidTr="00C36085">
        <w:tc>
          <w:tcPr>
            <w:tcW w:w="10456" w:type="dxa"/>
          </w:tcPr>
          <w:p w14:paraId="2D9F6E2A" w14:textId="77777777" w:rsidR="00C36085" w:rsidRPr="00C36085" w:rsidRDefault="00C36085" w:rsidP="00A213F2">
            <w:pPr>
              <w:rPr>
                <w:rFonts w:ascii="Times New Roman" w:hAnsi="Times New Roman" w:cs="Times New Roman"/>
              </w:rPr>
            </w:pPr>
            <w:r w:rsidRPr="00C36085">
              <w:rPr>
                <w:rFonts w:ascii="Times New Roman" w:hAnsi="Times New Roman" w:cs="Times New Roman"/>
              </w:rPr>
              <w:t xml:space="preserve">For </w:t>
            </w:r>
            <w:r w:rsidRPr="00C36085">
              <w:rPr>
                <w:rFonts w:ascii="Times New Roman" w:hAnsi="Times New Roman" w:cs="Times New Roman"/>
                <w:i/>
              </w:rPr>
              <w:t>IAB type 1-H</w:t>
            </w:r>
            <w:r w:rsidRPr="00C36085">
              <w:rPr>
                <w:rFonts w:ascii="Times New Roman" w:hAnsi="Times New Roman" w:cs="Times New Roman"/>
              </w:rPr>
              <w:t>, there are two types of transmitter intermodulation cases captured by the transmitter intermodulation requirement:</w:t>
            </w:r>
          </w:p>
          <w:p w14:paraId="585207D7" w14:textId="77777777" w:rsidR="00C36085" w:rsidRPr="00C36085" w:rsidRDefault="00C36085" w:rsidP="00A213F2">
            <w:pPr>
              <w:pStyle w:val="B1"/>
              <w:jc w:val="both"/>
            </w:pPr>
            <w:r w:rsidRPr="00C36085">
              <w:t>1)</w:t>
            </w:r>
            <w:r w:rsidRPr="00C36085">
              <w:tab/>
              <w:t xml:space="preserve">Co-location transmitter intermodulation in which the interfering signal is from a co-located </w:t>
            </w:r>
            <w:r w:rsidRPr="00C36085">
              <w:rPr>
                <w:lang w:val="en-US" w:eastAsia="zh-CN"/>
              </w:rPr>
              <w:t>base station or IAB</w:t>
            </w:r>
            <w:r w:rsidRPr="00C36085">
              <w:t>.</w:t>
            </w:r>
          </w:p>
          <w:p w14:paraId="5E03A0FD" w14:textId="77777777" w:rsidR="00C36085" w:rsidRPr="00C36085" w:rsidRDefault="00C36085" w:rsidP="00A213F2">
            <w:pPr>
              <w:pStyle w:val="B1"/>
              <w:jc w:val="both"/>
            </w:pPr>
            <w:r w:rsidRPr="00C36085">
              <w:t>2)</w:t>
            </w:r>
            <w:r w:rsidRPr="00C36085">
              <w:tab/>
              <w:t xml:space="preserve">Intra-system transmitter intermodulation in which the interfering signal is from other transmitter units within the </w:t>
            </w:r>
            <w:r w:rsidRPr="00C36085">
              <w:rPr>
                <w:i/>
                <w:lang w:val="en-US" w:eastAsia="zh-CN"/>
              </w:rPr>
              <w:t>IAB</w:t>
            </w:r>
            <w:r w:rsidRPr="00C36085">
              <w:rPr>
                <w:i/>
              </w:rPr>
              <w:t xml:space="preserve"> type 1-H</w:t>
            </w:r>
            <w:r w:rsidRPr="00C36085">
              <w:t>.</w:t>
            </w:r>
          </w:p>
          <w:p w14:paraId="701A74FF" w14:textId="51B0D31B" w:rsidR="00C36085" w:rsidRPr="00C36085" w:rsidRDefault="00C36085" w:rsidP="00A213F2">
            <w:r w:rsidRPr="00C36085">
              <w:rPr>
                <w:rFonts w:ascii="Times New Roman" w:hAnsi="Times New Roman" w:cs="Times New Roman"/>
              </w:rPr>
              <w:t xml:space="preserve">For </w:t>
            </w:r>
            <w:r w:rsidRPr="00C36085">
              <w:rPr>
                <w:rFonts w:ascii="Times New Roman" w:hAnsi="Times New Roman" w:cs="Times New Roman"/>
                <w:i/>
              </w:rPr>
              <w:t>IAB type 1-H</w:t>
            </w:r>
            <w:r w:rsidRPr="00C36085">
              <w:rPr>
                <w:rFonts w:ascii="Times New Roman" w:hAnsi="Times New Roman" w:cs="Times New Roman"/>
              </w:rPr>
              <w:t>, the co-location transmitter intermodulation requirement is considered sufficient if the interference signal for the co-location requirement is higher than the declared interference signal for intra-system transmitter intermodulation requirement.</w:t>
            </w:r>
          </w:p>
        </w:tc>
      </w:tr>
    </w:tbl>
    <w:p w14:paraId="185DB38D" w14:textId="77777777" w:rsidR="00C36085" w:rsidRDefault="00C36085" w:rsidP="00C36085">
      <w:pPr>
        <w:pStyle w:val="a7"/>
        <w:ind w:left="780" w:firstLineChars="0" w:firstLine="0"/>
        <w:rPr>
          <w:rFonts w:asciiTheme="minorHAnsi" w:hAnsiTheme="minorHAnsi" w:cstheme="minorHAnsi"/>
          <w:iCs/>
          <w:sz w:val="21"/>
          <w:szCs w:val="21"/>
        </w:rPr>
      </w:pPr>
      <w:r>
        <w:rPr>
          <w:rFonts w:asciiTheme="minorHAnsi" w:hAnsiTheme="minorHAnsi" w:cstheme="minorHAnsi" w:hint="eastAsia"/>
          <w:iCs/>
          <w:sz w:val="21"/>
          <w:szCs w:val="21"/>
        </w:rPr>
        <w:t>F</w:t>
      </w:r>
      <w:r>
        <w:rPr>
          <w:rFonts w:asciiTheme="minorHAnsi" w:hAnsiTheme="minorHAnsi" w:cstheme="minorHAnsi"/>
          <w:iCs/>
          <w:sz w:val="21"/>
          <w:szCs w:val="21"/>
        </w:rPr>
        <w:t xml:space="preserve">or OTA only co-location intermodulation has been defined for IAB type 1-O since the co-location IM is considered sufficient with higher interference signal level over intra system interference signal. If the same condition can be applied to IAB scenario 3 and scenario 4, no additional requirement is needed for this aspect. </w:t>
      </w:r>
    </w:p>
    <w:p w14:paraId="2060754A" w14:textId="52CAD2D5" w:rsidR="00C36085" w:rsidRDefault="00A213F2" w:rsidP="00C36085">
      <w:pPr>
        <w:pStyle w:val="a7"/>
        <w:ind w:left="780" w:firstLineChars="0" w:firstLine="0"/>
        <w:rPr>
          <w:rFonts w:asciiTheme="minorHAnsi" w:hAnsiTheme="minorHAnsi" w:cstheme="minorHAnsi"/>
          <w:iCs/>
          <w:sz w:val="21"/>
          <w:szCs w:val="21"/>
        </w:rPr>
      </w:pPr>
      <w:r>
        <w:rPr>
          <w:rFonts w:asciiTheme="minorHAnsi" w:hAnsiTheme="minorHAnsi" w:cstheme="minorHAnsi"/>
          <w:iCs/>
          <w:sz w:val="21"/>
          <w:szCs w:val="21"/>
        </w:rPr>
        <w:t xml:space="preserve">For FR2 BS no co-located requirement including spurious emission and intermodulation defined since the high isolation between co-located nodes taken into account LOS coupling loss and beam forming effect. If no evidence shown that isolation between TX and RX of IAB operation in scenario 3 and scenario 4 is </w:t>
      </w:r>
      <w:r w:rsidR="00DD5A33">
        <w:rPr>
          <w:rFonts w:asciiTheme="minorHAnsi" w:hAnsiTheme="minorHAnsi" w:cstheme="minorHAnsi"/>
          <w:iCs/>
          <w:sz w:val="21"/>
          <w:szCs w:val="21"/>
        </w:rPr>
        <w:t>de</w:t>
      </w:r>
      <w:r>
        <w:rPr>
          <w:rFonts w:asciiTheme="minorHAnsi" w:hAnsiTheme="minorHAnsi" w:cstheme="minorHAnsi"/>
          <w:iCs/>
          <w:sz w:val="21"/>
          <w:szCs w:val="21"/>
        </w:rPr>
        <w:t xml:space="preserve">creased significantly compared with collocated BS nodes, no requirement impact is expected as well. </w:t>
      </w:r>
    </w:p>
    <w:p w14:paraId="4A5262F8" w14:textId="2FA9A614" w:rsidR="005C349D" w:rsidRDefault="005C349D" w:rsidP="005C349D">
      <w:pPr>
        <w:ind w:firstLine="420"/>
        <w:rPr>
          <w:rFonts w:cstheme="minorHAnsi"/>
          <w:b/>
          <w:iCs/>
          <w:szCs w:val="21"/>
        </w:rPr>
      </w:pPr>
      <w:r w:rsidRPr="005C349D">
        <w:rPr>
          <w:rFonts w:cstheme="minorHAnsi"/>
          <w:b/>
          <w:iCs/>
          <w:szCs w:val="21"/>
        </w:rPr>
        <w:t xml:space="preserve">Observation 3: </w:t>
      </w:r>
      <w:r w:rsidR="00902EA0" w:rsidRPr="00902EA0">
        <w:rPr>
          <w:rFonts w:cstheme="minorHAnsi"/>
          <w:iCs/>
          <w:szCs w:val="21"/>
        </w:rPr>
        <w:t xml:space="preserve">for IAB-type 1-H </w:t>
      </w:r>
      <w:r w:rsidR="00902EA0">
        <w:t xml:space="preserve">Intra-system transmitter intermodulation has already been defined. </w:t>
      </w:r>
    </w:p>
    <w:p w14:paraId="1DF285A2" w14:textId="3765545D" w:rsidR="005C349D" w:rsidRDefault="00902EA0" w:rsidP="00902EA0">
      <w:pPr>
        <w:ind w:leftChars="200" w:left="420"/>
      </w:pPr>
      <w:r>
        <w:rPr>
          <w:rFonts w:cstheme="minorHAnsi"/>
          <w:b/>
          <w:iCs/>
          <w:szCs w:val="21"/>
        </w:rPr>
        <w:t xml:space="preserve">Observation 4: </w:t>
      </w:r>
      <w:r w:rsidRPr="00902EA0">
        <w:rPr>
          <w:rFonts w:cstheme="minorHAnsi"/>
          <w:iCs/>
          <w:szCs w:val="21"/>
        </w:rPr>
        <w:t>f</w:t>
      </w:r>
      <w:r w:rsidRPr="00902EA0">
        <w:t xml:space="preserve">or IAB type 1-O only colocation IM has been defined </w:t>
      </w:r>
      <w:r>
        <w:t xml:space="preserve">which is considered as </w:t>
      </w:r>
      <w:r w:rsidR="00DD5A33">
        <w:t>worst case</w:t>
      </w:r>
      <w:r>
        <w:t xml:space="preserve"> with higher interference signal level.</w:t>
      </w:r>
    </w:p>
    <w:p w14:paraId="65A1B33F" w14:textId="59D60C12" w:rsidR="00902EA0" w:rsidRDefault="00902EA0" w:rsidP="00902EA0">
      <w:pPr>
        <w:ind w:leftChars="200" w:left="420"/>
        <w:rPr>
          <w:rFonts w:cstheme="minorHAnsi"/>
          <w:iCs/>
          <w:szCs w:val="21"/>
        </w:rPr>
      </w:pPr>
      <w:r>
        <w:rPr>
          <w:rFonts w:cstheme="minorHAnsi"/>
          <w:b/>
          <w:iCs/>
          <w:szCs w:val="21"/>
        </w:rPr>
        <w:t xml:space="preserve">Observation 5: </w:t>
      </w:r>
      <w:r w:rsidRPr="00902EA0">
        <w:t>following BS agreement, no I</w:t>
      </w:r>
      <w:r w:rsidRPr="00902EA0">
        <w:rPr>
          <w:rFonts w:cstheme="minorHAnsi"/>
          <w:iCs/>
          <w:szCs w:val="21"/>
        </w:rPr>
        <w:t xml:space="preserve">AB type 2-O IM defined due to high isolation. </w:t>
      </w:r>
    </w:p>
    <w:p w14:paraId="0BADB8CE" w14:textId="66AA8805" w:rsidR="00902EA0" w:rsidRPr="00902EA0" w:rsidRDefault="00902EA0" w:rsidP="00902EA0">
      <w:pPr>
        <w:ind w:leftChars="200" w:left="420"/>
      </w:pPr>
      <w:r>
        <w:rPr>
          <w:rFonts w:cstheme="minorHAnsi"/>
          <w:b/>
          <w:iCs/>
          <w:szCs w:val="21"/>
        </w:rPr>
        <w:t>Proposal 2:</w:t>
      </w:r>
      <w:r w:rsidR="00DD5A33">
        <w:rPr>
          <w:rFonts w:cstheme="minorHAnsi"/>
          <w:b/>
          <w:iCs/>
          <w:szCs w:val="21"/>
        </w:rPr>
        <w:t xml:space="preserve"> </w:t>
      </w:r>
      <w:r w:rsidR="00DD5A33" w:rsidRPr="00DD5A33">
        <w:rPr>
          <w:rFonts w:cstheme="minorHAnsi"/>
          <w:iCs/>
          <w:szCs w:val="21"/>
        </w:rPr>
        <w:t xml:space="preserve">if no evidence shown isolation decreased significantly </w:t>
      </w:r>
      <w:r w:rsidR="00DD5A33">
        <w:rPr>
          <w:rFonts w:cstheme="minorHAnsi"/>
          <w:iCs/>
          <w:szCs w:val="21"/>
        </w:rPr>
        <w:t xml:space="preserve">between interference and aimed transmitter, no new TX intermodulation requirement is needed to support scenario 3 and scenario 4. </w:t>
      </w:r>
    </w:p>
    <w:p w14:paraId="54B45E79" w14:textId="26993162" w:rsidR="00C36085" w:rsidRPr="00A213F2" w:rsidRDefault="00C36085" w:rsidP="008868B7">
      <w:pPr>
        <w:pStyle w:val="a7"/>
        <w:numPr>
          <w:ilvl w:val="0"/>
          <w:numId w:val="5"/>
        </w:numPr>
        <w:ind w:firstLineChars="0"/>
        <w:rPr>
          <w:rFonts w:asciiTheme="minorHAnsi" w:hAnsiTheme="minorHAnsi" w:cstheme="minorHAnsi"/>
          <w:iCs/>
          <w:sz w:val="21"/>
          <w:szCs w:val="21"/>
          <w:u w:val="single"/>
        </w:rPr>
      </w:pPr>
      <w:r w:rsidRPr="00A213F2">
        <w:rPr>
          <w:rFonts w:asciiTheme="minorHAnsi" w:hAnsiTheme="minorHAnsi" w:cstheme="minorHAnsi"/>
          <w:iCs/>
          <w:sz w:val="21"/>
          <w:szCs w:val="21"/>
          <w:u w:val="single"/>
        </w:rPr>
        <w:t>Receiver operates properly with presence of signal from other interface within own node as interference</w:t>
      </w:r>
    </w:p>
    <w:p w14:paraId="68BF639A" w14:textId="2A62ACE4" w:rsidR="00C24DB7" w:rsidRDefault="00A213F2" w:rsidP="008868B7">
      <w:pPr>
        <w:pStyle w:val="a7"/>
        <w:numPr>
          <w:ilvl w:val="0"/>
          <w:numId w:val="6"/>
        </w:numPr>
        <w:ind w:firstLineChars="0"/>
        <w:rPr>
          <w:rFonts w:asciiTheme="minorHAnsi" w:hAnsiTheme="minorHAnsi" w:cstheme="minorHAnsi"/>
          <w:sz w:val="21"/>
          <w:szCs w:val="21"/>
        </w:rPr>
      </w:pPr>
      <w:r>
        <w:rPr>
          <w:rFonts w:asciiTheme="minorHAnsi" w:hAnsiTheme="minorHAnsi" w:cstheme="minorHAnsi"/>
          <w:sz w:val="21"/>
          <w:szCs w:val="21"/>
        </w:rPr>
        <w:lastRenderedPageBreak/>
        <w:t>In existing BS specification for receiver RF requirement there is general clause as below can be reference:</w:t>
      </w:r>
    </w:p>
    <w:tbl>
      <w:tblPr>
        <w:tblStyle w:val="a6"/>
        <w:tblW w:w="0" w:type="auto"/>
        <w:tblInd w:w="780" w:type="dxa"/>
        <w:tblLook w:val="04A0" w:firstRow="1" w:lastRow="0" w:firstColumn="1" w:lastColumn="0" w:noHBand="0" w:noVBand="1"/>
      </w:tblPr>
      <w:tblGrid>
        <w:gridCol w:w="9676"/>
      </w:tblGrid>
      <w:tr w:rsidR="00A213F2" w14:paraId="60ECBE6A" w14:textId="77777777" w:rsidTr="00A213F2">
        <w:tc>
          <w:tcPr>
            <w:tcW w:w="10456" w:type="dxa"/>
          </w:tcPr>
          <w:p w14:paraId="7551CB56" w14:textId="77777777" w:rsidR="00A213F2" w:rsidRPr="00F95B02" w:rsidRDefault="00A213F2" w:rsidP="002B087A">
            <w:pPr>
              <w:pStyle w:val="B1"/>
              <w:spacing w:before="240"/>
              <w:ind w:left="0" w:firstLine="0"/>
              <w:rPr>
                <w:lang w:eastAsia="zh-CN"/>
              </w:rPr>
            </w:pPr>
            <w:r w:rsidRPr="00F95B02">
              <w:rPr>
                <w:lang w:eastAsia="zh-CN"/>
              </w:rPr>
              <w:t>-</w:t>
            </w:r>
            <w:r w:rsidRPr="00F95B02">
              <w:rPr>
                <w:lang w:eastAsia="zh-CN"/>
              </w:rPr>
              <w:tab/>
            </w:r>
            <w:r w:rsidRPr="00A213F2">
              <w:rPr>
                <w:lang w:eastAsia="zh-CN"/>
              </w:rPr>
              <w:t>Requirements apply during the BS receive period.</w:t>
            </w:r>
          </w:p>
          <w:p w14:paraId="5DF2927C" w14:textId="77777777" w:rsidR="00A213F2" w:rsidRPr="00F95B02" w:rsidRDefault="00A213F2" w:rsidP="002B087A">
            <w:pPr>
              <w:pStyle w:val="B1"/>
              <w:spacing w:before="240"/>
              <w:ind w:left="0" w:firstLine="0"/>
              <w:rPr>
                <w:lang w:eastAsia="zh-CN"/>
              </w:rPr>
            </w:pPr>
            <w:r w:rsidRPr="00F95B02">
              <w:rPr>
                <w:lang w:eastAsia="zh-CN"/>
              </w:rPr>
              <w:t>-</w:t>
            </w:r>
            <w:r w:rsidRPr="00F95B02">
              <w:rPr>
                <w:lang w:eastAsia="zh-CN"/>
              </w:rPr>
              <w:tab/>
              <w:t>Requirements shall be met for any transmitter setting.</w:t>
            </w:r>
          </w:p>
          <w:p w14:paraId="3DEA7CC8" w14:textId="77777777" w:rsidR="00A213F2" w:rsidRPr="00F95B02" w:rsidRDefault="00A213F2" w:rsidP="002B087A">
            <w:pPr>
              <w:pStyle w:val="B1"/>
              <w:spacing w:before="240"/>
              <w:ind w:left="0" w:firstLine="0"/>
              <w:rPr>
                <w:lang w:eastAsia="zh-CN"/>
              </w:rPr>
            </w:pPr>
            <w:r w:rsidRPr="00F95B02">
              <w:rPr>
                <w:lang w:eastAsia="zh-CN"/>
              </w:rPr>
              <w:t>-</w:t>
            </w:r>
            <w:r w:rsidRPr="00F95B02">
              <w:rPr>
                <w:lang w:eastAsia="zh-CN"/>
              </w:rPr>
              <w:tab/>
            </w:r>
            <w:r w:rsidRPr="00A213F2">
              <w:rPr>
                <w:highlight w:val="lightGray"/>
                <w:lang w:eastAsia="zh-CN"/>
              </w:rPr>
              <w:t>For FDD operation the requirements shall be met with the transmitter unit(s) ON.</w:t>
            </w:r>
          </w:p>
          <w:p w14:paraId="67C1E769" w14:textId="77777777" w:rsidR="00A213F2" w:rsidRPr="00F95B02" w:rsidRDefault="00A213F2" w:rsidP="002B087A">
            <w:pPr>
              <w:pStyle w:val="B1"/>
              <w:spacing w:before="240"/>
              <w:ind w:left="0" w:firstLine="0"/>
              <w:rPr>
                <w:lang w:eastAsia="zh-CN"/>
              </w:rPr>
            </w:pPr>
            <w:r w:rsidRPr="00F95B02">
              <w:rPr>
                <w:lang w:eastAsia="zh-CN"/>
              </w:rPr>
              <w:t>-</w:t>
            </w:r>
            <w:r w:rsidRPr="00F95B02">
              <w:rPr>
                <w:lang w:eastAsia="zh-CN"/>
              </w:rPr>
              <w:tab/>
              <w:t>Throughput requirements defined for the radiated receiver characteristics do not assume HARQ retransmissions.</w:t>
            </w:r>
          </w:p>
          <w:p w14:paraId="2A502D76" w14:textId="54C46D43" w:rsidR="00A213F2" w:rsidRPr="00A213F2" w:rsidRDefault="00A213F2" w:rsidP="002B087A">
            <w:pPr>
              <w:pStyle w:val="B1"/>
              <w:spacing w:before="240"/>
              <w:ind w:left="0" w:firstLine="0"/>
              <w:rPr>
                <w:lang w:eastAsia="zh-CN"/>
              </w:rPr>
            </w:pPr>
            <w:r w:rsidRPr="00F95B02">
              <w:rPr>
                <w:lang w:eastAsia="zh-CN"/>
              </w:rPr>
              <w:t>-</w:t>
            </w:r>
            <w:r w:rsidRPr="00F95B02">
              <w:rPr>
                <w:lang w:eastAsia="zh-CN"/>
              </w:rPr>
              <w:tab/>
              <w:t>When BS is configured to receive multiple carriers, all the throughput requirements are applicable for each received carrier.</w:t>
            </w:r>
          </w:p>
        </w:tc>
      </w:tr>
    </w:tbl>
    <w:p w14:paraId="6959C303" w14:textId="363AA623" w:rsidR="00EF5B22" w:rsidRPr="005F6844" w:rsidRDefault="00A213F2" w:rsidP="005F6844">
      <w:pPr>
        <w:pStyle w:val="a7"/>
        <w:ind w:left="780" w:firstLineChars="0" w:firstLine="0"/>
        <w:rPr>
          <w:rFonts w:asciiTheme="minorHAnsi" w:hAnsiTheme="minorHAnsi" w:cstheme="minorHAnsi"/>
          <w:sz w:val="21"/>
          <w:szCs w:val="21"/>
        </w:rPr>
      </w:pPr>
      <w:r>
        <w:rPr>
          <w:rFonts w:asciiTheme="minorHAnsi" w:hAnsiTheme="minorHAnsi" w:cstheme="minorHAnsi" w:hint="eastAsia"/>
          <w:sz w:val="21"/>
          <w:szCs w:val="21"/>
        </w:rPr>
        <w:t>T</w:t>
      </w:r>
      <w:r>
        <w:rPr>
          <w:rFonts w:asciiTheme="minorHAnsi" w:hAnsiTheme="minorHAnsi" w:cstheme="minorHAnsi"/>
          <w:sz w:val="21"/>
          <w:szCs w:val="21"/>
        </w:rPr>
        <w:t>he bullet highlighted in grey can be applied to IAB simultaneous operation in scenario 3 and scenario 4 with below update:</w:t>
      </w:r>
      <w:r w:rsidRPr="005F6844">
        <w:rPr>
          <w:rFonts w:asciiTheme="minorHAnsi" w:hAnsiTheme="minorHAnsi" w:cstheme="minorHAnsi"/>
          <w:sz w:val="21"/>
          <w:szCs w:val="21"/>
        </w:rPr>
        <w:t xml:space="preserve">For IAB </w:t>
      </w:r>
      <w:r w:rsidR="005C349D" w:rsidRPr="005F6844">
        <w:rPr>
          <w:rFonts w:asciiTheme="minorHAnsi" w:hAnsiTheme="minorHAnsi" w:cstheme="minorHAnsi"/>
          <w:sz w:val="21"/>
          <w:szCs w:val="21"/>
        </w:rPr>
        <w:t xml:space="preserve">which is able for </w:t>
      </w:r>
      <w:r w:rsidRPr="005F6844">
        <w:rPr>
          <w:rFonts w:asciiTheme="minorHAnsi" w:hAnsiTheme="minorHAnsi" w:cstheme="minorHAnsi"/>
          <w:sz w:val="21"/>
          <w:szCs w:val="21"/>
        </w:rPr>
        <w:t xml:space="preserve">simultaneous operation in scenario 3 and scenario 4, the </w:t>
      </w:r>
      <w:r w:rsidR="005C349D" w:rsidRPr="005F6844">
        <w:rPr>
          <w:rFonts w:asciiTheme="minorHAnsi" w:hAnsiTheme="minorHAnsi" w:cstheme="minorHAnsi"/>
          <w:sz w:val="21"/>
          <w:szCs w:val="21"/>
        </w:rPr>
        <w:t xml:space="preserve">receiver RF </w:t>
      </w:r>
      <w:r w:rsidRPr="005F6844">
        <w:rPr>
          <w:rFonts w:asciiTheme="minorHAnsi" w:hAnsiTheme="minorHAnsi" w:cstheme="minorHAnsi"/>
          <w:sz w:val="21"/>
          <w:szCs w:val="21"/>
        </w:rPr>
        <w:t xml:space="preserve">requirements shall be met with the transmitter unite(s) ON. </w:t>
      </w:r>
    </w:p>
    <w:p w14:paraId="339B3FCE" w14:textId="62F1903D" w:rsidR="00EF5B22" w:rsidRPr="002B087A" w:rsidRDefault="005C349D" w:rsidP="002B087A">
      <w:pPr>
        <w:ind w:leftChars="200" w:left="420"/>
        <w:rPr>
          <w:rFonts w:cstheme="minorHAnsi"/>
          <w:szCs w:val="21"/>
        </w:rPr>
      </w:pPr>
      <w:r w:rsidRPr="005C349D">
        <w:rPr>
          <w:rFonts w:ascii="Calibri" w:hAnsi="Calibri" w:cs="Calibri" w:hint="eastAsia"/>
          <w:b/>
          <w:iCs/>
          <w:szCs w:val="21"/>
        </w:rPr>
        <w:t>P</w:t>
      </w:r>
      <w:r w:rsidRPr="005C349D">
        <w:rPr>
          <w:rFonts w:ascii="Calibri" w:hAnsi="Calibri" w:cs="Calibri"/>
          <w:b/>
          <w:iCs/>
          <w:szCs w:val="21"/>
        </w:rPr>
        <w:t xml:space="preserve">roposal 3: </w:t>
      </w:r>
      <w:r w:rsidRPr="005C349D">
        <w:rPr>
          <w:rFonts w:cstheme="minorHAnsi"/>
          <w:szCs w:val="21"/>
        </w:rPr>
        <w:t xml:space="preserve">For IAB which is able for simultaneous operation in scenario 3 and scenario 4, the receiver RF requirements shall be met with the transmitter unite(s) ON. </w:t>
      </w:r>
    </w:p>
    <w:p w14:paraId="18F5ECEF" w14:textId="43044E9F" w:rsidR="00276C66" w:rsidRDefault="00276C66" w:rsidP="00276C66">
      <w:pPr>
        <w:pStyle w:val="1"/>
        <w:rPr>
          <w:rFonts w:cs="Arial"/>
          <w:lang w:eastAsia="zh-CN"/>
        </w:rPr>
      </w:pPr>
      <w:r>
        <w:rPr>
          <w:rFonts w:cs="Arial"/>
          <w:lang w:eastAsia="zh-CN"/>
        </w:rPr>
        <w:t xml:space="preserve">Conclusion    </w:t>
      </w:r>
    </w:p>
    <w:p w14:paraId="5583FC0B" w14:textId="35D1A3A5" w:rsidR="005C349D" w:rsidRPr="00DD5A33" w:rsidRDefault="00F13EFE" w:rsidP="005C349D">
      <w:pPr>
        <w:jc w:val="left"/>
        <w:rPr>
          <w:rFonts w:ascii="Calibri" w:hAnsi="Calibri" w:cs="Calibri"/>
          <w:iCs/>
          <w:szCs w:val="21"/>
        </w:rPr>
      </w:pPr>
      <w:r>
        <w:rPr>
          <w:rFonts w:ascii="Calibri" w:hAnsi="Calibri" w:cs="Calibri"/>
          <w:iCs/>
          <w:szCs w:val="21"/>
        </w:rPr>
        <w:t xml:space="preserve">In this contribution we discussed further regarding simultaneous operation between parent link and child link of IAB. </w:t>
      </w:r>
      <w:r w:rsidR="005C349D" w:rsidRPr="00DD5A33">
        <w:rPr>
          <w:rFonts w:ascii="Calibri" w:hAnsi="Calibri" w:cs="Calibri"/>
          <w:iCs/>
          <w:szCs w:val="21"/>
        </w:rPr>
        <w:t xml:space="preserve">The scenarios are numbered as below to facilitate following discussion in this contribution. </w:t>
      </w:r>
    </w:p>
    <w:p w14:paraId="43690338" w14:textId="77777777" w:rsidR="005C349D" w:rsidRPr="00583901" w:rsidRDefault="005C349D" w:rsidP="008868B7">
      <w:pPr>
        <w:pStyle w:val="a7"/>
        <w:numPr>
          <w:ilvl w:val="2"/>
          <w:numId w:val="4"/>
        </w:numPr>
        <w:ind w:firstLineChars="0"/>
        <w:rPr>
          <w:rFonts w:asciiTheme="minorHAnsi" w:hAnsiTheme="minorHAnsi" w:cstheme="minorHAnsi"/>
          <w:sz w:val="21"/>
          <w:szCs w:val="21"/>
        </w:rPr>
      </w:pPr>
      <w:r w:rsidRPr="00583901">
        <w:rPr>
          <w:rFonts w:asciiTheme="minorHAnsi" w:hAnsiTheme="minorHAnsi" w:cstheme="minorHAnsi"/>
          <w:b/>
          <w:sz w:val="21"/>
          <w:szCs w:val="21"/>
        </w:rPr>
        <w:t xml:space="preserve">Scenario 1: </w:t>
      </w:r>
      <w:r w:rsidRPr="00583901">
        <w:rPr>
          <w:rFonts w:asciiTheme="minorHAnsi" w:hAnsiTheme="minorHAnsi" w:cstheme="minorHAnsi"/>
          <w:sz w:val="21"/>
          <w:szCs w:val="21"/>
        </w:rPr>
        <w:t>simultaneous IAB-MT TX and IAB-DU</w:t>
      </w:r>
      <w:r>
        <w:rPr>
          <w:rFonts w:asciiTheme="minorHAnsi" w:hAnsiTheme="minorHAnsi" w:cstheme="minorHAnsi"/>
          <w:sz w:val="21"/>
          <w:szCs w:val="21"/>
        </w:rPr>
        <w:t xml:space="preserve"> TX</w:t>
      </w:r>
    </w:p>
    <w:p w14:paraId="2EAD514A" w14:textId="77777777" w:rsidR="005C349D" w:rsidRPr="00583901" w:rsidRDefault="005C349D" w:rsidP="008868B7">
      <w:pPr>
        <w:pStyle w:val="a7"/>
        <w:numPr>
          <w:ilvl w:val="2"/>
          <w:numId w:val="4"/>
        </w:numPr>
        <w:ind w:firstLineChars="0"/>
        <w:rPr>
          <w:rFonts w:asciiTheme="minorHAnsi" w:hAnsiTheme="minorHAnsi" w:cstheme="minorHAnsi"/>
          <w:sz w:val="21"/>
          <w:szCs w:val="21"/>
        </w:rPr>
      </w:pPr>
      <w:r w:rsidRPr="00583901">
        <w:rPr>
          <w:rFonts w:asciiTheme="minorHAnsi" w:hAnsiTheme="minorHAnsi" w:cstheme="minorHAnsi"/>
          <w:b/>
          <w:sz w:val="21"/>
          <w:szCs w:val="21"/>
        </w:rPr>
        <w:t>Scenario 2</w:t>
      </w:r>
      <w:r w:rsidRPr="00583901">
        <w:rPr>
          <w:rFonts w:asciiTheme="minorHAnsi" w:hAnsiTheme="minorHAnsi" w:cstheme="minorHAnsi"/>
          <w:sz w:val="21"/>
          <w:szCs w:val="21"/>
        </w:rPr>
        <w:t>: simultaneous IAB-MT RX and IAB-DU RX</w:t>
      </w:r>
    </w:p>
    <w:p w14:paraId="4A144479" w14:textId="77777777" w:rsidR="005C349D" w:rsidRPr="00583901" w:rsidRDefault="005C349D" w:rsidP="008868B7">
      <w:pPr>
        <w:pStyle w:val="a7"/>
        <w:numPr>
          <w:ilvl w:val="2"/>
          <w:numId w:val="4"/>
        </w:numPr>
        <w:ind w:firstLineChars="0"/>
        <w:rPr>
          <w:rFonts w:asciiTheme="minorHAnsi" w:hAnsiTheme="minorHAnsi" w:cstheme="minorHAnsi"/>
          <w:sz w:val="21"/>
          <w:szCs w:val="21"/>
        </w:rPr>
      </w:pPr>
      <w:r w:rsidRPr="00583901">
        <w:rPr>
          <w:rFonts w:asciiTheme="minorHAnsi" w:hAnsiTheme="minorHAnsi" w:cstheme="minorHAnsi"/>
          <w:b/>
          <w:sz w:val="21"/>
          <w:szCs w:val="21"/>
        </w:rPr>
        <w:t>Scenario 3</w:t>
      </w:r>
      <w:r w:rsidRPr="00583901">
        <w:rPr>
          <w:rFonts w:asciiTheme="minorHAnsi" w:hAnsiTheme="minorHAnsi" w:cstheme="minorHAnsi"/>
          <w:sz w:val="21"/>
          <w:szCs w:val="21"/>
        </w:rPr>
        <w:t>: simultaneous IAB-MT RX and IAB-DU TX</w:t>
      </w:r>
    </w:p>
    <w:p w14:paraId="06939F77" w14:textId="77777777" w:rsidR="005C349D" w:rsidRPr="00DD5A33" w:rsidRDefault="005C349D" w:rsidP="008868B7">
      <w:pPr>
        <w:pStyle w:val="a7"/>
        <w:numPr>
          <w:ilvl w:val="2"/>
          <w:numId w:val="4"/>
        </w:numPr>
        <w:ind w:firstLineChars="0"/>
        <w:rPr>
          <w:rFonts w:asciiTheme="minorHAnsi" w:hAnsiTheme="minorHAnsi" w:cstheme="minorHAnsi"/>
          <w:b/>
          <w:sz w:val="21"/>
          <w:szCs w:val="21"/>
        </w:rPr>
      </w:pPr>
      <w:r w:rsidRPr="00583901">
        <w:rPr>
          <w:rFonts w:asciiTheme="minorHAnsi" w:hAnsiTheme="minorHAnsi" w:cstheme="minorHAnsi"/>
          <w:b/>
          <w:sz w:val="21"/>
          <w:szCs w:val="21"/>
        </w:rPr>
        <w:t>Scenario 4</w:t>
      </w:r>
      <w:r w:rsidRPr="00583901">
        <w:rPr>
          <w:rFonts w:asciiTheme="minorHAnsi" w:hAnsiTheme="minorHAnsi" w:cstheme="minorHAnsi"/>
          <w:sz w:val="21"/>
          <w:szCs w:val="21"/>
        </w:rPr>
        <w:t>: simultaneous IAB-MT TX and IAB-DU RX</w:t>
      </w:r>
    </w:p>
    <w:p w14:paraId="6D860634" w14:textId="77777777" w:rsidR="00DD5A33" w:rsidRPr="00DD5A33" w:rsidRDefault="00DD5A33" w:rsidP="00DD5A33">
      <w:pPr>
        <w:rPr>
          <w:rFonts w:cstheme="minorHAnsi"/>
          <w:b/>
          <w:szCs w:val="21"/>
        </w:rPr>
      </w:pPr>
    </w:p>
    <w:p w14:paraId="7A6BE19A" w14:textId="588439BA" w:rsidR="00DD5A33" w:rsidRPr="00DD5A33" w:rsidRDefault="00DD5A33" w:rsidP="00DD5A33">
      <w:pPr>
        <w:rPr>
          <w:rFonts w:cstheme="minorHAnsi"/>
          <w:b/>
          <w:szCs w:val="21"/>
        </w:rPr>
      </w:pPr>
      <w:r>
        <w:rPr>
          <w:rFonts w:cstheme="minorHAnsi" w:hint="eastAsia"/>
          <w:b/>
          <w:szCs w:val="21"/>
        </w:rPr>
        <w:t>O</w:t>
      </w:r>
      <w:r>
        <w:rPr>
          <w:rFonts w:cstheme="minorHAnsi"/>
          <w:b/>
          <w:szCs w:val="21"/>
        </w:rPr>
        <w:t>bservation and proposal for scenario 1 and 2:</w:t>
      </w:r>
    </w:p>
    <w:p w14:paraId="452A81CE" w14:textId="77777777" w:rsidR="005C349D" w:rsidRPr="005C349D" w:rsidRDefault="005C349D" w:rsidP="005C349D">
      <w:pPr>
        <w:rPr>
          <w:rFonts w:ascii="Calibri" w:hAnsi="Calibri" w:cs="Calibri"/>
          <w:iCs/>
          <w:szCs w:val="21"/>
        </w:rPr>
      </w:pPr>
      <w:r w:rsidRPr="005C349D">
        <w:rPr>
          <w:rFonts w:ascii="Calibri" w:hAnsi="Calibri" w:cs="Calibri" w:hint="eastAsia"/>
          <w:b/>
          <w:iCs/>
          <w:szCs w:val="21"/>
        </w:rPr>
        <w:t>O</w:t>
      </w:r>
      <w:r w:rsidRPr="005C349D">
        <w:rPr>
          <w:rFonts w:ascii="Calibri" w:hAnsi="Calibri" w:cs="Calibri"/>
          <w:b/>
          <w:iCs/>
          <w:szCs w:val="21"/>
        </w:rPr>
        <w:t>bservation 1</w:t>
      </w:r>
      <w:r w:rsidRPr="005C349D">
        <w:rPr>
          <w:rFonts w:ascii="Calibri" w:hAnsi="Calibri" w:cs="Calibri"/>
          <w:iCs/>
          <w:szCs w:val="21"/>
        </w:rPr>
        <w:t xml:space="preserve">: For scenario 1 and scenario 2, IAB-MT and IAB-DU can be recognized to be same as TDD synchronization operation among gNBs belong to same site. </w:t>
      </w:r>
    </w:p>
    <w:p w14:paraId="0AC28B57" w14:textId="77777777" w:rsidR="005C349D" w:rsidRPr="005C349D" w:rsidRDefault="005C349D" w:rsidP="005C349D">
      <w:pPr>
        <w:rPr>
          <w:rFonts w:ascii="Calibri" w:hAnsi="Calibri" w:cs="Calibri"/>
          <w:iCs/>
          <w:szCs w:val="21"/>
        </w:rPr>
      </w:pPr>
      <w:r w:rsidRPr="005C349D">
        <w:rPr>
          <w:rFonts w:ascii="Calibri" w:hAnsi="Calibri" w:cs="Calibri"/>
          <w:b/>
          <w:iCs/>
          <w:szCs w:val="21"/>
        </w:rPr>
        <w:t>Observation 2</w:t>
      </w:r>
      <w:r w:rsidRPr="005C349D">
        <w:rPr>
          <w:rFonts w:ascii="Calibri" w:hAnsi="Calibri" w:cs="Calibri"/>
          <w:iCs/>
          <w:szCs w:val="21"/>
        </w:rPr>
        <w:t xml:space="preserve">: Unsynchronized TDD operation discussed in legacy release has no impact on BS RF core requirement. </w:t>
      </w:r>
    </w:p>
    <w:p w14:paraId="6468315D" w14:textId="77777777" w:rsidR="005C349D" w:rsidRDefault="005C349D" w:rsidP="005C349D">
      <w:pPr>
        <w:rPr>
          <w:rFonts w:ascii="Calibri" w:hAnsi="Calibri" w:cs="Calibri"/>
          <w:iCs/>
          <w:szCs w:val="21"/>
        </w:rPr>
      </w:pPr>
      <w:r w:rsidRPr="005C349D">
        <w:rPr>
          <w:rFonts w:ascii="Calibri" w:hAnsi="Calibri" w:cs="Calibri"/>
          <w:b/>
          <w:iCs/>
          <w:szCs w:val="21"/>
        </w:rPr>
        <w:t>Proposal 1</w:t>
      </w:r>
      <w:r w:rsidRPr="005C349D">
        <w:rPr>
          <w:rFonts w:ascii="Calibri" w:hAnsi="Calibri" w:cs="Calibri"/>
          <w:iCs/>
          <w:szCs w:val="21"/>
        </w:rPr>
        <w:t xml:space="preserve">: there is no RF core requirement impact due to enable IAB simultaneous operation in scenario 1 and scenario 2. </w:t>
      </w:r>
    </w:p>
    <w:p w14:paraId="3BBD7032" w14:textId="77777777" w:rsidR="00DD5A33" w:rsidRDefault="00DD5A33" w:rsidP="005C349D">
      <w:pPr>
        <w:rPr>
          <w:rFonts w:ascii="Calibri" w:hAnsi="Calibri" w:cs="Calibri"/>
          <w:iCs/>
          <w:szCs w:val="21"/>
        </w:rPr>
      </w:pPr>
    </w:p>
    <w:p w14:paraId="29B67EA5" w14:textId="6B8A8281" w:rsidR="00DD5A33" w:rsidRPr="00DD5A33" w:rsidRDefault="00DD5A33" w:rsidP="005C349D">
      <w:pPr>
        <w:rPr>
          <w:rFonts w:cstheme="minorHAnsi"/>
          <w:b/>
          <w:szCs w:val="21"/>
        </w:rPr>
      </w:pPr>
      <w:r>
        <w:rPr>
          <w:rFonts w:cstheme="minorHAnsi" w:hint="eastAsia"/>
          <w:b/>
          <w:szCs w:val="21"/>
        </w:rPr>
        <w:t>O</w:t>
      </w:r>
      <w:r>
        <w:rPr>
          <w:rFonts w:cstheme="minorHAnsi"/>
          <w:b/>
          <w:szCs w:val="21"/>
        </w:rPr>
        <w:t>bservation and proposal for scenario 3 and 4:</w:t>
      </w:r>
    </w:p>
    <w:p w14:paraId="1C588291" w14:textId="77777777" w:rsidR="00DD5A33" w:rsidRDefault="00DD5A33" w:rsidP="00DD5A33">
      <w:pPr>
        <w:rPr>
          <w:rFonts w:cstheme="minorHAnsi"/>
          <w:b/>
          <w:iCs/>
          <w:szCs w:val="21"/>
        </w:rPr>
      </w:pPr>
      <w:r w:rsidRPr="005C349D">
        <w:rPr>
          <w:rFonts w:cstheme="minorHAnsi"/>
          <w:b/>
          <w:iCs/>
          <w:szCs w:val="21"/>
        </w:rPr>
        <w:t xml:space="preserve">Observation 3: </w:t>
      </w:r>
      <w:r w:rsidRPr="00902EA0">
        <w:rPr>
          <w:rFonts w:cstheme="minorHAnsi"/>
          <w:iCs/>
          <w:szCs w:val="21"/>
        </w:rPr>
        <w:t xml:space="preserve">for IAB-type 1-H </w:t>
      </w:r>
      <w:r>
        <w:t xml:space="preserve">Intra-system transmitter intermodulation has already been defined. </w:t>
      </w:r>
    </w:p>
    <w:p w14:paraId="62DE8859" w14:textId="6C07D17C" w:rsidR="00DD5A33" w:rsidRDefault="00DD5A33" w:rsidP="00DD5A33">
      <w:r>
        <w:rPr>
          <w:rFonts w:cstheme="minorHAnsi"/>
          <w:b/>
          <w:iCs/>
          <w:szCs w:val="21"/>
        </w:rPr>
        <w:t xml:space="preserve">Observation 4: </w:t>
      </w:r>
      <w:r w:rsidRPr="00902EA0">
        <w:rPr>
          <w:rFonts w:cstheme="minorHAnsi"/>
          <w:iCs/>
          <w:szCs w:val="21"/>
        </w:rPr>
        <w:t>f</w:t>
      </w:r>
      <w:r w:rsidRPr="00902EA0">
        <w:t xml:space="preserve">or IAB type 1-O only colocation IM has been defined </w:t>
      </w:r>
      <w:r>
        <w:t xml:space="preserve">which is considered as </w:t>
      </w:r>
      <w:r w:rsidR="0020388B">
        <w:t>worst case</w:t>
      </w:r>
      <w:r>
        <w:t xml:space="preserve"> with higher interference signal level.</w:t>
      </w:r>
    </w:p>
    <w:p w14:paraId="27FFD343" w14:textId="3D1C1C06" w:rsidR="00DD5A33" w:rsidRPr="00DD5A33" w:rsidRDefault="00DD5A33" w:rsidP="005C349D">
      <w:r>
        <w:rPr>
          <w:rFonts w:cstheme="minorHAnsi"/>
          <w:b/>
          <w:iCs/>
          <w:szCs w:val="21"/>
        </w:rPr>
        <w:t xml:space="preserve">Observation 5: </w:t>
      </w:r>
      <w:r w:rsidRPr="00902EA0">
        <w:t>following BS agreement, no I</w:t>
      </w:r>
      <w:r w:rsidRPr="00902EA0">
        <w:rPr>
          <w:rFonts w:cstheme="minorHAnsi"/>
          <w:iCs/>
          <w:szCs w:val="21"/>
        </w:rPr>
        <w:t xml:space="preserve">AB type 2-O IM defined due to high isolation. </w:t>
      </w:r>
    </w:p>
    <w:p w14:paraId="55835787" w14:textId="059963AA" w:rsidR="00552F9D" w:rsidRPr="00DD5A33" w:rsidRDefault="00DD5A33" w:rsidP="006C61CE">
      <w:r>
        <w:rPr>
          <w:rFonts w:cstheme="minorHAnsi"/>
          <w:b/>
          <w:iCs/>
          <w:szCs w:val="21"/>
        </w:rPr>
        <w:t xml:space="preserve">Proposal 2: </w:t>
      </w:r>
      <w:r w:rsidRPr="00DD5A33">
        <w:rPr>
          <w:rFonts w:cstheme="minorHAnsi"/>
          <w:iCs/>
          <w:szCs w:val="21"/>
        </w:rPr>
        <w:t xml:space="preserve">if no evidence shown isolation decreased significantly </w:t>
      </w:r>
      <w:r>
        <w:rPr>
          <w:rFonts w:cstheme="minorHAnsi"/>
          <w:iCs/>
          <w:szCs w:val="21"/>
        </w:rPr>
        <w:t xml:space="preserve">between interference and aimed transmitter, no new TX intermodulation requirement is needed to support scenario 3 and scenario 4. </w:t>
      </w:r>
    </w:p>
    <w:p w14:paraId="1C794A48" w14:textId="18CC1F29" w:rsidR="005C349D" w:rsidRPr="00DD5A33" w:rsidRDefault="005C349D" w:rsidP="006C61CE">
      <w:pPr>
        <w:rPr>
          <w:rFonts w:cstheme="minorHAnsi"/>
          <w:szCs w:val="21"/>
        </w:rPr>
      </w:pPr>
      <w:r w:rsidRPr="005C349D">
        <w:rPr>
          <w:rFonts w:ascii="Calibri" w:hAnsi="Calibri" w:cs="Calibri" w:hint="eastAsia"/>
          <w:b/>
          <w:iCs/>
          <w:szCs w:val="21"/>
        </w:rPr>
        <w:t>P</w:t>
      </w:r>
      <w:r w:rsidRPr="005C349D">
        <w:rPr>
          <w:rFonts w:ascii="Calibri" w:hAnsi="Calibri" w:cs="Calibri"/>
          <w:b/>
          <w:iCs/>
          <w:szCs w:val="21"/>
        </w:rPr>
        <w:t xml:space="preserve">roposal 3: </w:t>
      </w:r>
      <w:r w:rsidRPr="005C349D">
        <w:rPr>
          <w:rFonts w:cstheme="minorHAnsi"/>
          <w:szCs w:val="21"/>
        </w:rPr>
        <w:t xml:space="preserve">For IAB which is able for </w:t>
      </w:r>
      <w:bookmarkStart w:id="0" w:name="_GoBack"/>
      <w:r w:rsidRPr="005C349D">
        <w:rPr>
          <w:rFonts w:cstheme="minorHAnsi"/>
          <w:szCs w:val="21"/>
        </w:rPr>
        <w:t>simultan</w:t>
      </w:r>
      <w:bookmarkEnd w:id="0"/>
      <w:r w:rsidRPr="005C349D">
        <w:rPr>
          <w:rFonts w:cstheme="minorHAnsi"/>
          <w:szCs w:val="21"/>
        </w:rPr>
        <w:t xml:space="preserve">eous operation in scenario 3 and scenario 4, the receiver RF requirements shall be met with the transmitter unite(s) ON.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6DDE1BCD" w14:textId="7AAFD73B" w:rsidR="007B41E7" w:rsidRDefault="005F1418" w:rsidP="007B41E7">
      <w:pPr>
        <w:rPr>
          <w:szCs w:val="21"/>
        </w:rPr>
      </w:pPr>
      <w:r>
        <w:rPr>
          <w:rFonts w:ascii="Calibri" w:hAnsi="Calibri" w:cs="Calibri"/>
          <w:iCs/>
          <w:szCs w:val="21"/>
        </w:rPr>
        <w:t>[1]</w:t>
      </w:r>
      <w:r w:rsidR="00A70B6C">
        <w:rPr>
          <w:szCs w:val="21"/>
        </w:rPr>
        <w:t xml:space="preserve"> </w:t>
      </w:r>
      <w:r w:rsidR="00F43ADB">
        <w:rPr>
          <w:rFonts w:cstheme="minorHAnsi"/>
        </w:rPr>
        <w:t xml:space="preserve">R4-2106115, </w:t>
      </w:r>
      <w:r w:rsidR="00F43ADB" w:rsidRPr="00F43ADB">
        <w:rPr>
          <w:rFonts w:cstheme="minorHAnsi"/>
        </w:rPr>
        <w:t>WF on NR Rel-17 eIAB RAN4 scope</w:t>
      </w:r>
    </w:p>
    <w:p w14:paraId="324E080B" w14:textId="78B00D19" w:rsidR="00C37C9C" w:rsidRPr="00B301CD" w:rsidRDefault="005F1418" w:rsidP="00EA6189">
      <w:pPr>
        <w:rPr>
          <w:rFonts w:cstheme="minorHAnsi"/>
        </w:rPr>
      </w:pPr>
      <w:r w:rsidRPr="007B41E7">
        <w:rPr>
          <w:rFonts w:hint="eastAsia"/>
          <w:szCs w:val="21"/>
        </w:rPr>
        <w:t>[</w:t>
      </w:r>
      <w:r w:rsidRPr="007B41E7">
        <w:rPr>
          <w:szCs w:val="21"/>
        </w:rPr>
        <w:t>2]</w:t>
      </w:r>
      <w:r w:rsidR="00F43ADB">
        <w:rPr>
          <w:szCs w:val="21"/>
        </w:rPr>
        <w:t xml:space="preserve"> R4-210</w:t>
      </w:r>
      <w:r w:rsidR="00B301CD">
        <w:rPr>
          <w:szCs w:val="21"/>
        </w:rPr>
        <w:t>5</w:t>
      </w:r>
      <w:r w:rsidR="00B301CD" w:rsidRPr="00B301CD">
        <w:rPr>
          <w:rFonts w:cstheme="minorHAnsi"/>
        </w:rPr>
        <w:t>040, Overview on NR Rel-17 eIAB</w:t>
      </w:r>
    </w:p>
    <w:sectPr w:rsidR="00C37C9C" w:rsidRPr="00B301CD"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D9FF4" w14:textId="77777777" w:rsidR="000132AE" w:rsidRDefault="000132AE" w:rsidP="006C170D">
      <w:r>
        <w:separator/>
      </w:r>
    </w:p>
  </w:endnote>
  <w:endnote w:type="continuationSeparator" w:id="0">
    <w:p w14:paraId="32623AED" w14:textId="77777777" w:rsidR="000132AE" w:rsidRDefault="000132AE"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E0862" w14:textId="77777777" w:rsidR="000132AE" w:rsidRDefault="000132AE" w:rsidP="006C170D">
      <w:r>
        <w:separator/>
      </w:r>
    </w:p>
  </w:footnote>
  <w:footnote w:type="continuationSeparator" w:id="0">
    <w:p w14:paraId="2AE5F1E1" w14:textId="77777777" w:rsidR="000132AE" w:rsidRDefault="000132AE"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122FF"/>
    <w:multiLevelType w:val="hybridMultilevel"/>
    <w:tmpl w:val="B6CC34F6"/>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91C5B9A"/>
    <w:multiLevelType w:val="hybridMultilevel"/>
    <w:tmpl w:val="C458EDB0"/>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C6DA1A48">
      <w:numFmt w:val="bullet"/>
      <w:lvlText w:val="-"/>
      <w:lvlJc w:val="left"/>
      <w:pPr>
        <w:ind w:left="1260" w:hanging="420"/>
      </w:pPr>
      <w:rPr>
        <w:rFonts w:ascii="Arial" w:eastAsia="MS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D4F3779"/>
    <w:multiLevelType w:val="hybridMultilevel"/>
    <w:tmpl w:val="39061C60"/>
    <w:lvl w:ilvl="0" w:tplc="758E4908">
      <w:start w:val="2"/>
      <w:numFmt w:val="bullet"/>
      <w:lvlText w:val=""/>
      <w:lvlJc w:val="left"/>
      <w:pPr>
        <w:ind w:left="780" w:hanging="360"/>
      </w:pPr>
      <w:rPr>
        <w:rFonts w:ascii="Wingdings" w:eastAsia="宋体" w:hAnsi="Wingdings" w:cstheme="minorHAns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F9B5317"/>
    <w:multiLevelType w:val="hybridMultilevel"/>
    <w:tmpl w:val="A4141F12"/>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1"/>
  </w:num>
  <w:num w:numId="3">
    <w:abstractNumId w:val="0"/>
  </w:num>
  <w:num w:numId="4">
    <w:abstractNumId w:val="2"/>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BC7"/>
    <w:rsid w:val="00010351"/>
    <w:rsid w:val="000132AE"/>
    <w:rsid w:val="00013FDE"/>
    <w:rsid w:val="00022C32"/>
    <w:rsid w:val="00022E69"/>
    <w:rsid w:val="00046A92"/>
    <w:rsid w:val="00056B30"/>
    <w:rsid w:val="000639A9"/>
    <w:rsid w:val="00075039"/>
    <w:rsid w:val="000A7746"/>
    <w:rsid w:val="000B062C"/>
    <w:rsid w:val="000B59F8"/>
    <w:rsid w:val="000B7FE5"/>
    <w:rsid w:val="000E1986"/>
    <w:rsid w:val="000F4059"/>
    <w:rsid w:val="00124E9A"/>
    <w:rsid w:val="00156FC2"/>
    <w:rsid w:val="0016269A"/>
    <w:rsid w:val="001C2F89"/>
    <w:rsid w:val="001C3269"/>
    <w:rsid w:val="001C7D79"/>
    <w:rsid w:val="001D4D1B"/>
    <w:rsid w:val="001E0D2E"/>
    <w:rsid w:val="001F57F3"/>
    <w:rsid w:val="0020388B"/>
    <w:rsid w:val="002230D3"/>
    <w:rsid w:val="00245DF1"/>
    <w:rsid w:val="00250687"/>
    <w:rsid w:val="0025278A"/>
    <w:rsid w:val="0025315D"/>
    <w:rsid w:val="00276C66"/>
    <w:rsid w:val="00292821"/>
    <w:rsid w:val="002B087A"/>
    <w:rsid w:val="002C243D"/>
    <w:rsid w:val="002C6F1F"/>
    <w:rsid w:val="002D0FEA"/>
    <w:rsid w:val="002D7F8B"/>
    <w:rsid w:val="002E1038"/>
    <w:rsid w:val="002E210A"/>
    <w:rsid w:val="00353186"/>
    <w:rsid w:val="0036718C"/>
    <w:rsid w:val="003704DB"/>
    <w:rsid w:val="0038791C"/>
    <w:rsid w:val="003D197B"/>
    <w:rsid w:val="003D4B96"/>
    <w:rsid w:val="003D5584"/>
    <w:rsid w:val="004148DC"/>
    <w:rsid w:val="00427987"/>
    <w:rsid w:val="004346FE"/>
    <w:rsid w:val="004648DA"/>
    <w:rsid w:val="00467CB6"/>
    <w:rsid w:val="004922A0"/>
    <w:rsid w:val="004A4F80"/>
    <w:rsid w:val="004B40D6"/>
    <w:rsid w:val="004D6748"/>
    <w:rsid w:val="004E0FF0"/>
    <w:rsid w:val="004E338D"/>
    <w:rsid w:val="004E33EB"/>
    <w:rsid w:val="004E4598"/>
    <w:rsid w:val="004F7EEE"/>
    <w:rsid w:val="00502A45"/>
    <w:rsid w:val="0050306C"/>
    <w:rsid w:val="00507CFF"/>
    <w:rsid w:val="00516406"/>
    <w:rsid w:val="00524426"/>
    <w:rsid w:val="00524487"/>
    <w:rsid w:val="0053006D"/>
    <w:rsid w:val="00552F9D"/>
    <w:rsid w:val="00566AD2"/>
    <w:rsid w:val="00572E55"/>
    <w:rsid w:val="005766C7"/>
    <w:rsid w:val="00583901"/>
    <w:rsid w:val="0058741D"/>
    <w:rsid w:val="0059117C"/>
    <w:rsid w:val="00597495"/>
    <w:rsid w:val="005A4069"/>
    <w:rsid w:val="005A7521"/>
    <w:rsid w:val="005B42B0"/>
    <w:rsid w:val="005B4331"/>
    <w:rsid w:val="005C1B2D"/>
    <w:rsid w:val="005C349D"/>
    <w:rsid w:val="005C3A74"/>
    <w:rsid w:val="005E0B83"/>
    <w:rsid w:val="005E1995"/>
    <w:rsid w:val="005E52EE"/>
    <w:rsid w:val="005E55F2"/>
    <w:rsid w:val="005F1418"/>
    <w:rsid w:val="005F6844"/>
    <w:rsid w:val="0060793E"/>
    <w:rsid w:val="00624BBC"/>
    <w:rsid w:val="00632133"/>
    <w:rsid w:val="00633A50"/>
    <w:rsid w:val="00657849"/>
    <w:rsid w:val="0066201A"/>
    <w:rsid w:val="0066418A"/>
    <w:rsid w:val="0069011F"/>
    <w:rsid w:val="006C170D"/>
    <w:rsid w:val="006C61CE"/>
    <w:rsid w:val="006D26F5"/>
    <w:rsid w:val="006D3C78"/>
    <w:rsid w:val="006F002D"/>
    <w:rsid w:val="00704D67"/>
    <w:rsid w:val="0071193F"/>
    <w:rsid w:val="00732A59"/>
    <w:rsid w:val="00757381"/>
    <w:rsid w:val="0077304F"/>
    <w:rsid w:val="007A133A"/>
    <w:rsid w:val="007A72DA"/>
    <w:rsid w:val="007B41E7"/>
    <w:rsid w:val="007C0FAC"/>
    <w:rsid w:val="007D5A2F"/>
    <w:rsid w:val="0080333A"/>
    <w:rsid w:val="00803792"/>
    <w:rsid w:val="0080710F"/>
    <w:rsid w:val="00811CBF"/>
    <w:rsid w:val="008128F5"/>
    <w:rsid w:val="0081568D"/>
    <w:rsid w:val="00831E3D"/>
    <w:rsid w:val="00832F12"/>
    <w:rsid w:val="00837DDC"/>
    <w:rsid w:val="00853742"/>
    <w:rsid w:val="00880126"/>
    <w:rsid w:val="0088215A"/>
    <w:rsid w:val="00882E64"/>
    <w:rsid w:val="00884208"/>
    <w:rsid w:val="008868B7"/>
    <w:rsid w:val="00897C70"/>
    <w:rsid w:val="008A5091"/>
    <w:rsid w:val="008B1AA0"/>
    <w:rsid w:val="008D4FBD"/>
    <w:rsid w:val="008E046D"/>
    <w:rsid w:val="008E50F4"/>
    <w:rsid w:val="008F2DA0"/>
    <w:rsid w:val="00902EA0"/>
    <w:rsid w:val="009116F1"/>
    <w:rsid w:val="009173DC"/>
    <w:rsid w:val="00942548"/>
    <w:rsid w:val="009512B7"/>
    <w:rsid w:val="00960C16"/>
    <w:rsid w:val="009676EF"/>
    <w:rsid w:val="009746CF"/>
    <w:rsid w:val="009762DC"/>
    <w:rsid w:val="009842AA"/>
    <w:rsid w:val="0098605C"/>
    <w:rsid w:val="009C2147"/>
    <w:rsid w:val="009D129B"/>
    <w:rsid w:val="009D1509"/>
    <w:rsid w:val="009E5FEE"/>
    <w:rsid w:val="009F3EF2"/>
    <w:rsid w:val="00A04774"/>
    <w:rsid w:val="00A213F2"/>
    <w:rsid w:val="00A45137"/>
    <w:rsid w:val="00A46680"/>
    <w:rsid w:val="00A50FC5"/>
    <w:rsid w:val="00A5135D"/>
    <w:rsid w:val="00A61425"/>
    <w:rsid w:val="00A625FC"/>
    <w:rsid w:val="00A63619"/>
    <w:rsid w:val="00A70B6C"/>
    <w:rsid w:val="00AA37A9"/>
    <w:rsid w:val="00AB2105"/>
    <w:rsid w:val="00AC0590"/>
    <w:rsid w:val="00AC78EA"/>
    <w:rsid w:val="00AF0EC9"/>
    <w:rsid w:val="00AF3CAD"/>
    <w:rsid w:val="00AF6035"/>
    <w:rsid w:val="00B20A3D"/>
    <w:rsid w:val="00B24C81"/>
    <w:rsid w:val="00B301CD"/>
    <w:rsid w:val="00B61D6D"/>
    <w:rsid w:val="00B7587D"/>
    <w:rsid w:val="00B918F7"/>
    <w:rsid w:val="00BB4AD8"/>
    <w:rsid w:val="00BB774A"/>
    <w:rsid w:val="00BC23CC"/>
    <w:rsid w:val="00BC6689"/>
    <w:rsid w:val="00C01FF2"/>
    <w:rsid w:val="00C0710F"/>
    <w:rsid w:val="00C113ED"/>
    <w:rsid w:val="00C24DB7"/>
    <w:rsid w:val="00C36085"/>
    <w:rsid w:val="00C37C9C"/>
    <w:rsid w:val="00C672F9"/>
    <w:rsid w:val="00C87B9E"/>
    <w:rsid w:val="00CA29CE"/>
    <w:rsid w:val="00CB3A45"/>
    <w:rsid w:val="00CB5566"/>
    <w:rsid w:val="00CC53B3"/>
    <w:rsid w:val="00CD5855"/>
    <w:rsid w:val="00CE6440"/>
    <w:rsid w:val="00CF6307"/>
    <w:rsid w:val="00D0149E"/>
    <w:rsid w:val="00D07329"/>
    <w:rsid w:val="00D12EFB"/>
    <w:rsid w:val="00D12F26"/>
    <w:rsid w:val="00D1536C"/>
    <w:rsid w:val="00D74429"/>
    <w:rsid w:val="00DA0838"/>
    <w:rsid w:val="00DA0FF8"/>
    <w:rsid w:val="00DB37EC"/>
    <w:rsid w:val="00DB4D5C"/>
    <w:rsid w:val="00DD5A33"/>
    <w:rsid w:val="00DE2561"/>
    <w:rsid w:val="00DF143E"/>
    <w:rsid w:val="00E10EE5"/>
    <w:rsid w:val="00E21802"/>
    <w:rsid w:val="00E222A5"/>
    <w:rsid w:val="00E25D0F"/>
    <w:rsid w:val="00E50935"/>
    <w:rsid w:val="00E538F6"/>
    <w:rsid w:val="00E61D66"/>
    <w:rsid w:val="00E74E2E"/>
    <w:rsid w:val="00E951AB"/>
    <w:rsid w:val="00EA6189"/>
    <w:rsid w:val="00EC1A50"/>
    <w:rsid w:val="00EC341A"/>
    <w:rsid w:val="00EC341F"/>
    <w:rsid w:val="00ED4243"/>
    <w:rsid w:val="00ED7224"/>
    <w:rsid w:val="00EE0FFD"/>
    <w:rsid w:val="00EF5B22"/>
    <w:rsid w:val="00F009E9"/>
    <w:rsid w:val="00F06B62"/>
    <w:rsid w:val="00F13EFE"/>
    <w:rsid w:val="00F21189"/>
    <w:rsid w:val="00F37547"/>
    <w:rsid w:val="00F43ADB"/>
    <w:rsid w:val="00F65876"/>
    <w:rsid w:val="00F75311"/>
    <w:rsid w:val="00F97783"/>
    <w:rsid w:val="00FC3F70"/>
    <w:rsid w:val="00FC56C0"/>
    <w:rsid w:val="00FE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541742864">
      <w:bodyDiv w:val="1"/>
      <w:marLeft w:val="0"/>
      <w:marRight w:val="0"/>
      <w:marTop w:val="0"/>
      <w:marBottom w:val="0"/>
      <w:divBdr>
        <w:top w:val="none" w:sz="0" w:space="0" w:color="auto"/>
        <w:left w:val="none" w:sz="0" w:space="0" w:color="auto"/>
        <w:bottom w:val="none" w:sz="0" w:space="0" w:color="auto"/>
        <w:right w:val="none" w:sz="0" w:space="0" w:color="auto"/>
      </w:divBdr>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79F08-C6D5-45CC-8A90-C9304390C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4</Pages>
  <Words>1836</Words>
  <Characters>10469</Characters>
  <Application>Microsoft Office Word</Application>
  <DocSecurity>0</DocSecurity>
  <Lines>87</Lines>
  <Paragraphs>24</Paragraphs>
  <ScaleCrop>false</ScaleCrop>
  <Company/>
  <LinksUpToDate>false</LinksUpToDate>
  <CharactersWithSpaces>12281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RAN4</cp:lastModifiedBy>
  <cp:revision>28</cp:revision>
  <dcterms:created xsi:type="dcterms:W3CDTF">2021-05-10T05:44:00Z</dcterms:created>
  <dcterms:modified xsi:type="dcterms:W3CDTF">2021-05-11T09:05:00Z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