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A4E39B" w14:textId="0AB31F09" w:rsidR="00E25574" w:rsidRPr="00067882" w:rsidRDefault="00E25574" w:rsidP="00A41D37">
      <w:pPr>
        <w:pStyle w:val="Header"/>
        <w:tabs>
          <w:tab w:val="clear" w:pos="4153"/>
          <w:tab w:val="clear" w:pos="8306"/>
          <w:tab w:val="right" w:pos="9356"/>
          <w:tab w:val="right" w:pos="10206"/>
        </w:tabs>
        <w:rPr>
          <w:rFonts w:ascii="Arial" w:hAnsi="Arial" w:cs="Arial"/>
          <w:iCs/>
          <w:sz w:val="24"/>
          <w:lang w:val="en-US"/>
        </w:rPr>
      </w:pPr>
      <w:r w:rsidRPr="00067882">
        <w:rPr>
          <w:rFonts w:ascii="Arial" w:hAnsi="Arial" w:cs="Arial"/>
          <w:sz w:val="24"/>
          <w:lang w:val="en-US"/>
        </w:rPr>
        <w:t>TSG-RAN Wo</w:t>
      </w:r>
      <w:r w:rsidR="005F2CC5">
        <w:rPr>
          <w:rFonts w:ascii="Arial" w:hAnsi="Arial" w:cs="Arial"/>
          <w:sz w:val="24"/>
          <w:lang w:val="en-US"/>
        </w:rPr>
        <w:t>rking Gr</w:t>
      </w:r>
      <w:r w:rsidR="000E581F">
        <w:rPr>
          <w:rFonts w:ascii="Arial" w:hAnsi="Arial" w:cs="Arial"/>
          <w:sz w:val="24"/>
          <w:lang w:val="en-US"/>
        </w:rPr>
        <w:t xml:space="preserve">oup </w:t>
      </w:r>
      <w:r w:rsidR="008972E7">
        <w:rPr>
          <w:rFonts w:ascii="Arial" w:hAnsi="Arial" w:cs="Arial"/>
          <w:sz w:val="24"/>
          <w:lang w:val="en-US"/>
        </w:rPr>
        <w:t>4 (Radio) meeting</w:t>
      </w:r>
      <w:r w:rsidR="008D2D19">
        <w:rPr>
          <w:rFonts w:ascii="Arial" w:hAnsi="Arial" w:cs="Arial"/>
          <w:sz w:val="24"/>
          <w:lang w:val="en-US"/>
        </w:rPr>
        <w:t xml:space="preserve"> </w:t>
      </w:r>
      <w:r w:rsidR="00CB183A">
        <w:rPr>
          <w:rFonts w:ascii="Arial" w:hAnsi="Arial" w:cs="Arial"/>
          <w:sz w:val="24"/>
          <w:lang w:val="en-US"/>
        </w:rPr>
        <w:t>#</w:t>
      </w:r>
      <w:r w:rsidR="001E4CAE">
        <w:rPr>
          <w:rFonts w:ascii="Arial" w:hAnsi="Arial" w:cs="Arial"/>
          <w:sz w:val="24"/>
          <w:lang w:val="en-US"/>
        </w:rPr>
        <w:t>9</w:t>
      </w:r>
      <w:r w:rsidR="00E21F3D">
        <w:rPr>
          <w:rFonts w:ascii="Arial" w:hAnsi="Arial" w:cs="Arial"/>
          <w:sz w:val="24"/>
          <w:lang w:val="en-US"/>
        </w:rPr>
        <w:t>9</w:t>
      </w:r>
      <w:r w:rsidR="00772365">
        <w:rPr>
          <w:rFonts w:ascii="Arial" w:hAnsi="Arial" w:cs="Arial"/>
          <w:sz w:val="24"/>
          <w:lang w:val="en-US"/>
        </w:rPr>
        <w:t>-</w:t>
      </w:r>
      <w:r w:rsidR="000166A1">
        <w:rPr>
          <w:rFonts w:ascii="Arial" w:hAnsi="Arial" w:cs="Arial"/>
          <w:sz w:val="24"/>
          <w:lang w:val="en-US"/>
        </w:rPr>
        <w:t>e</w:t>
      </w:r>
      <w:r w:rsidR="005A6088" w:rsidRPr="00067882">
        <w:rPr>
          <w:rFonts w:ascii="Arial" w:hAnsi="Arial" w:cs="Arial"/>
          <w:sz w:val="24"/>
          <w:lang w:val="en-US"/>
        </w:rPr>
        <w:tab/>
        <w:t xml:space="preserve"> </w:t>
      </w:r>
      <w:r w:rsidR="00B275EE">
        <w:rPr>
          <w:rFonts w:ascii="Arial" w:hAnsi="Arial" w:cs="Arial"/>
          <w:sz w:val="24"/>
          <w:lang w:val="en-US"/>
        </w:rPr>
        <w:t xml:space="preserve"> </w:t>
      </w:r>
      <w:r w:rsidR="000E581F">
        <w:rPr>
          <w:rFonts w:ascii="Arial" w:hAnsi="Arial" w:cs="Arial"/>
          <w:b/>
          <w:bCs/>
          <w:iCs/>
          <w:sz w:val="24"/>
          <w:lang w:val="en-US"/>
        </w:rPr>
        <w:t>R</w:t>
      </w:r>
      <w:r w:rsidR="008D34B2">
        <w:rPr>
          <w:rFonts w:ascii="Arial" w:hAnsi="Arial" w:cs="Arial"/>
          <w:b/>
          <w:bCs/>
          <w:iCs/>
          <w:sz w:val="24"/>
          <w:lang w:val="en-US"/>
        </w:rPr>
        <w:t>4</w:t>
      </w:r>
      <w:r w:rsidR="003C176E">
        <w:rPr>
          <w:rFonts w:ascii="Arial" w:hAnsi="Arial" w:cs="Arial"/>
          <w:b/>
          <w:bCs/>
          <w:iCs/>
          <w:sz w:val="24"/>
          <w:lang w:val="en-US"/>
        </w:rPr>
        <w:t>-</w:t>
      </w:r>
      <w:r w:rsidR="00333DCC">
        <w:rPr>
          <w:rFonts w:ascii="Arial" w:hAnsi="Arial" w:cs="Arial"/>
          <w:b/>
          <w:bCs/>
          <w:iCs/>
          <w:sz w:val="24"/>
          <w:lang w:val="en-US"/>
        </w:rPr>
        <w:t>2</w:t>
      </w:r>
      <w:r w:rsidR="008F38C7">
        <w:rPr>
          <w:rFonts w:ascii="Arial" w:hAnsi="Arial" w:cs="Arial"/>
          <w:b/>
          <w:bCs/>
          <w:iCs/>
          <w:sz w:val="24"/>
          <w:lang w:val="en-US"/>
        </w:rPr>
        <w:t>1</w:t>
      </w:r>
      <w:r w:rsidR="00EC3681">
        <w:rPr>
          <w:rFonts w:ascii="Arial" w:hAnsi="Arial" w:cs="Arial"/>
          <w:b/>
          <w:bCs/>
          <w:iCs/>
          <w:sz w:val="24"/>
          <w:lang w:val="en-US"/>
        </w:rPr>
        <w:t>09974</w:t>
      </w:r>
    </w:p>
    <w:p w14:paraId="3CBCA11A" w14:textId="77777777" w:rsidR="00E25574" w:rsidRPr="00140D0B" w:rsidRDefault="000166A1" w:rsidP="00581C8F">
      <w:pPr>
        <w:pStyle w:val="Header"/>
        <w:tabs>
          <w:tab w:val="clear" w:pos="8306"/>
          <w:tab w:val="right" w:pos="9864"/>
        </w:tabs>
        <w:spacing w:after="120"/>
        <w:rPr>
          <w:rFonts w:ascii="Arial" w:hAnsi="Arial" w:cs="Arial"/>
          <w:sz w:val="24"/>
          <w:lang w:val="en-US"/>
        </w:rPr>
      </w:pPr>
      <w:r>
        <w:rPr>
          <w:rFonts w:ascii="Arial" w:hAnsi="Arial" w:cs="Arial"/>
          <w:sz w:val="24"/>
          <w:lang w:val="en-US"/>
        </w:rPr>
        <w:t>Electronic meeting</w:t>
      </w:r>
      <w:r w:rsidR="00BD34FB" w:rsidRPr="00140D0B">
        <w:rPr>
          <w:rFonts w:ascii="Arial" w:hAnsi="Arial" w:cs="Arial"/>
          <w:sz w:val="24"/>
          <w:lang w:val="en-US"/>
        </w:rPr>
        <w:t>,</w:t>
      </w:r>
      <w:r w:rsidR="00610B6E">
        <w:rPr>
          <w:rFonts w:ascii="Arial" w:hAnsi="Arial" w:cs="Arial"/>
          <w:sz w:val="24"/>
          <w:lang w:val="en-US"/>
        </w:rPr>
        <w:t xml:space="preserve"> </w:t>
      </w:r>
      <w:r w:rsidR="00E21F3D">
        <w:rPr>
          <w:rFonts w:ascii="Arial" w:hAnsi="Arial" w:cs="Arial"/>
          <w:sz w:val="24"/>
          <w:lang w:val="en-US"/>
        </w:rPr>
        <w:t>19</w:t>
      </w:r>
      <w:r w:rsidR="00140D0B" w:rsidRPr="00140D0B">
        <w:rPr>
          <w:rFonts w:ascii="Arial" w:hAnsi="Arial" w:cs="Arial"/>
          <w:sz w:val="24"/>
          <w:lang w:val="en-US"/>
        </w:rPr>
        <w:t xml:space="preserve"> – </w:t>
      </w:r>
      <w:r w:rsidR="00772365">
        <w:rPr>
          <w:rFonts w:ascii="Arial" w:hAnsi="Arial" w:cs="Arial"/>
          <w:sz w:val="24"/>
          <w:lang w:val="en-US"/>
        </w:rPr>
        <w:t>2</w:t>
      </w:r>
      <w:r w:rsidR="00E21F3D">
        <w:rPr>
          <w:rFonts w:ascii="Arial" w:hAnsi="Arial" w:cs="Arial"/>
          <w:sz w:val="24"/>
          <w:lang w:val="en-US"/>
        </w:rPr>
        <w:t>7</w:t>
      </w:r>
      <w:r w:rsidR="00610B6E">
        <w:rPr>
          <w:rFonts w:ascii="Arial" w:hAnsi="Arial" w:cs="Arial"/>
          <w:sz w:val="24"/>
          <w:lang w:val="en-US"/>
        </w:rPr>
        <w:t xml:space="preserve"> </w:t>
      </w:r>
      <w:r w:rsidR="00E21F3D">
        <w:rPr>
          <w:rFonts w:ascii="Arial" w:hAnsi="Arial" w:cs="Arial"/>
          <w:sz w:val="24"/>
          <w:lang w:val="en-US"/>
        </w:rPr>
        <w:t>May</w:t>
      </w:r>
      <w:r w:rsidR="00610B6E">
        <w:rPr>
          <w:rFonts w:ascii="Arial" w:hAnsi="Arial" w:cs="Arial"/>
          <w:sz w:val="24"/>
          <w:lang w:val="en-US"/>
        </w:rPr>
        <w:t xml:space="preserve"> 202</w:t>
      </w:r>
      <w:r w:rsidR="00772365">
        <w:rPr>
          <w:rFonts w:ascii="Arial" w:hAnsi="Arial" w:cs="Arial"/>
          <w:sz w:val="24"/>
          <w:lang w:val="en-US"/>
        </w:rPr>
        <w:t>1</w:t>
      </w:r>
      <w:r w:rsidR="00E25574" w:rsidRPr="00140D0B">
        <w:rPr>
          <w:rFonts w:ascii="Arial" w:hAnsi="Arial" w:cs="Arial"/>
          <w:sz w:val="24"/>
          <w:lang w:val="en-US"/>
        </w:rPr>
        <w:tab/>
      </w:r>
    </w:p>
    <w:p w14:paraId="2B7D3C96" w14:textId="77777777" w:rsidR="00E25574" w:rsidRPr="00140D0B" w:rsidRDefault="00E25574" w:rsidP="00E25574">
      <w:pPr>
        <w:spacing w:after="120"/>
        <w:ind w:left="1985" w:hanging="1985"/>
        <w:rPr>
          <w:rFonts w:ascii="Arial" w:hAnsi="Arial" w:cs="Arial"/>
          <w:b/>
          <w:lang w:val="en-US"/>
        </w:rPr>
      </w:pPr>
    </w:p>
    <w:p w14:paraId="7E8A0DAC" w14:textId="77777777" w:rsidR="00CA3A81" w:rsidRPr="00067882" w:rsidRDefault="00CA3A81" w:rsidP="00CA3A81">
      <w:pPr>
        <w:spacing w:after="120"/>
        <w:ind w:left="1985" w:hanging="1985"/>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00140D0B">
        <w:rPr>
          <w:rFonts w:ascii="Arial" w:hAnsi="Arial" w:cs="Arial"/>
          <w:bCs/>
          <w:lang w:val="en-US"/>
        </w:rPr>
        <w:t>Ericsson</w:t>
      </w:r>
    </w:p>
    <w:p w14:paraId="113B6EC2" w14:textId="3C61E89C" w:rsidR="008F38C7" w:rsidRPr="006D7ECB" w:rsidRDefault="00CA3A81" w:rsidP="00CA3A81">
      <w:pPr>
        <w:spacing w:after="120"/>
        <w:ind w:left="1985" w:hanging="1985"/>
        <w:rPr>
          <w:rFonts w:ascii="Arial" w:hAnsi="Arial" w:cs="Arial"/>
          <w:bCs/>
          <w:lang w:val="en-US"/>
        </w:rPr>
      </w:pPr>
      <w:r w:rsidRPr="00067882">
        <w:rPr>
          <w:rFonts w:ascii="Arial" w:hAnsi="Arial" w:cs="Arial"/>
          <w:b/>
          <w:lang w:val="en-US"/>
        </w:rPr>
        <w:t>Title:</w:t>
      </w:r>
      <w:r w:rsidRPr="00067882">
        <w:rPr>
          <w:rFonts w:ascii="Arial" w:hAnsi="Arial" w:cs="Arial"/>
          <w:b/>
          <w:lang w:val="en-US"/>
        </w:rPr>
        <w:tab/>
      </w:r>
      <w:r w:rsidR="004342FA" w:rsidRPr="004342FA">
        <w:rPr>
          <w:rFonts w:ascii="Arial" w:hAnsi="Arial" w:cs="Arial"/>
          <w:bCs/>
          <w:lang w:val="en-US"/>
        </w:rPr>
        <w:t>More on transparent TxD and a Draft Reply LS to RAN2</w:t>
      </w:r>
    </w:p>
    <w:p w14:paraId="3014B1EA" w14:textId="33786BA4" w:rsidR="00CA3A81" w:rsidRPr="00BF2681" w:rsidRDefault="00CA3A81" w:rsidP="00CA3A81">
      <w:pPr>
        <w:spacing w:after="120"/>
        <w:ind w:left="1985" w:hanging="1985"/>
        <w:rPr>
          <w:rFonts w:ascii="Arial" w:hAnsi="Arial" w:cs="Arial"/>
          <w:bCs/>
          <w:lang w:val="en-US"/>
        </w:rPr>
      </w:pPr>
      <w:r w:rsidRPr="00540357">
        <w:rPr>
          <w:rFonts w:ascii="Arial" w:hAnsi="Arial" w:cs="Arial"/>
          <w:b/>
          <w:lang w:val="en-US"/>
        </w:rPr>
        <w:t>Agenda item:</w:t>
      </w:r>
      <w:r w:rsidRPr="00540357">
        <w:rPr>
          <w:rFonts w:ascii="Arial" w:hAnsi="Arial" w:cs="Arial"/>
          <w:b/>
          <w:lang w:val="en-US"/>
        </w:rPr>
        <w:tab/>
      </w:r>
      <w:r w:rsidR="00EC3681" w:rsidRPr="00CA4150">
        <w:rPr>
          <w:rFonts w:ascii="Arial" w:hAnsi="Arial" w:cs="Arial"/>
          <w:bCs/>
          <w:lang w:val="en-US"/>
        </w:rPr>
        <w:t>6.7.1.1</w:t>
      </w:r>
    </w:p>
    <w:p w14:paraId="24FA22A5" w14:textId="59AD4FC6" w:rsidR="00CA3A81" w:rsidRPr="00540357" w:rsidRDefault="00CA3A81" w:rsidP="00CA3A81">
      <w:pPr>
        <w:spacing w:after="120"/>
        <w:ind w:left="1985" w:hanging="1985"/>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00463DDB">
        <w:rPr>
          <w:rFonts w:ascii="Arial" w:hAnsi="Arial" w:cs="Arial"/>
          <w:bCs/>
          <w:lang w:val="en-US"/>
        </w:rPr>
        <w:t>Approval</w:t>
      </w:r>
    </w:p>
    <w:p w14:paraId="2B0FD61B" w14:textId="77777777" w:rsidR="00CA3A81" w:rsidRPr="00540357" w:rsidRDefault="00CA3A81" w:rsidP="00CA3A81">
      <w:pPr>
        <w:pBdr>
          <w:bottom w:val="single" w:sz="4" w:space="0" w:color="auto"/>
        </w:pBdr>
        <w:rPr>
          <w:rFonts w:ascii="Arial" w:hAnsi="Arial" w:cs="Arial"/>
          <w:lang w:val="en-US"/>
        </w:rPr>
      </w:pPr>
    </w:p>
    <w:p w14:paraId="19958C33" w14:textId="77777777" w:rsidR="00CA3A81" w:rsidRPr="00540357" w:rsidRDefault="00CA3A81" w:rsidP="00CA3A81">
      <w:pPr>
        <w:rPr>
          <w:rFonts w:ascii="Arial" w:hAnsi="Arial" w:cs="Arial"/>
          <w:lang w:val="en-US"/>
        </w:rPr>
      </w:pPr>
    </w:p>
    <w:p w14:paraId="19303175" w14:textId="77777777" w:rsidR="00257CA5" w:rsidRDefault="00CA3A81" w:rsidP="00B47709">
      <w:pPr>
        <w:pStyle w:val="Heading1"/>
        <w:rPr>
          <w:lang w:val="en-US"/>
        </w:rPr>
      </w:pPr>
      <w:r>
        <w:rPr>
          <w:lang w:val="en-US"/>
        </w:rPr>
        <w:t>Background</w:t>
      </w:r>
    </w:p>
    <w:p w14:paraId="392E7BF5" w14:textId="077280B9" w:rsidR="001430B9" w:rsidRPr="00463DDB" w:rsidRDefault="00463DDB" w:rsidP="001430B9">
      <w:pPr>
        <w:pStyle w:val="BodyText"/>
        <w:rPr>
          <w:lang w:val="en-US"/>
        </w:rPr>
      </w:pPr>
      <w:r>
        <w:rPr>
          <w:lang w:val="en-US"/>
        </w:rPr>
        <w:t>In</w:t>
      </w:r>
      <w:r w:rsidR="006D7ECB">
        <w:rPr>
          <w:lang w:val="en-US"/>
        </w:rPr>
        <w:t xml:space="preserve"> [1] </w:t>
      </w:r>
      <w:r w:rsidR="001430B9">
        <w:rPr>
          <w:lang w:val="en-US"/>
        </w:rPr>
        <w:t>it was demonstrated that the a</w:t>
      </w:r>
      <w:r w:rsidR="001430B9" w:rsidRPr="00463DDB">
        <w:rPr>
          <w:lang w:val="en-US"/>
        </w:rPr>
        <w:t>ctual UE power capability as seen by gNB receiver for single-port transmissions different for 1TX- and 2TX-connector implementations, depends on e.g. correlation and CDD delay</w:t>
      </w:r>
      <w:r w:rsidR="001430B9">
        <w:rPr>
          <w:lang w:val="en-US"/>
        </w:rPr>
        <w:t>,</w:t>
      </w:r>
    </w:p>
    <w:p w14:paraId="634281A7" w14:textId="22AAB934" w:rsidR="002B045F" w:rsidRPr="00463DDB" w:rsidRDefault="0011292B" w:rsidP="008A67FE">
      <w:pPr>
        <w:pStyle w:val="BodyText"/>
        <w:numPr>
          <w:ilvl w:val="0"/>
          <w:numId w:val="17"/>
        </w:numPr>
        <w:rPr>
          <w:lang w:val="en-US"/>
        </w:rPr>
      </w:pPr>
      <w:r>
        <w:rPr>
          <w:lang w:val="en-US"/>
        </w:rPr>
        <w:t xml:space="preserve">it is not </w:t>
      </w:r>
      <w:r w:rsidR="002B045F" w:rsidRPr="00463DDB">
        <w:rPr>
          <w:lang w:val="en-US"/>
        </w:rPr>
        <w:t xml:space="preserve">captured by adding the power from the TX connectors in a MOP test of a 2TX-connector implementation </w:t>
      </w:r>
    </w:p>
    <w:p w14:paraId="0974C035" w14:textId="7DC9E9C1" w:rsidR="002B045F" w:rsidRDefault="0011292B" w:rsidP="008A67FE">
      <w:pPr>
        <w:pStyle w:val="BodyText"/>
        <w:numPr>
          <w:ilvl w:val="0"/>
          <w:numId w:val="17"/>
        </w:numPr>
        <w:rPr>
          <w:lang w:val="en-US"/>
        </w:rPr>
      </w:pPr>
      <w:r>
        <w:rPr>
          <w:lang w:val="en-US"/>
        </w:rPr>
        <w:t>f</w:t>
      </w:r>
      <w:r w:rsidR="002B045F" w:rsidRPr="00463DDB">
        <w:rPr>
          <w:lang w:val="en-US"/>
        </w:rPr>
        <w:t>urther discussions if impact of different CDD delay (for example)</w:t>
      </w:r>
      <w:r>
        <w:rPr>
          <w:lang w:val="en-US"/>
        </w:rPr>
        <w:t xml:space="preserve"> could be</w:t>
      </w:r>
      <w:r w:rsidR="002B045F" w:rsidRPr="00463DDB">
        <w:rPr>
          <w:lang w:val="en-US"/>
        </w:rPr>
        <w:t xml:space="preserve"> assessed in conducted MOP verification with a TE reference receiver</w:t>
      </w:r>
    </w:p>
    <w:p w14:paraId="2AFBD700" w14:textId="540E18B7" w:rsidR="00ED33C0" w:rsidRPr="00463DDB" w:rsidRDefault="00ED33C0" w:rsidP="002B045F">
      <w:pPr>
        <w:pStyle w:val="BodyText"/>
        <w:rPr>
          <w:lang w:val="en-US"/>
        </w:rPr>
      </w:pPr>
      <w:r w:rsidRPr="00463DDB">
        <w:rPr>
          <w:lang w:val="en-US"/>
        </w:rPr>
        <w:t xml:space="preserve">The issues </w:t>
      </w:r>
      <w:r w:rsidR="008A67FE">
        <w:rPr>
          <w:lang w:val="en-US"/>
        </w:rPr>
        <w:t xml:space="preserve">for TxD are </w:t>
      </w:r>
      <w:r w:rsidRPr="00463DDB">
        <w:rPr>
          <w:lang w:val="en-US"/>
        </w:rPr>
        <w:t>similar for PC1.5 and some FP-mode implementations</w:t>
      </w:r>
      <w:r w:rsidR="008A67FE">
        <w:rPr>
          <w:lang w:val="en-US"/>
        </w:rPr>
        <w:t xml:space="preserve"> </w:t>
      </w:r>
      <w:r w:rsidRPr="00463DDB">
        <w:rPr>
          <w:lang w:val="en-US"/>
        </w:rPr>
        <w:t>for single antenna-port transmissions</w:t>
      </w:r>
      <w:r w:rsidR="008A67FE">
        <w:rPr>
          <w:lang w:val="en-US"/>
        </w:rPr>
        <w:t>.</w:t>
      </w:r>
    </w:p>
    <w:p w14:paraId="5F770E60" w14:textId="6BA16C2D" w:rsidR="00B521DA" w:rsidRDefault="00564968" w:rsidP="00463DDB">
      <w:pPr>
        <w:pStyle w:val="BodyText"/>
        <w:rPr>
          <w:lang w:val="en-US"/>
        </w:rPr>
      </w:pPr>
      <w:r>
        <w:rPr>
          <w:lang w:val="en-US"/>
        </w:rPr>
        <w:t>I</w:t>
      </w:r>
      <w:r w:rsidR="00ED33C0">
        <w:rPr>
          <w:lang w:val="en-US"/>
        </w:rPr>
        <w:t>n the meantime</w:t>
      </w:r>
      <w:r w:rsidR="00B521DA">
        <w:rPr>
          <w:lang w:val="en-US"/>
        </w:rPr>
        <w:t>The RAN2 reply LS</w:t>
      </w:r>
    </w:p>
    <w:p w14:paraId="756F60B9" w14:textId="77777777" w:rsidR="00B521DA" w:rsidRDefault="00B521DA" w:rsidP="00B521DA">
      <w:pPr>
        <w:spacing w:after="180"/>
        <w:rPr>
          <w:rFonts w:ascii="Arial" w:hAnsi="Arial" w:cs="Arial"/>
          <w:bCs/>
          <w:lang w:eastAsia="zh-CN"/>
        </w:rPr>
      </w:pPr>
      <w:r>
        <w:rPr>
          <w:rFonts w:ascii="Arial" w:hAnsi="Arial" w:cs="Arial"/>
          <w:bCs/>
          <w:lang w:eastAsia="zh-CN"/>
        </w:rPr>
        <w:t xml:space="preserve">Regarding the </w:t>
      </w:r>
      <w:r w:rsidRPr="004F5876">
        <w:rPr>
          <w:rFonts w:ascii="Arial" w:hAnsi="Arial" w:cs="Arial"/>
          <w:bCs/>
          <w:lang w:eastAsia="zh-CN"/>
        </w:rPr>
        <w:t>new per-band capability signaling in Rel-16 for FR1 UEs supporting transparent TxD</w:t>
      </w:r>
      <w:r>
        <w:rPr>
          <w:rFonts w:ascii="Arial" w:hAnsi="Arial" w:cs="Arial"/>
          <w:bCs/>
          <w:lang w:eastAsia="zh-CN"/>
        </w:rPr>
        <w:t>, RAN2 can add the corresponding capability in corresponding specification (TS 38.331 and TS 38.306).</w:t>
      </w:r>
    </w:p>
    <w:p w14:paraId="4CDE8FF8" w14:textId="77777777" w:rsidR="00B521DA" w:rsidRDefault="00B521DA" w:rsidP="00B521DA">
      <w:pPr>
        <w:spacing w:after="180"/>
        <w:rPr>
          <w:rFonts w:ascii="Arial" w:hAnsi="Arial" w:cs="Arial"/>
          <w:bCs/>
          <w:lang w:eastAsia="zh-CN"/>
        </w:rPr>
      </w:pPr>
      <w:r>
        <w:rPr>
          <w:rFonts w:ascii="Arial" w:hAnsi="Arial" w:cs="Arial"/>
          <w:bCs/>
          <w:lang w:eastAsia="zh-CN"/>
        </w:rPr>
        <w:t xml:space="preserve">RAN2 has discussed whether to </w:t>
      </w:r>
      <w:r w:rsidRPr="00A44287">
        <w:rPr>
          <w:rFonts w:ascii="Arial" w:hAnsi="Arial" w:cs="Arial"/>
          <w:bCs/>
          <w:lang w:eastAsia="zh-CN"/>
        </w:rPr>
        <w:t>enable release-independent support of this new capability from Rel-15</w:t>
      </w:r>
      <w:r>
        <w:rPr>
          <w:rFonts w:ascii="Arial" w:hAnsi="Arial" w:cs="Arial"/>
          <w:bCs/>
          <w:lang w:eastAsia="zh-CN"/>
        </w:rPr>
        <w:t>, and the following agreements have been achieved:</w:t>
      </w:r>
    </w:p>
    <w:p w14:paraId="1145F331" w14:textId="77777777" w:rsidR="00B521DA" w:rsidRDefault="00B521DA" w:rsidP="00B521DA">
      <w:pPr>
        <w:numPr>
          <w:ilvl w:val="0"/>
          <w:numId w:val="15"/>
        </w:numPr>
        <w:spacing w:after="180"/>
        <w:jc w:val="both"/>
        <w:rPr>
          <w:rFonts w:ascii="Arial" w:hAnsi="Arial" w:cs="Arial"/>
          <w:bCs/>
          <w:lang w:eastAsia="zh-CN"/>
        </w:rPr>
      </w:pPr>
      <w:r w:rsidRPr="008E6078">
        <w:rPr>
          <w:rFonts w:ascii="Arial" w:hAnsi="Arial" w:cs="Arial"/>
          <w:bCs/>
          <w:lang w:eastAsia="zh-CN"/>
        </w:rPr>
        <w:t xml:space="preserve">RAN2 can support </w:t>
      </w:r>
      <w:r>
        <w:rPr>
          <w:rFonts w:ascii="Arial" w:hAnsi="Arial" w:cs="Arial"/>
          <w:bCs/>
          <w:lang w:eastAsia="zh-CN"/>
        </w:rPr>
        <w:t>release independent capability of transparent TxD</w:t>
      </w:r>
      <w:r w:rsidRPr="008E6078">
        <w:rPr>
          <w:rFonts w:ascii="Arial" w:hAnsi="Arial" w:cs="Arial"/>
          <w:bCs/>
          <w:lang w:eastAsia="zh-CN"/>
        </w:rPr>
        <w:t xml:space="preserve"> for R</w:t>
      </w:r>
      <w:r>
        <w:rPr>
          <w:rFonts w:ascii="Arial" w:hAnsi="Arial" w:cs="Arial"/>
          <w:bCs/>
          <w:lang w:eastAsia="zh-CN"/>
        </w:rPr>
        <w:t>el-</w:t>
      </w:r>
      <w:r w:rsidRPr="008E6078">
        <w:rPr>
          <w:rFonts w:ascii="Arial" w:hAnsi="Arial" w:cs="Arial"/>
          <w:bCs/>
          <w:lang w:eastAsia="zh-CN"/>
        </w:rPr>
        <w:t xml:space="preserve">15, by </w:t>
      </w:r>
      <w:r>
        <w:rPr>
          <w:rFonts w:ascii="Arial" w:hAnsi="Arial" w:cs="Arial"/>
          <w:bCs/>
          <w:lang w:eastAsia="zh-CN"/>
        </w:rPr>
        <w:t xml:space="preserve">allowing </w:t>
      </w:r>
      <w:r w:rsidRPr="008E6078">
        <w:rPr>
          <w:rFonts w:ascii="Arial" w:hAnsi="Arial" w:cs="Arial"/>
          <w:bCs/>
          <w:lang w:eastAsia="zh-CN"/>
        </w:rPr>
        <w:t xml:space="preserve">early </w:t>
      </w:r>
      <w:r>
        <w:rPr>
          <w:rFonts w:ascii="Arial" w:hAnsi="Arial" w:cs="Arial"/>
          <w:bCs/>
          <w:lang w:eastAsia="zh-CN"/>
        </w:rPr>
        <w:t>implementation</w:t>
      </w:r>
      <w:r w:rsidRPr="008E6078">
        <w:rPr>
          <w:rFonts w:ascii="Arial" w:hAnsi="Arial" w:cs="Arial"/>
          <w:bCs/>
          <w:lang w:eastAsia="zh-CN"/>
        </w:rPr>
        <w:t xml:space="preserve"> </w:t>
      </w:r>
      <w:r>
        <w:rPr>
          <w:rFonts w:ascii="Arial" w:hAnsi="Arial" w:cs="Arial"/>
          <w:bCs/>
          <w:lang w:eastAsia="zh-CN"/>
        </w:rPr>
        <w:t xml:space="preserve">of the Rel-16 </w:t>
      </w:r>
      <w:r w:rsidRPr="008E6078">
        <w:rPr>
          <w:rFonts w:ascii="Arial" w:hAnsi="Arial" w:cs="Arial"/>
          <w:bCs/>
          <w:lang w:eastAsia="zh-CN"/>
        </w:rPr>
        <w:t>CR</w:t>
      </w:r>
      <w:r>
        <w:rPr>
          <w:rFonts w:ascii="Arial" w:hAnsi="Arial" w:cs="Arial"/>
          <w:bCs/>
          <w:lang w:eastAsia="zh-CN"/>
        </w:rPr>
        <w:t>s</w:t>
      </w:r>
      <w:r w:rsidRPr="008E6078">
        <w:rPr>
          <w:rFonts w:ascii="Arial" w:hAnsi="Arial" w:cs="Arial"/>
          <w:bCs/>
          <w:lang w:eastAsia="zh-CN"/>
        </w:rPr>
        <w:t>.</w:t>
      </w:r>
    </w:p>
    <w:p w14:paraId="438F46F6" w14:textId="77777777" w:rsidR="00B521DA" w:rsidRDefault="00B521DA" w:rsidP="00B521DA">
      <w:pPr>
        <w:numPr>
          <w:ilvl w:val="0"/>
          <w:numId w:val="15"/>
        </w:numPr>
        <w:spacing w:after="180"/>
        <w:jc w:val="both"/>
        <w:rPr>
          <w:rFonts w:ascii="Arial" w:hAnsi="Arial" w:cs="Arial"/>
          <w:bCs/>
          <w:lang w:eastAsia="zh-CN"/>
        </w:rPr>
      </w:pPr>
      <w:r w:rsidRPr="004561E0">
        <w:rPr>
          <w:rFonts w:ascii="Arial" w:hAnsi="Arial" w:cs="Arial"/>
          <w:bCs/>
          <w:lang w:eastAsia="zh-CN"/>
        </w:rPr>
        <w:t>It is possible to only apply the change</w:t>
      </w:r>
      <w:r>
        <w:rPr>
          <w:rFonts w:ascii="Arial" w:hAnsi="Arial" w:cs="Arial"/>
          <w:bCs/>
          <w:lang w:eastAsia="zh-CN"/>
        </w:rPr>
        <w:t xml:space="preserve"> for this new capability </w:t>
      </w:r>
      <w:r w:rsidRPr="004561E0">
        <w:rPr>
          <w:rFonts w:ascii="Arial" w:hAnsi="Arial" w:cs="Arial"/>
          <w:bCs/>
          <w:lang w:eastAsia="zh-CN"/>
        </w:rPr>
        <w:t>for PC2 UEs for R</w:t>
      </w:r>
      <w:r>
        <w:rPr>
          <w:rFonts w:ascii="Arial" w:hAnsi="Arial" w:cs="Arial"/>
          <w:bCs/>
          <w:lang w:eastAsia="zh-CN"/>
        </w:rPr>
        <w:t>el-</w:t>
      </w:r>
      <w:r w:rsidRPr="004561E0">
        <w:rPr>
          <w:rFonts w:ascii="Arial" w:hAnsi="Arial" w:cs="Arial"/>
          <w:bCs/>
          <w:lang w:eastAsia="zh-CN"/>
        </w:rPr>
        <w:t>15</w:t>
      </w:r>
      <w:r>
        <w:rPr>
          <w:rFonts w:ascii="Arial" w:hAnsi="Arial" w:cs="Arial"/>
          <w:bCs/>
          <w:lang w:eastAsia="zh-CN"/>
        </w:rPr>
        <w:t xml:space="preserve">, but RAN2 would like to understand whether the Rel-16 capability signalling applies for all PCs, while Rel-15 capability </w:t>
      </w:r>
      <w:r>
        <w:rPr>
          <w:rFonts w:ascii="Arial" w:hAnsi="Arial" w:cs="Arial" w:hint="eastAsia"/>
          <w:bCs/>
          <w:lang w:eastAsia="zh-CN"/>
        </w:rPr>
        <w:t>si</w:t>
      </w:r>
      <w:r>
        <w:rPr>
          <w:rFonts w:ascii="Arial" w:hAnsi="Arial" w:cs="Arial"/>
          <w:bCs/>
          <w:lang w:eastAsia="zh-CN"/>
        </w:rPr>
        <w:t>gnalling applies for just PC2 (as this difference in Rel-15 and Rel-16 capability might impact the signalling design)?</w:t>
      </w:r>
    </w:p>
    <w:p w14:paraId="6AA232FE" w14:textId="77777777" w:rsidR="00B521DA" w:rsidRPr="004561E0" w:rsidRDefault="00B521DA" w:rsidP="00B521DA">
      <w:pPr>
        <w:numPr>
          <w:ilvl w:val="0"/>
          <w:numId w:val="15"/>
        </w:numPr>
        <w:spacing w:after="180"/>
        <w:jc w:val="both"/>
        <w:rPr>
          <w:rFonts w:ascii="Arial" w:hAnsi="Arial" w:cs="Arial"/>
          <w:bCs/>
          <w:lang w:eastAsia="zh-CN"/>
        </w:rPr>
      </w:pPr>
      <w:r>
        <w:rPr>
          <w:rFonts w:ascii="Arial" w:hAnsi="Arial" w:cs="Arial"/>
          <w:bCs/>
          <w:lang w:eastAsia="zh-CN"/>
        </w:rPr>
        <w:t>RAN2 would also like to confirm whether this new capability has any dependencies with other capabilities that should be captured by RAN2 (since the capability is intended as release independent, RAN2 may need to capture such pre-requisites explicitly).</w:t>
      </w:r>
    </w:p>
    <w:p w14:paraId="1478AF30" w14:textId="20A2D4A8" w:rsidR="00463DDB" w:rsidRDefault="00ED33C0" w:rsidP="00463DDB">
      <w:pPr>
        <w:pStyle w:val="BodyText"/>
      </w:pPr>
      <w:r>
        <w:t>In this contribution</w:t>
      </w:r>
      <w:r w:rsidR="00914F5E">
        <w:t>,</w:t>
      </w:r>
      <w:r>
        <w:t xml:space="preserve"> we address the </w:t>
      </w:r>
      <w:r w:rsidR="00914F5E">
        <w:t>last item of the RAN2 res</w:t>
      </w:r>
      <w:r w:rsidR="007E135A">
        <w:t xml:space="preserve">ponse along </w:t>
      </w:r>
      <w:r w:rsidR="00D86563">
        <w:t xml:space="preserve">with a further discussion on </w:t>
      </w:r>
      <w:r w:rsidR="007E135A">
        <w:t xml:space="preserve">the </w:t>
      </w:r>
      <w:r w:rsidR="00D86563">
        <w:t>TxD capability</w:t>
      </w:r>
      <w:r w:rsidR="00914F5E">
        <w:t>. A draft Reply LS to [2] is attached below.</w:t>
      </w:r>
    </w:p>
    <w:p w14:paraId="00877E14" w14:textId="769780B0" w:rsidR="001E05F8" w:rsidRDefault="00C25ABF" w:rsidP="001E05F8">
      <w:pPr>
        <w:pStyle w:val="BodyText"/>
        <w:rPr>
          <w:lang w:val="en-US"/>
        </w:rPr>
      </w:pPr>
      <w:r>
        <w:t>First we presen</w:t>
      </w:r>
      <w:r w:rsidR="0066100B">
        <w:t>t</w:t>
      </w:r>
      <w:r>
        <w:t xml:space="preserve"> simulation results for PUSCH, the observations are similar to those made for PUCCH in </w:t>
      </w:r>
      <w:r w:rsidR="001E05F8">
        <w:t xml:space="preserve">[1] </w:t>
      </w:r>
      <w:r w:rsidR="001E05F8">
        <w:rPr>
          <w:lang w:val="en-US"/>
        </w:rPr>
        <w:t xml:space="preserve">(the power capability is no less important for PUCCH). </w:t>
      </w:r>
    </w:p>
    <w:p w14:paraId="18B90602" w14:textId="37140F4E" w:rsidR="00E32439" w:rsidRDefault="00463DDB" w:rsidP="0066100B">
      <w:pPr>
        <w:spacing w:after="120"/>
        <w:rPr>
          <w:lang w:val="en-US" w:eastAsia="sv-SE"/>
        </w:rPr>
      </w:pPr>
      <w:r>
        <w:rPr>
          <w:lang w:val="en-US"/>
        </w:rPr>
        <w:t xml:space="preserve">If only a matter of allowing a UE implemented with two 23 dBm PAs indicate PC2 in the NR band capability and making </w:t>
      </w:r>
      <w:r w:rsidR="00EF68E6">
        <w:rPr>
          <w:lang w:val="en-US"/>
        </w:rPr>
        <w:t xml:space="preserve">sure </w:t>
      </w:r>
      <w:r>
        <w:rPr>
          <w:lang w:val="en-US"/>
        </w:rPr>
        <w:t>it can pass the conformance tests for single-port transmissions, no matter the impact on the actual performance in the field, there is no need to introduce a [</w:t>
      </w:r>
      <w:r>
        <w:rPr>
          <w:i/>
          <w:iCs/>
          <w:lang w:val="en-US"/>
        </w:rPr>
        <w:t>TxDiversity-r16</w:t>
      </w:r>
      <w:r>
        <w:rPr>
          <w:lang w:val="en-US"/>
        </w:rPr>
        <w:t xml:space="preserve">] capability. The number of active TX connectors could be declared. However, then the actual UE power capability as seen in the field would be ambiguous. </w:t>
      </w:r>
      <w:r w:rsidR="0066100B">
        <w:rPr>
          <w:lang w:val="en-US"/>
        </w:rPr>
        <w:t>Notwithstan</w:t>
      </w:r>
      <w:r w:rsidR="002F3DEA">
        <w:rPr>
          <w:lang w:val="en-US"/>
        </w:rPr>
        <w:t>d</w:t>
      </w:r>
      <w:r w:rsidR="0066100B">
        <w:rPr>
          <w:lang w:val="en-US"/>
        </w:rPr>
        <w:t>ing, t</w:t>
      </w:r>
      <w:r w:rsidR="00552888">
        <w:rPr>
          <w:lang w:val="en-US"/>
        </w:rPr>
        <w:t xml:space="preserve">he </w:t>
      </w:r>
      <w:r w:rsidR="0066100B">
        <w:rPr>
          <w:lang w:val="en-US"/>
        </w:rPr>
        <w:t xml:space="preserve">advertised </w:t>
      </w:r>
      <w:r w:rsidR="00552888">
        <w:rPr>
          <w:lang w:val="en-US"/>
        </w:rPr>
        <w:t xml:space="preserve">power class is used for PHR reporting regardless of </w:t>
      </w:r>
      <w:r w:rsidR="0066100B">
        <w:rPr>
          <w:lang w:val="en-US"/>
        </w:rPr>
        <w:t xml:space="preserve">the </w:t>
      </w:r>
      <w:r w:rsidR="00EF68E6">
        <w:rPr>
          <w:lang w:val="en-US"/>
        </w:rPr>
        <w:t xml:space="preserve">UE </w:t>
      </w:r>
      <w:r w:rsidR="00552888">
        <w:rPr>
          <w:lang w:val="en-US"/>
        </w:rPr>
        <w:t>TX architecture</w:t>
      </w:r>
      <w:r w:rsidR="0066100B">
        <w:rPr>
          <w:lang w:val="en-US"/>
        </w:rPr>
        <w:t>.</w:t>
      </w:r>
    </w:p>
    <w:p w14:paraId="5C3053A7" w14:textId="77777777" w:rsidR="003D6CF5" w:rsidRDefault="00463DDB" w:rsidP="00DF3F8E">
      <w:pPr>
        <w:pStyle w:val="Heading1"/>
        <w:rPr>
          <w:lang w:val="en-US"/>
        </w:rPr>
      </w:pPr>
      <w:bookmarkStart w:id="0" w:name="_Hlk54348724"/>
      <w:r>
        <w:rPr>
          <w:lang w:val="en-US"/>
        </w:rPr>
        <w:t>Actual UE power capability as seen at the gNB receiver</w:t>
      </w:r>
    </w:p>
    <w:p w14:paraId="50A2F8A5" w14:textId="13A0768E" w:rsidR="00E65BAC" w:rsidRDefault="00E65BAC" w:rsidP="00E65BAC">
      <w:pPr>
        <w:pStyle w:val="BodyText"/>
        <w:rPr>
          <w:lang w:val="en-US"/>
        </w:rPr>
      </w:pPr>
      <w:r>
        <w:rPr>
          <w:lang w:val="en-US"/>
        </w:rPr>
        <w:t xml:space="preserve">In the proposed CR for TxD </w:t>
      </w:r>
      <w:r w:rsidR="006E2979">
        <w:rPr>
          <w:lang w:val="en-US"/>
        </w:rPr>
        <w:t>[</w:t>
      </w:r>
      <w:r w:rsidR="001B6DE6">
        <w:rPr>
          <w:lang w:val="en-US"/>
        </w:rPr>
        <w:t>2</w:t>
      </w:r>
      <w:r w:rsidR="006E2979">
        <w:rPr>
          <w:lang w:val="en-US"/>
        </w:rPr>
        <w:t>]</w:t>
      </w:r>
      <w:r>
        <w:rPr>
          <w:lang w:val="en-US"/>
        </w:rPr>
        <w:t xml:space="preserve">, the power class is measured as </w:t>
      </w:r>
    </w:p>
    <w:p w14:paraId="1729A770" w14:textId="77777777" w:rsidR="00E65BAC" w:rsidRDefault="00E65BAC" w:rsidP="00E65BAC">
      <w:pPr>
        <w:pStyle w:val="BodyText"/>
        <w:ind w:left="720"/>
        <w:rPr>
          <w:lang w:val="en-US"/>
        </w:rPr>
      </w:pPr>
      <w:r w:rsidRPr="00DD76CB">
        <w:rPr>
          <w:rFonts w:hint="eastAsia"/>
        </w:rPr>
        <w:t xml:space="preserve">For UE supporting </w:t>
      </w:r>
      <w:r w:rsidRPr="00DD76CB">
        <w:t>Tx Diversity</w:t>
      </w:r>
      <w:r w:rsidRPr="00DD76CB">
        <w:rPr>
          <w:rFonts w:hint="eastAsia"/>
        </w:rPr>
        <w:t>, t</w:t>
      </w:r>
      <w:r w:rsidRPr="00DD76CB">
        <w:t>he maximum output power as indicated by UE power class in Table 6.2.1-1is measured as the sum of the maximum output power from both UE antenna connectors.</w:t>
      </w:r>
    </w:p>
    <w:p w14:paraId="340930D4" w14:textId="65FB151F" w:rsidR="00E65BAC" w:rsidRDefault="00E65BAC" w:rsidP="00E65BAC">
      <w:pPr>
        <w:pStyle w:val="BodyText"/>
        <w:rPr>
          <w:lang w:val="en-US"/>
        </w:rPr>
      </w:pPr>
      <w:r>
        <w:rPr>
          <w:lang w:val="en-US"/>
        </w:rPr>
        <w:t xml:space="preserve">the summation is not specified. The power per connection could be added without specifying </w:t>
      </w:r>
      <w:r w:rsidRPr="000C7BC4">
        <w:rPr>
          <w:i/>
          <w:iCs/>
          <w:lang w:val="en-US"/>
        </w:rPr>
        <w:t>how</w:t>
      </w:r>
      <w:r>
        <w:rPr>
          <w:lang w:val="en-US"/>
        </w:rPr>
        <w:t xml:space="preserve">, which may not reflect the UE power capability in the field as estimated by a gNB receiver. </w:t>
      </w:r>
    </w:p>
    <w:p w14:paraId="5FA3173F" w14:textId="2A8A9833" w:rsidR="00E65BAC" w:rsidRPr="003F0C7C" w:rsidRDefault="006E2979" w:rsidP="00E65BAC">
      <w:pPr>
        <w:pStyle w:val="BodyText"/>
        <w:rPr>
          <w:lang w:val="en-US"/>
        </w:rPr>
      </w:pPr>
      <w:r>
        <w:rPr>
          <w:lang w:val="en-US"/>
        </w:rPr>
        <w:lastRenderedPageBreak/>
        <w:t xml:space="preserve">As </w:t>
      </w:r>
      <w:r>
        <w:rPr>
          <w:lang w:val="en-US"/>
        </w:rPr>
        <w:t>discussed in [</w:t>
      </w:r>
      <w:r w:rsidR="00270D55">
        <w:rPr>
          <w:lang w:val="en-US"/>
        </w:rPr>
        <w:t>1</w:t>
      </w:r>
      <w:r>
        <w:rPr>
          <w:lang w:val="en-US"/>
        </w:rPr>
        <w:t>], o</w:t>
      </w:r>
      <w:r w:rsidR="00E65BAC">
        <w:rPr>
          <w:lang w:val="en-US"/>
        </w:rPr>
        <w:t xml:space="preserve">ne of the main issues with transparent TxD is possible signal cancellation with correlated inputs on the TX chains. </w:t>
      </w:r>
      <w:r w:rsidR="00E65BAC">
        <w:t>The results in [</w:t>
      </w:r>
      <w:r w:rsidR="00270D55">
        <w:t>3</w:t>
      </w:r>
      <w:r w:rsidR="00E65BAC">
        <w:t xml:space="preserve">] show results on S-CDD performance but the assumption on the time alignment error and antenna correlation is unclear. Other contributions have shown that the output power for a UE advertising PC2 can be anywhere between PC3 and PC2 using </w:t>
      </w:r>
      <w:r w:rsidR="00E65BAC">
        <w:t>transparent TxD without phase and timing alignement, the results also depends on the correlation. While recognising the virtue of transparent S-CDD for avoiding signal cancellation, the performance for small bandwidths (few RB at cell edge) is uncertain and will depend on the allocation within the bandwidth.</w:t>
      </w:r>
    </w:p>
    <w:p w14:paraId="0EBFAAC0" w14:textId="77777777" w:rsidR="00E65BAC" w:rsidRDefault="00E65BAC" w:rsidP="00E65BAC">
      <w:pPr>
        <w:pStyle w:val="BodyText"/>
        <w:rPr>
          <w:lang w:val="en-US"/>
        </w:rPr>
      </w:pPr>
      <w:r>
        <w:t xml:space="preserve">Next we show simulation results to display that </w:t>
      </w:r>
      <w:r>
        <w:rPr>
          <w:lang w:val="en-US"/>
        </w:rPr>
        <w:t>the power capability as seen by the gNB receiver can vary substantially for transparent TxD with half-power PAs as compared to that of the 1TX with a full-power PA depending on the channel and CDD conditions.</w:t>
      </w:r>
    </w:p>
    <w:p w14:paraId="6A063993" w14:textId="55B5BB3A" w:rsidR="00E65BAC" w:rsidRDefault="00E65BAC" w:rsidP="00E65BAC">
      <w:pPr>
        <w:pStyle w:val="BodyText"/>
        <w:rPr>
          <w:lang w:val="en-US"/>
        </w:rPr>
      </w:pPr>
      <w:r w:rsidRPr="2168AD3D">
        <w:rPr>
          <w:highlight w:val="yellow"/>
          <w:lang w:val="en-US"/>
        </w:rPr>
        <w:fldChar w:fldCharType="begin"/>
      </w:r>
      <w:r w:rsidRPr="2168AD3D">
        <w:rPr>
          <w:highlight w:val="yellow"/>
          <w:lang w:val="en-US"/>
        </w:rPr>
        <w:instrText xml:space="preserve"> REF _Ref67921106 \h </w:instrText>
      </w:r>
      <w:r w:rsidRPr="2168AD3D">
        <w:rPr>
          <w:highlight w:val="yellow"/>
          <w:lang w:val="en-US"/>
        </w:rPr>
      </w:r>
      <w:r w:rsidRPr="2168AD3D">
        <w:rPr>
          <w:highlight w:val="yellow"/>
          <w:lang w:val="en-US"/>
        </w:rPr>
        <w:fldChar w:fldCharType="separate"/>
      </w:r>
      <w:r>
        <w:t xml:space="preserve">Figure </w:t>
      </w:r>
      <w:r w:rsidRPr="2168AD3D">
        <w:rPr>
          <w:noProof/>
        </w:rPr>
        <w:t>1</w:t>
      </w:r>
      <w:r w:rsidRPr="2168AD3D">
        <w:rPr>
          <w:highlight w:val="yellow"/>
          <w:lang w:val="en-US"/>
        </w:rPr>
        <w:fldChar w:fldCharType="end"/>
      </w:r>
      <w:r w:rsidRPr="2168AD3D">
        <w:rPr>
          <w:lang w:val="en-US"/>
        </w:rPr>
        <w:t xml:space="preserve"> below compares the </w:t>
      </w:r>
      <w:r w:rsidRPr="2168AD3D">
        <w:rPr>
          <w:lang w:val="en-US"/>
        </w:rPr>
        <w:t>performance where transparent TxD is used to single antenna port operation under various conditions for PU</w:t>
      </w:r>
      <w:r w:rsidR="00126AF9" w:rsidRPr="2168AD3D">
        <w:rPr>
          <w:lang w:val="en-US"/>
        </w:rPr>
        <w:t>S</w:t>
      </w:r>
      <w:r w:rsidRPr="2168AD3D">
        <w:rPr>
          <w:lang w:val="en-US"/>
        </w:rPr>
        <w:t xml:space="preserve">CH transmissions. </w:t>
      </w:r>
      <w:r w:rsidR="00A40D9F">
        <w:rPr>
          <w:lang w:val="en-US"/>
        </w:rPr>
        <w:t>S</w:t>
      </w:r>
      <w:r w:rsidR="00126AF9" w:rsidRPr="2168AD3D">
        <w:rPr>
          <w:lang w:val="en-US"/>
        </w:rPr>
        <w:t>imilar results for PUCCH are available in [</w:t>
      </w:r>
      <w:r w:rsidR="00A40D9F">
        <w:rPr>
          <w:lang w:val="en-US"/>
        </w:rPr>
        <w:t>1</w:t>
      </w:r>
      <w:r w:rsidR="00126AF9" w:rsidRPr="2168AD3D">
        <w:rPr>
          <w:lang w:val="en-US"/>
        </w:rPr>
        <w:t xml:space="preserve">]. </w:t>
      </w:r>
      <w:r w:rsidRPr="2168AD3D">
        <w:rPr>
          <w:lang w:val="en-US"/>
        </w:rPr>
        <w:t xml:space="preserve">A single full power PA is used for the single antenna port case, while TxD uses two half power PAs and CDD with </w:t>
      </w:r>
      <w:r w:rsidRPr="2168AD3D">
        <w:rPr>
          <w:lang w:val="en-US"/>
        </w:rPr>
        <w:t xml:space="preserve">varying amounts of CDD.  A 700 MHz TDL-C channel model with 30ns delay spread is used, where either the </w:t>
      </w:r>
      <w:r w:rsidR="00126AF9" w:rsidRPr="2168AD3D">
        <w:rPr>
          <w:lang w:val="en-US"/>
        </w:rPr>
        <w:t>low</w:t>
      </w:r>
      <w:r w:rsidR="00202657" w:rsidRPr="2168AD3D">
        <w:rPr>
          <w:lang w:val="en-US"/>
        </w:rPr>
        <w:t xml:space="preserve"> </w:t>
      </w:r>
      <w:r w:rsidR="00126AF9" w:rsidRPr="2168AD3D">
        <w:rPr>
          <w:lang w:val="en-US"/>
        </w:rPr>
        <w:t xml:space="preserve">or </w:t>
      </w:r>
      <w:r w:rsidRPr="2168AD3D">
        <w:rPr>
          <w:lang w:val="en-US"/>
        </w:rPr>
        <w:t>high correlation model is used.  Two gNB receive antennas are used.  The PU</w:t>
      </w:r>
      <w:r w:rsidR="00126AF9" w:rsidRPr="2168AD3D">
        <w:rPr>
          <w:lang w:val="en-US"/>
        </w:rPr>
        <w:t>S</w:t>
      </w:r>
      <w:r w:rsidRPr="2168AD3D">
        <w:rPr>
          <w:lang w:val="en-US"/>
        </w:rPr>
        <w:t xml:space="preserve">CH occupies </w:t>
      </w:r>
      <w:r w:rsidR="00126AF9" w:rsidRPr="2168AD3D">
        <w:rPr>
          <w:lang w:val="en-US"/>
        </w:rPr>
        <w:t xml:space="preserve">four </w:t>
      </w:r>
      <w:r w:rsidRPr="2168AD3D">
        <w:rPr>
          <w:lang w:val="en-US"/>
        </w:rPr>
        <w:t>PRBs</w:t>
      </w:r>
      <w:r w:rsidR="00126AF9" w:rsidRPr="2168AD3D">
        <w:rPr>
          <w:lang w:val="en-US"/>
        </w:rPr>
        <w:t xml:space="preserve"> and uses MCS0</w:t>
      </w:r>
      <w:r w:rsidRPr="2168AD3D">
        <w:rPr>
          <w:lang w:val="en-US"/>
        </w:rPr>
        <w:t xml:space="preserve">.  The </w:t>
      </w:r>
      <w:r w:rsidR="002E7C63" w:rsidRPr="2168AD3D">
        <w:rPr>
          <w:lang w:val="en-US"/>
        </w:rPr>
        <w:t xml:space="preserve">left and right </w:t>
      </w:r>
      <w:r w:rsidRPr="2168AD3D">
        <w:rPr>
          <w:lang w:val="en-US"/>
        </w:rPr>
        <w:t xml:space="preserve">contain results where </w:t>
      </w:r>
      <w:r w:rsidR="00542690" w:rsidRPr="2168AD3D">
        <w:rPr>
          <w:lang w:val="en-US"/>
        </w:rPr>
        <w:t xml:space="preserve">low and </w:t>
      </w:r>
      <w:r w:rsidR="002E7C63" w:rsidRPr="2168AD3D">
        <w:rPr>
          <w:lang w:val="en-US"/>
        </w:rPr>
        <w:t xml:space="preserve">high </w:t>
      </w:r>
      <w:r w:rsidR="00542690" w:rsidRPr="2168AD3D">
        <w:rPr>
          <w:lang w:val="en-US"/>
        </w:rPr>
        <w:t>correlation are used, respectively</w:t>
      </w:r>
      <w:r w:rsidRPr="2168AD3D">
        <w:rPr>
          <w:lang w:val="en-US"/>
        </w:rPr>
        <w:t>.  Because it is assumed that the UE cannot control the absolute phase between two Tx chains, when TxD is used, each PU</w:t>
      </w:r>
      <w:r w:rsidR="007B4E4A" w:rsidRPr="2168AD3D">
        <w:rPr>
          <w:lang w:val="en-US"/>
        </w:rPr>
        <w:t>S</w:t>
      </w:r>
      <w:r w:rsidRPr="2168AD3D">
        <w:rPr>
          <w:lang w:val="en-US"/>
        </w:rPr>
        <w:t xml:space="preserve">CH transmission has a uniformly distributed random phase from 0 to 360 degrees applied between the Tx chains. A detailed list of simulation parameters is given in </w:t>
      </w:r>
      <w:r w:rsidR="007B4E4A" w:rsidRPr="2168AD3D">
        <w:rPr>
          <w:lang w:val="en-US"/>
        </w:rPr>
        <w:t xml:space="preserve">the </w:t>
      </w:r>
      <w:r w:rsidRPr="2168AD3D">
        <w:rPr>
          <w:lang w:val="en-US"/>
        </w:rPr>
        <w:t>Appendix.</w:t>
      </w:r>
    </w:p>
    <w:p w14:paraId="1CC80665" w14:textId="42B11999" w:rsidR="00DF4E3A" w:rsidRPr="003E5629" w:rsidRDefault="000B7680">
      <w:pPr>
        <w:pStyle w:val="BodyText"/>
      </w:pPr>
      <w:r>
        <w:rPr>
          <w:noProof/>
        </w:rPr>
        <w:drawing>
          <wp:inline distT="0" distB="0" distL="0" distR="0" wp14:anchorId="4ABF187E" wp14:editId="68DCF425">
            <wp:extent cx="2997200" cy="248920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pic:nvPicPr>
                  <pic:blipFill>
                    <a:blip r:embed="rId11">
                      <a:extLst>
                        <a:ext uri="{28A0092B-C50C-407E-A947-70E740481C1C}">
                          <a14:useLocalDpi xmlns:a14="http://schemas.microsoft.com/office/drawing/2010/main" val="0"/>
                        </a:ext>
                      </a:extLst>
                    </a:blip>
                    <a:srcRect l="3099" r="6436"/>
                    <a:stretch>
                      <a:fillRect/>
                    </a:stretch>
                  </pic:blipFill>
                  <pic:spPr>
                    <a:xfrm>
                      <a:off x="0" y="0"/>
                      <a:ext cx="2997200" cy="2489200"/>
                    </a:xfrm>
                    <a:prstGeom prst="rect">
                      <a:avLst/>
                    </a:prstGeom>
                  </pic:spPr>
                </pic:pic>
              </a:graphicData>
            </a:graphic>
          </wp:inline>
        </w:drawing>
      </w:r>
      <w:r w:rsidR="00DF4E3A">
        <w:t xml:space="preserve"> </w:t>
      </w:r>
      <w:r>
        <w:rPr>
          <w:noProof/>
        </w:rPr>
        <w:drawing>
          <wp:inline distT="0" distB="0" distL="0" distR="0" wp14:anchorId="5284E70E" wp14:editId="31E1C504">
            <wp:extent cx="3003550" cy="251460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pic:nvPicPr>
                  <pic:blipFill>
                    <a:blip r:embed="rId12">
                      <a:extLst>
                        <a:ext uri="{28A0092B-C50C-407E-A947-70E740481C1C}">
                          <a14:useLocalDpi xmlns:a14="http://schemas.microsoft.com/office/drawing/2010/main" val="0"/>
                        </a:ext>
                      </a:extLst>
                    </a:blip>
                    <a:srcRect l="2927" r="7059"/>
                    <a:stretch>
                      <a:fillRect/>
                    </a:stretch>
                  </pic:blipFill>
                  <pic:spPr>
                    <a:xfrm>
                      <a:off x="0" y="0"/>
                      <a:ext cx="3003550" cy="2514600"/>
                    </a:xfrm>
                    <a:prstGeom prst="rect">
                      <a:avLst/>
                    </a:prstGeom>
                  </pic:spPr>
                </pic:pic>
              </a:graphicData>
            </a:graphic>
          </wp:inline>
        </w:drawing>
      </w:r>
    </w:p>
    <w:p w14:paraId="6BFFC08F" w14:textId="274C8C39" w:rsidR="00350099" w:rsidRPr="006761F2" w:rsidRDefault="00350099" w:rsidP="00350099">
      <w:pPr>
        <w:pStyle w:val="Caption"/>
        <w:jc w:val="center"/>
        <w:rPr>
          <w:b w:val="0"/>
          <w:bCs w:val="0"/>
          <w:lang w:val="en-US"/>
        </w:rPr>
      </w:pPr>
      <w:bookmarkStart w:id="1" w:name="_Ref67921106"/>
      <w:r>
        <w:rPr>
          <w:b w:val="0"/>
          <w:bCs w:val="0"/>
        </w:rPr>
        <w:t xml:space="preserve">Figure </w:t>
      </w:r>
      <w:r>
        <w:rPr>
          <w:b w:val="0"/>
          <w:bCs w:val="0"/>
        </w:rPr>
        <w:fldChar w:fldCharType="begin"/>
      </w:r>
      <w:r>
        <w:rPr>
          <w:b w:val="0"/>
          <w:bCs w:val="0"/>
        </w:rPr>
        <w:instrText xml:space="preserve"> SEQ Figure \* ARABIC </w:instrText>
      </w:r>
      <w:r>
        <w:rPr>
          <w:b w:val="0"/>
          <w:bCs w:val="0"/>
        </w:rPr>
        <w:fldChar w:fldCharType="separate"/>
      </w:r>
      <w:r w:rsidRPr="6A725671">
        <w:rPr>
          <w:b w:val="0"/>
          <w:bCs w:val="0"/>
          <w:noProof/>
        </w:rPr>
        <w:t>1</w:t>
      </w:r>
      <w:r>
        <w:rPr>
          <w:b w:val="0"/>
          <w:bCs w:val="0"/>
        </w:rPr>
        <w:fldChar w:fldCharType="end"/>
      </w:r>
      <w:bookmarkEnd w:id="1"/>
      <w:r>
        <w:rPr>
          <w:b w:val="0"/>
          <w:bCs w:val="0"/>
        </w:rPr>
        <w:t>: Single Antenna and TxD Performance for PUSCH, with low correlation (left)</w:t>
      </w:r>
      <w:r w:rsidR="00202657">
        <w:rPr>
          <w:b w:val="0"/>
          <w:bCs w:val="0"/>
        </w:rPr>
        <w:t xml:space="preserve"> and high </w:t>
      </w:r>
      <w:r>
        <w:rPr>
          <w:b w:val="0"/>
          <w:bCs w:val="0"/>
        </w:rPr>
        <w:t>correlation (right).</w:t>
      </w:r>
    </w:p>
    <w:p w14:paraId="3FAC50C2" w14:textId="04FFE85A" w:rsidR="00E65BAC" w:rsidRDefault="00E65BAC" w:rsidP="00B909F1">
      <w:pPr>
        <w:pStyle w:val="BodyText"/>
        <w:rPr>
          <w:lang w:val="en-US"/>
        </w:rPr>
      </w:pPr>
    </w:p>
    <w:p w14:paraId="5EBFB51E" w14:textId="1EEF2863" w:rsidR="00F74C36" w:rsidRDefault="00F74C36" w:rsidP="00F74C36">
      <w:pPr>
        <w:pStyle w:val="BodyText"/>
        <w:rPr>
          <w:lang w:val="en-US"/>
        </w:rPr>
      </w:pPr>
      <w:r>
        <w:rPr>
          <w:lang w:val="en-US"/>
        </w:rPr>
        <w:t>First</w:t>
      </w:r>
      <w:r>
        <w:rPr>
          <w:lang w:val="en-US"/>
        </w:rPr>
        <w:t xml:space="preserve">, considering the case with low correlation in the upper left plot, it can be observed that TxD </w:t>
      </w:r>
      <w:r w:rsidR="00902661">
        <w:rPr>
          <w:lang w:val="en-US"/>
        </w:rPr>
        <w:t xml:space="preserve">can </w:t>
      </w:r>
      <w:r>
        <w:rPr>
          <w:lang w:val="en-US"/>
        </w:rPr>
        <w:t>provide</w:t>
      </w:r>
      <w:r w:rsidR="00902661">
        <w:rPr>
          <w:lang w:val="en-US"/>
        </w:rPr>
        <w:t xml:space="preserve"> similar performance to single antenna at high BLER</w:t>
      </w:r>
      <w:r>
        <w:rPr>
          <w:lang w:val="en-US"/>
        </w:rPr>
        <w:t xml:space="preserve"> </w:t>
      </w:r>
      <w:r w:rsidR="00902661">
        <w:rPr>
          <w:lang w:val="en-US"/>
        </w:rPr>
        <w:t>an</w:t>
      </w:r>
      <w:r w:rsidR="008C775A">
        <w:rPr>
          <w:lang w:val="en-US"/>
        </w:rPr>
        <w:t>d</w:t>
      </w:r>
      <w:r w:rsidR="00902661">
        <w:rPr>
          <w:lang w:val="en-US"/>
        </w:rPr>
        <w:t xml:space="preserve"> a notable gain at low BLER with a properly chosen CDD delay</w:t>
      </w:r>
      <w:r>
        <w:rPr>
          <w:lang w:val="en-US"/>
        </w:rPr>
        <w:t xml:space="preserve">.  At 10% BLER, </w:t>
      </w:r>
      <w:r w:rsidR="00B045CD">
        <w:rPr>
          <w:lang w:val="en-US"/>
        </w:rPr>
        <w:t xml:space="preserve">0.2 </w:t>
      </w:r>
      <w:r>
        <w:rPr>
          <w:lang w:val="en-US"/>
        </w:rPr>
        <w:t xml:space="preserve">dB gain </w:t>
      </w:r>
      <w:r w:rsidR="00B045CD">
        <w:rPr>
          <w:lang w:val="en-US"/>
        </w:rPr>
        <w:t xml:space="preserve">and a 1.1 dB loss </w:t>
      </w:r>
      <w:r>
        <w:rPr>
          <w:lang w:val="en-US"/>
        </w:rPr>
        <w:t xml:space="preserve">is observed from </w:t>
      </w:r>
      <w:r w:rsidR="00B045CD">
        <w:rPr>
          <w:lang w:val="en-US"/>
        </w:rPr>
        <w:t xml:space="preserve">20 sample and 2 sample </w:t>
      </w:r>
      <w:r>
        <w:rPr>
          <w:lang w:val="en-US"/>
        </w:rPr>
        <w:t xml:space="preserve">CDD, </w:t>
      </w:r>
      <w:r w:rsidR="00B045CD">
        <w:rPr>
          <w:lang w:val="en-US"/>
        </w:rPr>
        <w:t>respectively.  A</w:t>
      </w:r>
      <w:r>
        <w:rPr>
          <w:lang w:val="en-US"/>
        </w:rPr>
        <w:t xml:space="preserve">t 1% </w:t>
      </w:r>
      <w:r w:rsidR="00B045CD">
        <w:rPr>
          <w:lang w:val="en-US"/>
        </w:rPr>
        <w:t xml:space="preserve">BLER, a </w:t>
      </w:r>
      <w:r>
        <w:rPr>
          <w:lang w:val="en-US"/>
        </w:rPr>
        <w:t>gain</w:t>
      </w:r>
      <w:r w:rsidR="00B045CD">
        <w:rPr>
          <w:lang w:val="en-US"/>
        </w:rPr>
        <w:t xml:space="preserve"> of</w:t>
      </w:r>
      <w:r>
        <w:rPr>
          <w:lang w:val="en-US"/>
        </w:rPr>
        <w:t xml:space="preserve"> </w:t>
      </w:r>
      <w:r w:rsidR="00B045CD">
        <w:rPr>
          <w:lang w:val="en-US"/>
        </w:rPr>
        <w:t>2.9</w:t>
      </w:r>
      <w:r>
        <w:rPr>
          <w:lang w:val="en-US"/>
        </w:rPr>
        <w:t xml:space="preserve"> </w:t>
      </w:r>
      <w:r w:rsidR="00B045CD">
        <w:rPr>
          <w:lang w:val="en-US"/>
        </w:rPr>
        <w:t xml:space="preserve">is observed for the 20 sample shift, while there is a loss of </w:t>
      </w:r>
      <w:r>
        <w:rPr>
          <w:lang w:val="en-US"/>
        </w:rPr>
        <w:t xml:space="preserve">0.3 dB for a CDD shift of </w:t>
      </w:r>
      <w:r w:rsidR="001A7C15">
        <w:rPr>
          <w:lang w:val="en-US"/>
        </w:rPr>
        <w:t>2</w:t>
      </w:r>
      <w:r>
        <w:rPr>
          <w:lang w:val="en-US"/>
        </w:rPr>
        <w:t xml:space="preserve"> samples.</w:t>
      </w:r>
    </w:p>
    <w:p w14:paraId="0BB1BE82" w14:textId="13886003" w:rsidR="00EE4702" w:rsidRDefault="00DC40E9" w:rsidP="00EE4702">
      <w:pPr>
        <w:pStyle w:val="BodyText"/>
        <w:rPr>
          <w:lang w:val="en-US"/>
        </w:rPr>
      </w:pPr>
      <w:r>
        <w:rPr>
          <w:lang w:val="en-US"/>
        </w:rPr>
        <w:t xml:space="preserve">The high correlation case </w:t>
      </w:r>
      <w:r w:rsidR="00001DBB">
        <w:rPr>
          <w:lang w:val="en-US"/>
        </w:rPr>
        <w:t xml:space="preserve">on the </w:t>
      </w:r>
      <w:r>
        <w:rPr>
          <w:lang w:val="en-US"/>
        </w:rPr>
        <w:t xml:space="preserve">right shows losses from the use of CDD at higher BLER, but some gains over single Tx at lower BLER.  At 10% </w:t>
      </w:r>
      <w:r>
        <w:rPr>
          <w:lang w:val="en-US"/>
        </w:rPr>
        <w:t>BLER, there is a 1.0 or 4.8 dB loss for 2 Tx with a 20 or 2 sample CDD shift as compared to single Tx.  At 1% BLER, there is a 0.7 dB gain for the 20 sample shift, and a multiple dB loss for the 2 sample shift.</w:t>
      </w:r>
    </w:p>
    <w:p w14:paraId="77F69441" w14:textId="649FF9C7" w:rsidR="000B7680" w:rsidRDefault="000B7680" w:rsidP="000B7680">
      <w:pPr>
        <w:pStyle w:val="BodyText"/>
        <w:rPr>
          <w:lang w:val="en-US"/>
        </w:rPr>
      </w:pPr>
      <w:r>
        <w:rPr>
          <w:lang w:val="en-US"/>
        </w:rPr>
        <w:t>While the simulations here use the high correlation model, whether such models are reflective of realistic UE antenna configurations should be further discussed. However, if such highly correlated setups (which may e.g. occur with closely spaced antennas that have the same antenna pattern) are actually used in UEs, the performance impacts would be substantial and should be reflected in the verification of the conducted output power. Furthermore, there is potential notable gain from transparent TxD over single antenna operation in uncorrelated conditions. Capturing such notable gains in UEs indicating transparent TxD capability may also justify appropriate tests configurations.</w:t>
      </w:r>
    </w:p>
    <w:p w14:paraId="741C34B3" w14:textId="683E4459" w:rsidR="000B7680" w:rsidRDefault="000B7680" w:rsidP="000B7680">
      <w:pPr>
        <w:pStyle w:val="BodyText"/>
        <w:rPr>
          <w:lang w:val="en-US"/>
        </w:rPr>
      </w:pPr>
      <w:r>
        <w:rPr>
          <w:lang w:val="en-US"/>
        </w:rPr>
        <w:t>In summary, and similar to the observations in [</w:t>
      </w:r>
      <w:r w:rsidR="008D12D8">
        <w:rPr>
          <w:lang w:val="en-US"/>
        </w:rPr>
        <w:t>1</w:t>
      </w:r>
      <w:r>
        <w:rPr>
          <w:lang w:val="en-US"/>
        </w:rPr>
        <w:t>], we find that</w:t>
      </w:r>
    </w:p>
    <w:p w14:paraId="791EA911" w14:textId="37D0EA3E" w:rsidR="000B7680" w:rsidRPr="00F473E3" w:rsidRDefault="000B7680" w:rsidP="000B7680">
      <w:pPr>
        <w:pStyle w:val="BodyText"/>
        <w:spacing w:after="0"/>
        <w:rPr>
          <w:b/>
          <w:bCs/>
          <w:lang w:val="en-US"/>
        </w:rPr>
      </w:pPr>
      <w:r w:rsidRPr="00C70C97">
        <w:rPr>
          <w:b/>
          <w:bCs/>
          <w:lang w:val="en-US"/>
        </w:rPr>
        <w:t xml:space="preserve">Observation </w:t>
      </w:r>
      <w:r w:rsidR="008D12D8" w:rsidRPr="00C70C97">
        <w:rPr>
          <w:b/>
          <w:bCs/>
          <w:lang w:val="en-US"/>
        </w:rPr>
        <w:t>1</w:t>
      </w:r>
      <w:r w:rsidRPr="00C70C97">
        <w:rPr>
          <w:b/>
          <w:bCs/>
          <w:lang w:val="en-US"/>
        </w:rPr>
        <w:t>:</w:t>
      </w:r>
    </w:p>
    <w:p w14:paraId="2848F3A1" w14:textId="77777777" w:rsidR="000B7680" w:rsidRPr="00AE1032" w:rsidRDefault="000B7680" w:rsidP="000B7680">
      <w:pPr>
        <w:pStyle w:val="ListBullet"/>
        <w:numPr>
          <w:ilvl w:val="0"/>
          <w:numId w:val="16"/>
        </w:numPr>
        <w:spacing w:after="0"/>
        <w:rPr>
          <w:b/>
          <w:bCs/>
          <w:lang w:val="en-US"/>
        </w:rPr>
      </w:pPr>
      <w:r w:rsidRPr="00AE1032">
        <w:rPr>
          <w:b/>
          <w:bCs/>
          <w:lang w:val="en-US"/>
        </w:rPr>
        <w:t>Transparent TxD can be substantially worse than single antenna operation under severe conditions</w:t>
      </w:r>
    </w:p>
    <w:p w14:paraId="11B7241C" w14:textId="16675F38" w:rsidR="000B7680" w:rsidRPr="00AE1032" w:rsidRDefault="000B7680" w:rsidP="000B7680">
      <w:pPr>
        <w:pStyle w:val="ListBullet"/>
        <w:numPr>
          <w:ilvl w:val="1"/>
          <w:numId w:val="16"/>
        </w:numPr>
        <w:spacing w:after="0"/>
        <w:rPr>
          <w:b/>
          <w:bCs/>
          <w:lang w:val="en-US"/>
        </w:rPr>
      </w:pPr>
      <w:r>
        <w:rPr>
          <w:b/>
          <w:bCs/>
          <w:lang w:val="en-US"/>
        </w:rPr>
        <w:t>W</w:t>
      </w:r>
      <w:r w:rsidRPr="00AE1032">
        <w:rPr>
          <w:b/>
          <w:bCs/>
          <w:lang w:val="en-US"/>
        </w:rPr>
        <w:t xml:space="preserve">hen the channel is highly correlated, transparent TxD can be </w:t>
      </w:r>
      <w:r w:rsidR="00FA4FF1">
        <w:rPr>
          <w:b/>
          <w:bCs/>
          <w:lang w:val="en-US"/>
        </w:rPr>
        <w:t xml:space="preserve">multiple </w:t>
      </w:r>
      <w:r w:rsidRPr="00AE1032">
        <w:rPr>
          <w:b/>
          <w:bCs/>
          <w:lang w:val="en-US"/>
        </w:rPr>
        <w:t xml:space="preserve">dB worse </w:t>
      </w:r>
      <w:r w:rsidR="00FA4FF1">
        <w:rPr>
          <w:b/>
          <w:bCs/>
          <w:lang w:val="en-US"/>
        </w:rPr>
        <w:t xml:space="preserve">when an </w:t>
      </w:r>
      <w:r w:rsidRPr="00AE1032">
        <w:rPr>
          <w:b/>
          <w:bCs/>
          <w:lang w:val="en-US"/>
        </w:rPr>
        <w:t>inappropriate amount of CDD delay is used</w:t>
      </w:r>
      <w:r w:rsidR="00902661">
        <w:rPr>
          <w:b/>
          <w:bCs/>
          <w:lang w:val="en-US"/>
        </w:rPr>
        <w:t xml:space="preserve"> for PUSCH transmission</w:t>
      </w:r>
    </w:p>
    <w:p w14:paraId="5E63A6C0" w14:textId="0BF4FD3E" w:rsidR="00FA4FF1" w:rsidRDefault="00FA4FF1" w:rsidP="000B7680">
      <w:pPr>
        <w:pStyle w:val="ListBullet"/>
        <w:numPr>
          <w:ilvl w:val="0"/>
          <w:numId w:val="16"/>
        </w:numPr>
        <w:spacing w:after="0"/>
        <w:rPr>
          <w:b/>
          <w:bCs/>
          <w:lang w:val="en-US"/>
        </w:rPr>
      </w:pPr>
      <w:r>
        <w:rPr>
          <w:b/>
          <w:bCs/>
          <w:lang w:val="en-US"/>
        </w:rPr>
        <w:t>Transparent TxD is sensitive to proper choice of CDD delay even under conditions favorable to TxD</w:t>
      </w:r>
    </w:p>
    <w:p w14:paraId="7FED9076" w14:textId="411F6B48" w:rsidR="00FA4FF1" w:rsidRDefault="00FA4FF1" w:rsidP="00042C87">
      <w:pPr>
        <w:pStyle w:val="ListBullet"/>
        <w:numPr>
          <w:ilvl w:val="1"/>
          <w:numId w:val="16"/>
        </w:numPr>
        <w:spacing w:after="0"/>
        <w:rPr>
          <w:b/>
          <w:bCs/>
          <w:lang w:val="en-US"/>
        </w:rPr>
      </w:pPr>
      <w:r>
        <w:rPr>
          <w:b/>
          <w:bCs/>
          <w:lang w:val="en-US"/>
        </w:rPr>
        <w:t>Improper choice of CDD delay can result in roughly a dB loss for uncorrelated antennas</w:t>
      </w:r>
    </w:p>
    <w:p w14:paraId="39F0F7A0" w14:textId="30C3FA50" w:rsidR="000B7680" w:rsidRPr="00AE1032" w:rsidRDefault="000B7680" w:rsidP="000B7680">
      <w:pPr>
        <w:pStyle w:val="ListBullet"/>
        <w:numPr>
          <w:ilvl w:val="0"/>
          <w:numId w:val="16"/>
        </w:numPr>
        <w:spacing w:after="0"/>
        <w:rPr>
          <w:b/>
          <w:bCs/>
          <w:lang w:val="en-US"/>
        </w:rPr>
      </w:pPr>
      <w:r w:rsidRPr="00AE1032">
        <w:rPr>
          <w:b/>
          <w:bCs/>
          <w:lang w:val="en-US"/>
        </w:rPr>
        <w:lastRenderedPageBreak/>
        <w:t>Transparent TxD can provide notable gain over single antenna operation in conditions favorable to diversity</w:t>
      </w:r>
    </w:p>
    <w:p w14:paraId="6C588A77" w14:textId="77777777" w:rsidR="000B7680" w:rsidRPr="00AE1032" w:rsidRDefault="000B7680" w:rsidP="000B7680">
      <w:pPr>
        <w:pStyle w:val="ListBullet"/>
        <w:numPr>
          <w:ilvl w:val="1"/>
          <w:numId w:val="16"/>
        </w:numPr>
        <w:rPr>
          <w:b/>
          <w:bCs/>
          <w:lang w:val="en-US"/>
        </w:rPr>
      </w:pPr>
      <w:r w:rsidRPr="00AE1032">
        <w:rPr>
          <w:b/>
          <w:bCs/>
          <w:lang w:val="en-US"/>
        </w:rPr>
        <w:t>Gains of roughly 1 dB can be observed with appropriate CDD delay and when frequency hopping is used with uncorrelated antennas.</w:t>
      </w:r>
    </w:p>
    <w:p w14:paraId="1BC4F32A" w14:textId="77777777" w:rsidR="000B7680" w:rsidRDefault="000B7680" w:rsidP="000B7680">
      <w:pPr>
        <w:pStyle w:val="BodyText"/>
        <w:spacing w:after="0"/>
        <w:rPr>
          <w:lang w:val="en-US"/>
        </w:rPr>
      </w:pPr>
      <w:r>
        <w:rPr>
          <w:lang w:val="en-US"/>
        </w:rPr>
        <w:t>and therefore propose that</w:t>
      </w:r>
    </w:p>
    <w:p w14:paraId="6DB15684" w14:textId="77777777" w:rsidR="000B7680" w:rsidRDefault="000B7680" w:rsidP="000B7680">
      <w:pPr>
        <w:pStyle w:val="BodyText"/>
        <w:spacing w:after="0"/>
        <w:rPr>
          <w:lang w:val="en-US"/>
        </w:rPr>
      </w:pPr>
    </w:p>
    <w:p w14:paraId="4750F200" w14:textId="3F11A5B5" w:rsidR="000B7680" w:rsidRPr="002A69DC" w:rsidRDefault="000B7680" w:rsidP="000B7680">
      <w:pPr>
        <w:pStyle w:val="BodyText"/>
        <w:rPr>
          <w:b/>
          <w:bCs/>
          <w:lang w:val="en-US"/>
        </w:rPr>
      </w:pPr>
      <w:r w:rsidRPr="00F473E3">
        <w:rPr>
          <w:b/>
          <w:bCs/>
          <w:lang w:val="en-US"/>
        </w:rPr>
        <w:t>Propo</w:t>
      </w:r>
      <w:r w:rsidRPr="00F473E3">
        <w:rPr>
          <w:b/>
          <w:bCs/>
          <w:lang w:val="en-US"/>
        </w:rPr>
        <w:t>sa</w:t>
      </w:r>
      <w:r w:rsidRPr="00532939">
        <w:rPr>
          <w:b/>
          <w:bCs/>
          <w:lang w:val="en-US"/>
        </w:rPr>
        <w:t xml:space="preserve">l </w:t>
      </w:r>
      <w:r w:rsidR="008D12D8" w:rsidRPr="00532939">
        <w:rPr>
          <w:b/>
          <w:bCs/>
          <w:lang w:val="en-US"/>
        </w:rPr>
        <w:t>1</w:t>
      </w:r>
      <w:r w:rsidRPr="00532939">
        <w:rPr>
          <w:b/>
          <w:bCs/>
          <w:lang w:val="en-US"/>
        </w:rPr>
        <w:t>: further</w:t>
      </w:r>
      <w:r w:rsidRPr="00F473E3">
        <w:rPr>
          <w:b/>
          <w:bCs/>
          <w:lang w:val="en-US"/>
        </w:rPr>
        <w:t xml:space="preserve"> discuss the relevant antenna and channel models and their impact as part of, and prior to, concluding on conformance testing methodologies and reference receivers for TxD with conducted measurements.</w:t>
      </w:r>
      <w:r w:rsidRPr="004433E6">
        <w:rPr>
          <w:lang w:val="sv-SE"/>
        </w:rPr>
        <w:fldChar w:fldCharType="begin"/>
      </w:r>
      <w:r w:rsidRPr="000F2959">
        <w:rPr>
          <w:lang w:val="en-US"/>
        </w:rPr>
        <w:instrText xml:space="preserve"> QUOTE </w:instrText>
      </w:r>
      <w:r w:rsidRPr="000B7680">
        <w:rPr>
          <w:rFonts w:ascii="Cambria Math" w:eastAsia="Times New Roman" w:hAnsi="Cambria Math"/>
          <w:color w:val="000000"/>
          <w:kern w:val="24"/>
          <w:sz w:val="36"/>
          <w:szCs w:val="36"/>
          <w:lang w:eastAsia="sv-SE"/>
        </w:rPr>
        <w:instrText>EVMport=min</w:instrText>
      </w:r>
      <m:oMath>
        <m:r>
          <m:rPr>
            <m:sty m:val="p"/>
          </m:rPr>
          <w:rPr>
            <w:rFonts w:ascii="Cambria Math" w:eastAsia="Times New Roman" w:hAnsi="Cambria Math"/>
            <w:color w:val="000000"/>
            <w:kern w:val="24"/>
            <w:sz w:val="36"/>
            <w:szCs w:val="36"/>
            <w:lang w:eastAsia="sv-SE"/>
          </w:rPr>
          <m:t>EVM</m:t>
        </m:r>
      </m:oMath>
      <w:r w:rsidRPr="000B7680">
        <w:rPr>
          <w:rFonts w:ascii="Cambria Math" w:eastAsia="Times New Roman" w:hAnsi="Cambria Math"/>
          <w:color w:val="000000"/>
          <w:kern w:val="24"/>
          <w:sz w:val="36"/>
          <w:szCs w:val="36"/>
          <w:lang w:val="en-US" w:eastAsia="sv-SE"/>
        </w:rPr>
        <w:instrText>1</w:instrText>
      </w:r>
      <w:r w:rsidRPr="000B7680">
        <w:rPr>
          <w:rFonts w:ascii="Cambria Math" w:eastAsia="Times New Roman" w:hAnsi="Cambria Math"/>
          <w:color w:val="000000"/>
          <w:kern w:val="24"/>
          <w:sz w:val="36"/>
          <w:szCs w:val="36"/>
          <w:lang w:eastAsia="sv-SE"/>
        </w:rPr>
        <w:instrText>,EVM</w:instrText>
      </w:r>
      <w:r w:rsidRPr="000B7680">
        <w:rPr>
          <w:rFonts w:ascii="Cambria Math" w:eastAsia="Times New Roman" w:hAnsi="Cambria Math"/>
          <w:color w:val="000000"/>
          <w:kern w:val="24"/>
          <w:sz w:val="36"/>
          <w:szCs w:val="36"/>
          <w:lang w:val="en-US" w:eastAsia="sv-SE"/>
        </w:rPr>
        <w:instrText>2</w:instrText>
      </w:r>
      <w:r w:rsidRPr="000F2959">
        <w:rPr>
          <w:lang w:val="en-US"/>
        </w:rPr>
        <w:instrText xml:space="preserve"> </w:instrText>
      </w:r>
      <w:r w:rsidRPr="004433E6">
        <w:rPr>
          <w:lang w:val="sv-SE"/>
        </w:rPr>
        <w:fldChar w:fldCharType="end"/>
      </w:r>
    </w:p>
    <w:p w14:paraId="688171A6" w14:textId="77777777" w:rsidR="00F74C36" w:rsidRDefault="00F74C36" w:rsidP="00B909F1">
      <w:pPr>
        <w:pStyle w:val="BodyText"/>
        <w:rPr>
          <w:lang w:val="en-US"/>
        </w:rPr>
      </w:pPr>
    </w:p>
    <w:p w14:paraId="2AE7F9E5" w14:textId="77777777" w:rsidR="00B909F1" w:rsidRDefault="00463DDB" w:rsidP="00B909F1">
      <w:pPr>
        <w:pStyle w:val="Heading1"/>
        <w:rPr>
          <w:lang w:val="en-US"/>
        </w:rPr>
      </w:pPr>
      <w:r>
        <w:rPr>
          <w:lang w:val="en-US"/>
        </w:rPr>
        <w:t>Relation between the TxD capability and other multi-antenna features</w:t>
      </w:r>
    </w:p>
    <w:p w14:paraId="3FB51137" w14:textId="612D1129" w:rsidR="003F011B" w:rsidRPr="003F011B" w:rsidRDefault="00B521DA" w:rsidP="00C85C5C">
      <w:pPr>
        <w:spacing w:after="180"/>
        <w:jc w:val="both"/>
        <w:rPr>
          <w:rFonts w:ascii="Arial" w:hAnsi="Arial" w:cs="Arial"/>
          <w:bCs/>
          <w:lang w:eastAsia="zh-CN"/>
        </w:rPr>
      </w:pPr>
      <w:r>
        <w:rPr>
          <w:lang w:val="en-US"/>
        </w:rPr>
        <w:t xml:space="preserve">RAN2 </w:t>
      </w:r>
      <w:r w:rsidR="008D12D8">
        <w:rPr>
          <w:lang w:val="en-US"/>
        </w:rPr>
        <w:t xml:space="preserve">in its </w:t>
      </w:r>
      <w:r>
        <w:rPr>
          <w:lang w:val="en-US"/>
        </w:rPr>
        <w:t>reply LS</w:t>
      </w:r>
      <w:r w:rsidR="008D12D8">
        <w:rPr>
          <w:lang w:val="en-US"/>
        </w:rPr>
        <w:t xml:space="preserve"> asks RAN4 to confirm </w:t>
      </w:r>
      <w:r w:rsidR="00ED21D5">
        <w:rPr>
          <w:lang w:val="en-US"/>
        </w:rPr>
        <w:t>any dependence between the new TxD capability and other capabilities:</w:t>
      </w:r>
    </w:p>
    <w:p w14:paraId="323D0A9A" w14:textId="7A84476D" w:rsidR="00B521DA" w:rsidRPr="004561E0" w:rsidRDefault="00B521DA" w:rsidP="00B521DA">
      <w:pPr>
        <w:numPr>
          <w:ilvl w:val="0"/>
          <w:numId w:val="15"/>
        </w:numPr>
        <w:spacing w:after="180"/>
        <w:jc w:val="both"/>
        <w:rPr>
          <w:rFonts w:ascii="Arial" w:hAnsi="Arial" w:cs="Arial"/>
          <w:bCs/>
          <w:lang w:eastAsia="zh-CN"/>
        </w:rPr>
      </w:pPr>
      <w:r>
        <w:rPr>
          <w:rFonts w:ascii="Arial" w:hAnsi="Arial" w:cs="Arial"/>
          <w:bCs/>
          <w:lang w:eastAsia="zh-CN"/>
        </w:rPr>
        <w:t>RAN2 would also like to confirm whether this new capability has any dependencies with other capabilities that should be captured by RAN2 (since the capability is intended as release independent, RAN2 may need to capture such pre-requisites explicitly).</w:t>
      </w:r>
    </w:p>
    <w:p w14:paraId="4284314E" w14:textId="77777777" w:rsidR="00172E9E" w:rsidRDefault="00172E9E" w:rsidP="00172E9E">
      <w:pPr>
        <w:snapToGrid w:val="0"/>
        <w:jc w:val="both"/>
        <w:rPr>
          <w:lang w:val="en-US"/>
        </w:rPr>
      </w:pPr>
      <w:r>
        <w:rPr>
          <w:lang w:val="en-US"/>
        </w:rPr>
        <w:t xml:space="preserve">Transparent TxD capability could be interdependent with a number of other multi-antenna related capabilities.  A first set of capabilities that come to mind is uplink full power modes.  </w:t>
      </w:r>
    </w:p>
    <w:p w14:paraId="64644DF5" w14:textId="77777777" w:rsidR="00172E9E" w:rsidRDefault="00172E9E" w:rsidP="00172E9E">
      <w:pPr>
        <w:snapToGrid w:val="0"/>
        <w:jc w:val="both"/>
        <w:rPr>
          <w:lang w:val="en-US"/>
        </w:rPr>
      </w:pPr>
    </w:p>
    <w:p w14:paraId="770F9AEC" w14:textId="5523A7C1" w:rsidR="00172E9E" w:rsidRDefault="00172E9E" w:rsidP="00172E9E">
      <w:pPr>
        <w:snapToGrid w:val="0"/>
        <w:jc w:val="both"/>
        <w:rPr>
          <w:lang w:val="en-US" w:eastAsia="zh-CN"/>
        </w:rPr>
      </w:pPr>
      <w:r w:rsidRPr="00ED5401">
        <w:rPr>
          <w:lang w:val="en-US" w:eastAsia="zh-CN"/>
        </w:rPr>
        <w:t>UEs that support full</w:t>
      </w:r>
      <w:r>
        <w:rPr>
          <w:lang w:val="en-US" w:eastAsia="zh-CN"/>
        </w:rPr>
        <w:t>-</w:t>
      </w:r>
      <w:r w:rsidRPr="00ED5401">
        <w:rPr>
          <w:lang w:val="en-US" w:eastAsia="zh-CN"/>
        </w:rPr>
        <w:t xml:space="preserve">power </w:t>
      </w:r>
      <w:r>
        <w:rPr>
          <w:lang w:val="en-US" w:eastAsia="zh-CN"/>
        </w:rPr>
        <w:t xml:space="preserve">power operation </w:t>
      </w:r>
      <w:r w:rsidRPr="00ED5401">
        <w:rPr>
          <w:lang w:val="en-US" w:eastAsia="zh-CN"/>
        </w:rPr>
        <w:t xml:space="preserve">are likely to be able to support transparent TxD, and the converse is also possible. </w:t>
      </w:r>
      <w:r>
        <w:rPr>
          <w:lang w:val="en-US"/>
        </w:rPr>
        <w:t xml:space="preserve">For Mode 1 operation in a power class 3 UE depicted in Figure </w:t>
      </w:r>
      <w:r w:rsidR="00C85C5C">
        <w:rPr>
          <w:lang w:val="en-US"/>
        </w:rPr>
        <w:t>2</w:t>
      </w:r>
      <w:r>
        <w:rPr>
          <w:lang w:val="en-US"/>
        </w:rPr>
        <w:t xml:space="preserve">, full power is achieved by transmitting on either 2 layers (with TPMI = 0) or on a single layer by virtualization.  Mode 1 can virtualize DMRS ports in the same way as transparent TxD, although Mode 1 also uses multiple SRS ports that are not virtualized.  Similarly, full power Mode 2 can also achieve full power for single layer transmission using virtualization, but in this case the UE transmits a single SRS port that is virtualized in the same way as the DMRS.  Therefore, UEs that support virtualization in full power Mode 1 or 2 can have quite similar PA architectures as transparent TxD. </w:t>
      </w:r>
    </w:p>
    <w:p w14:paraId="2CB757A8" w14:textId="77777777" w:rsidR="00172E9E" w:rsidRDefault="00172E9E" w:rsidP="00172E9E">
      <w:pPr>
        <w:rPr>
          <w:lang w:val="en-US"/>
        </w:rPr>
      </w:pPr>
    </w:p>
    <w:p w14:paraId="10AA8EB1" w14:textId="570B0021" w:rsidR="00172E9E" w:rsidRDefault="000B7680" w:rsidP="00172E9E">
      <w:pPr>
        <w:jc w:val="center"/>
        <w:rPr>
          <w:lang w:val="en-US"/>
        </w:rPr>
      </w:pPr>
      <w:r>
        <w:rPr>
          <w:noProof/>
        </w:rPr>
        <w:drawing>
          <wp:inline distT="0" distB="0" distL="0" distR="0" wp14:anchorId="7A59DFEB" wp14:editId="07E33304">
            <wp:extent cx="4362450" cy="1962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3">
                      <a:extLst>
                        <a:ext uri="{28A0092B-C50C-407E-A947-70E740481C1C}">
                          <a14:useLocalDpi xmlns:a14="http://schemas.microsoft.com/office/drawing/2010/main" val="0"/>
                        </a:ext>
                      </a:extLst>
                    </a:blip>
                    <a:stretch>
                      <a:fillRect/>
                    </a:stretch>
                  </pic:blipFill>
                  <pic:spPr>
                    <a:xfrm>
                      <a:off x="0" y="0"/>
                      <a:ext cx="4362450" cy="1962150"/>
                    </a:xfrm>
                    <a:prstGeom prst="rect">
                      <a:avLst/>
                    </a:prstGeom>
                  </pic:spPr>
                </pic:pic>
              </a:graphicData>
            </a:graphic>
          </wp:inline>
        </w:drawing>
      </w:r>
    </w:p>
    <w:p w14:paraId="7A30DACA" w14:textId="77777777" w:rsidR="00172E9E" w:rsidRDefault="00172E9E" w:rsidP="00172E9E">
      <w:pPr>
        <w:jc w:val="center"/>
        <w:rPr>
          <w:lang w:val="en-US"/>
        </w:rPr>
      </w:pPr>
    </w:p>
    <w:p w14:paraId="3F4663F4" w14:textId="77777777" w:rsidR="00172E9E" w:rsidRDefault="00172E9E" w:rsidP="00172E9E">
      <w:pPr>
        <w:jc w:val="center"/>
        <w:rPr>
          <w:rFonts w:eastAsia="Times New Roman"/>
          <w:lang w:val="en-US"/>
        </w:rPr>
      </w:pPr>
    </w:p>
    <w:p w14:paraId="0A756920" w14:textId="1C7976FD" w:rsidR="00172E9E" w:rsidRDefault="00172E9E" w:rsidP="00172E9E">
      <w:pPr>
        <w:jc w:val="center"/>
        <w:rPr>
          <w:rFonts w:eastAsia="Times New Roman"/>
          <w:lang w:val="en-US"/>
        </w:rPr>
      </w:pPr>
      <w:r>
        <w:rPr>
          <w:rFonts w:eastAsia="Times New Roman"/>
          <w:lang w:val="en-US"/>
        </w:rPr>
        <w:t xml:space="preserve">Figure </w:t>
      </w:r>
      <w:r w:rsidR="00C85C5C">
        <w:rPr>
          <w:rFonts w:eastAsia="Times New Roman"/>
          <w:lang w:val="en-US"/>
        </w:rPr>
        <w:t>2</w:t>
      </w:r>
      <w:r>
        <w:rPr>
          <w:rFonts w:eastAsia="Times New Roman"/>
          <w:lang w:val="en-US"/>
        </w:rPr>
        <w:t>: FP Mode 1 operation</w:t>
      </w:r>
    </w:p>
    <w:p w14:paraId="554EB02A" w14:textId="77777777" w:rsidR="00172E9E" w:rsidRDefault="00172E9E" w:rsidP="00172E9E">
      <w:pPr>
        <w:rPr>
          <w:lang w:val="en-US"/>
        </w:rPr>
      </w:pPr>
    </w:p>
    <w:p w14:paraId="46C9164C" w14:textId="77777777" w:rsidR="00172E9E" w:rsidRDefault="00172E9E" w:rsidP="00172E9E">
      <w:pPr>
        <w:rPr>
          <w:lang w:val="en-US"/>
        </w:rPr>
      </w:pPr>
    </w:p>
    <w:p w14:paraId="14F63056" w14:textId="77777777" w:rsidR="00172E9E" w:rsidRDefault="00172E9E" w:rsidP="00172E9E">
      <w:pPr>
        <w:rPr>
          <w:lang w:val="en-US"/>
        </w:rPr>
      </w:pPr>
      <w:r>
        <w:rPr>
          <w:lang w:val="en-US"/>
        </w:rPr>
        <w:t xml:space="preserve">If a UE supports both transparent TxD and full power MIMO, it should be clear how the will UE behave when the UE is configured for full power MIMO.  If the requirements and/or tests differ between full power UL MIMO and transparent TxD, then the behavior of the UE can be different.  Since transparent TxD is not configurable, then the network would not know whether to expect the behavior from transparent TxD or from full power MIMO.  </w:t>
      </w:r>
    </w:p>
    <w:p w14:paraId="43A90D03" w14:textId="77777777" w:rsidR="00B73910" w:rsidRDefault="00B73910" w:rsidP="00172E9E">
      <w:pPr>
        <w:rPr>
          <w:lang w:val="en-US"/>
        </w:rPr>
      </w:pPr>
    </w:p>
    <w:p w14:paraId="476507A7" w14:textId="4FE54D97" w:rsidR="00172E9E" w:rsidRPr="00194FA2" w:rsidRDefault="00172E9E" w:rsidP="00172E9E">
      <w:pPr>
        <w:rPr>
          <w:lang w:val="en-US"/>
        </w:rPr>
      </w:pPr>
      <w:r w:rsidRPr="00194FA2">
        <w:rPr>
          <w:lang w:val="en-US"/>
        </w:rPr>
        <w:t>Given the configurability and explicitly specified behavior of full power modes, supporting both full power operation and transparent TxD in a band appe</w:t>
      </w:r>
      <w:r w:rsidR="00612FB4" w:rsidRPr="00194FA2">
        <w:rPr>
          <w:lang w:val="en-US"/>
        </w:rPr>
        <w:t>a</w:t>
      </w:r>
      <w:r w:rsidRPr="00194FA2">
        <w:rPr>
          <w:lang w:val="en-US"/>
        </w:rPr>
        <w:t>rs redundant.</w:t>
      </w:r>
    </w:p>
    <w:p w14:paraId="09E36A29" w14:textId="77777777" w:rsidR="00172E9E" w:rsidRPr="00194FA2" w:rsidRDefault="00172E9E" w:rsidP="00172E9E">
      <w:pPr>
        <w:rPr>
          <w:rFonts w:eastAsia="Times New Roman"/>
          <w:lang w:val="en-US"/>
        </w:rPr>
      </w:pPr>
    </w:p>
    <w:p w14:paraId="746C6E39" w14:textId="50E0669B" w:rsidR="00172E9E" w:rsidRPr="00194FA2" w:rsidRDefault="00172E9E" w:rsidP="00172E9E">
      <w:pPr>
        <w:pStyle w:val="BodyText"/>
        <w:rPr>
          <w:b/>
          <w:bCs/>
          <w:lang w:val="en-US"/>
        </w:rPr>
      </w:pPr>
      <w:r w:rsidRPr="00194FA2">
        <w:rPr>
          <w:b/>
          <w:bCs/>
          <w:lang w:val="en-US"/>
        </w:rPr>
        <w:t xml:space="preserve">Observation </w:t>
      </w:r>
      <w:r w:rsidR="008D12D8" w:rsidRPr="00194FA2">
        <w:rPr>
          <w:b/>
          <w:bCs/>
          <w:lang w:val="en-US"/>
        </w:rPr>
        <w:t>2</w:t>
      </w:r>
      <w:r w:rsidRPr="00194FA2">
        <w:rPr>
          <w:b/>
          <w:bCs/>
          <w:lang w:val="en-US"/>
        </w:rPr>
        <w:t xml:space="preserve">: Given the support for a wide variety of PA architectures, full configurability, and specified behavior of full-power UL MIMO, additional support for a transparent TxD capability is redundant and may lead to potential behavior ambiguity where UEs support full power operation.  </w:t>
      </w:r>
    </w:p>
    <w:p w14:paraId="7ECD7DE9" w14:textId="77777777" w:rsidR="00172E9E" w:rsidRPr="00194FA2" w:rsidRDefault="00172E9E" w:rsidP="00172E9E">
      <w:pPr>
        <w:pStyle w:val="BodyText"/>
        <w:rPr>
          <w:lang w:val="en-US"/>
        </w:rPr>
      </w:pPr>
      <w:r w:rsidRPr="00194FA2">
        <w:rPr>
          <w:lang w:val="en-US"/>
        </w:rPr>
        <w:t>the consequence of which is that</w:t>
      </w:r>
    </w:p>
    <w:p w14:paraId="2C644191" w14:textId="5FE55C40" w:rsidR="00172E9E" w:rsidRPr="00194FA2" w:rsidRDefault="00172E9E" w:rsidP="00172E9E">
      <w:pPr>
        <w:pStyle w:val="BodyText"/>
        <w:rPr>
          <w:b/>
          <w:bCs/>
          <w:lang w:val="en-US"/>
        </w:rPr>
      </w:pPr>
      <w:r w:rsidRPr="00194FA2">
        <w:rPr>
          <w:b/>
          <w:bCs/>
          <w:lang w:val="en-US"/>
        </w:rPr>
        <w:lastRenderedPageBreak/>
        <w:t xml:space="preserve">Proposal </w:t>
      </w:r>
      <w:r w:rsidR="008D12D8" w:rsidRPr="00194FA2">
        <w:rPr>
          <w:b/>
          <w:bCs/>
          <w:lang w:val="en-US"/>
        </w:rPr>
        <w:t>2</w:t>
      </w:r>
      <w:r w:rsidRPr="00194FA2">
        <w:rPr>
          <w:b/>
          <w:bCs/>
          <w:lang w:val="en-US"/>
        </w:rPr>
        <w:t>: UEs can support only one of full power capability and transparent TxD capability in a given band.</w:t>
      </w:r>
    </w:p>
    <w:p w14:paraId="1D341D23" w14:textId="4BCD1AC0" w:rsidR="00812AFF" w:rsidRPr="00E33FF8" w:rsidRDefault="00D15C03" w:rsidP="00172E9E">
      <w:pPr>
        <w:pStyle w:val="BodyText"/>
        <w:rPr>
          <w:b/>
          <w:bCs/>
          <w:lang w:val="en-US"/>
        </w:rPr>
      </w:pPr>
      <w:r w:rsidRPr="00194FA2">
        <w:rPr>
          <w:lang w:val="en-US"/>
        </w:rPr>
        <w:t xml:space="preserve">We remark that </w:t>
      </w:r>
      <w:r w:rsidR="009610F0" w:rsidRPr="00194FA2">
        <w:rPr>
          <w:lang w:val="en-US"/>
        </w:rPr>
        <w:t>the Rel-15 behaviour applies if a full-power mode is not configured by the gNB. Then the UE has to meet Rel-15 behaviour.</w:t>
      </w:r>
    </w:p>
    <w:p w14:paraId="734E89CC" w14:textId="77777777" w:rsidR="00172E9E" w:rsidRDefault="00172E9E" w:rsidP="00172E9E">
      <w:pPr>
        <w:snapToGrid w:val="0"/>
        <w:jc w:val="both"/>
        <w:rPr>
          <w:lang w:eastAsia="zh-CN"/>
        </w:rPr>
      </w:pPr>
    </w:p>
    <w:p w14:paraId="27095F42" w14:textId="77777777" w:rsidR="00172E9E" w:rsidRPr="003D0690" w:rsidRDefault="00172E9E" w:rsidP="00172E9E">
      <w:pPr>
        <w:snapToGrid w:val="0"/>
        <w:jc w:val="both"/>
        <w:rPr>
          <w:lang w:eastAsia="zh-CN"/>
        </w:rPr>
      </w:pPr>
      <w:r>
        <w:rPr>
          <w:lang w:eastAsia="zh-CN"/>
        </w:rPr>
        <w:t xml:space="preserve">UEs with multiple uplink antennas may also support transmission of SRS for DL CSI acquisition (SRS ‘antenna switching’).  If a UE that supports SRS antenna switching and transparent TxD is configured for e.g. 1T2R antenna switching, it should not virtualize the SRS, but instead transmit on each 'receive’ chain.  If a transparent TxD UE supports full power on both Tx chains, it will not need to virtualize to reach full power.  Furthermore, if the UE has one full power PA that switches between two ‘receive’ antennas during SRS switching, it again could transmit at full power. However, if the UE has half power Tx chains, it may not be able to deliver full power, and so could not support SRS antenna switching in a band where transparent TxD is supported.  Therefore, especially since PA power for transparent TxD is left to UE implementation, it is not clear if </w:t>
      </w:r>
      <w:r w:rsidRPr="003D0690">
        <w:rPr>
          <w:lang w:eastAsia="zh-CN"/>
        </w:rPr>
        <w:t>indicating that transparent TxD in a band precludes support for SRS antenna switching in that band or not.</w:t>
      </w:r>
    </w:p>
    <w:p w14:paraId="2D981C1A" w14:textId="77777777" w:rsidR="00172E9E" w:rsidRPr="003D0690" w:rsidRDefault="00172E9E" w:rsidP="00172E9E">
      <w:pPr>
        <w:snapToGrid w:val="0"/>
        <w:jc w:val="both"/>
        <w:rPr>
          <w:lang w:eastAsia="zh-CN"/>
        </w:rPr>
      </w:pPr>
    </w:p>
    <w:p w14:paraId="3F7AE2F8" w14:textId="61DF18EA" w:rsidR="00172E9E" w:rsidRPr="003D0690" w:rsidRDefault="00812AFF" w:rsidP="00172E9E">
      <w:pPr>
        <w:pStyle w:val="BodyText"/>
        <w:rPr>
          <w:b/>
          <w:bCs/>
          <w:lang w:val="en-US"/>
        </w:rPr>
      </w:pPr>
      <w:r w:rsidRPr="003D0690">
        <w:rPr>
          <w:b/>
          <w:bCs/>
          <w:lang w:val="en-US"/>
        </w:rPr>
        <w:t>Observation</w:t>
      </w:r>
      <w:r w:rsidR="00172E9E" w:rsidRPr="003D0690">
        <w:rPr>
          <w:b/>
          <w:bCs/>
          <w:lang w:val="en-US"/>
        </w:rPr>
        <w:t xml:space="preserve"> </w:t>
      </w:r>
      <w:r w:rsidR="00E418AF" w:rsidRPr="003D0690">
        <w:rPr>
          <w:b/>
          <w:bCs/>
          <w:lang w:val="en-US"/>
        </w:rPr>
        <w:t>3</w:t>
      </w:r>
      <w:r w:rsidR="00172E9E" w:rsidRPr="003D0690">
        <w:rPr>
          <w:b/>
          <w:bCs/>
          <w:lang w:val="en-US"/>
        </w:rPr>
        <w:t xml:space="preserve">: </w:t>
      </w:r>
      <w:r w:rsidR="004A5747" w:rsidRPr="003D0690">
        <w:rPr>
          <w:b/>
          <w:bCs/>
          <w:lang w:val="en-US"/>
        </w:rPr>
        <w:t xml:space="preserve">A </w:t>
      </w:r>
      <w:r w:rsidR="00172E9E" w:rsidRPr="003D0690">
        <w:rPr>
          <w:b/>
          <w:bCs/>
          <w:lang w:val="en-US"/>
        </w:rPr>
        <w:t xml:space="preserve">UE that supports </w:t>
      </w:r>
      <w:r w:rsidR="004A5747" w:rsidRPr="003D0690">
        <w:rPr>
          <w:b/>
          <w:bCs/>
          <w:lang w:val="en-US"/>
        </w:rPr>
        <w:t xml:space="preserve">1T2R </w:t>
      </w:r>
      <w:r w:rsidR="00172E9E" w:rsidRPr="003D0690">
        <w:rPr>
          <w:b/>
          <w:bCs/>
          <w:lang w:val="en-US"/>
        </w:rPr>
        <w:t xml:space="preserve">antenna switching SRS </w:t>
      </w:r>
      <w:r w:rsidR="009D544A" w:rsidRPr="003D0690">
        <w:rPr>
          <w:b/>
          <w:bCs/>
          <w:lang w:val="en-US"/>
        </w:rPr>
        <w:t>should have at least one full power PA, which is inco</w:t>
      </w:r>
      <w:r w:rsidRPr="003D0690">
        <w:rPr>
          <w:b/>
          <w:bCs/>
          <w:lang w:val="en-US"/>
        </w:rPr>
        <w:t>nsistent</w:t>
      </w:r>
      <w:r w:rsidR="009D544A" w:rsidRPr="003D0690">
        <w:rPr>
          <w:b/>
          <w:bCs/>
          <w:lang w:val="en-US"/>
        </w:rPr>
        <w:t xml:space="preserve"> with the half power assumption driving the transparent TxD design.</w:t>
      </w:r>
    </w:p>
    <w:p w14:paraId="68620F8B" w14:textId="77777777" w:rsidR="0047561C" w:rsidRPr="003D0690" w:rsidRDefault="0047561C" w:rsidP="0047561C">
      <w:pPr>
        <w:pStyle w:val="BodyText"/>
        <w:rPr>
          <w:lang w:val="en-US"/>
        </w:rPr>
      </w:pPr>
      <w:r w:rsidRPr="003D0690">
        <w:rPr>
          <w:lang w:val="en-US"/>
        </w:rPr>
        <w:t xml:space="preserve">UEs with non-codebook based precoding virtualize transmit chains such that each SRS port corresponds to a layer that may be transmitted by the UE.  Therefore, if a UE is configured for two SRS ports in non-codebook based operation, it should transmit SRS such that either or both of the ports can be transmitted (according to SRI indicated to the UE).  Furthermore, UEs are required to transmit full power when one SRS port is indicated.   This means that when the UE transmits PUSCH on one port, it should transmit at full power such that the effective channel is the same for that port as when two ports are transmitted.  If the UE transmits one antenna port per Tx chain (as is needed to avoid higher PAPR), then this UE must have full power on each Tx chain.  </w:t>
      </w:r>
    </w:p>
    <w:p w14:paraId="14FB4454" w14:textId="46CBBD39" w:rsidR="0047561C" w:rsidRDefault="0047561C" w:rsidP="0047561C">
      <w:pPr>
        <w:pStyle w:val="BodyText"/>
        <w:rPr>
          <w:lang w:val="en-US"/>
        </w:rPr>
      </w:pPr>
      <w:r w:rsidRPr="003D0690">
        <w:rPr>
          <w:b/>
          <w:bCs/>
          <w:lang w:val="en-US"/>
        </w:rPr>
        <w:t xml:space="preserve">Observation </w:t>
      </w:r>
      <w:r w:rsidR="00E418AF" w:rsidRPr="003D0690">
        <w:rPr>
          <w:b/>
          <w:bCs/>
          <w:lang w:val="en-US"/>
        </w:rPr>
        <w:t>4</w:t>
      </w:r>
      <w:r w:rsidRPr="003D0690">
        <w:rPr>
          <w:b/>
          <w:bCs/>
          <w:lang w:val="en-US"/>
        </w:rPr>
        <w:t>: Non-codebook based UEs required full power PAs per Tx chain for power efficient operation, which is incompatible with the half power assumption driving the transparent TxD design.</w:t>
      </w:r>
    </w:p>
    <w:p w14:paraId="06791586" w14:textId="77777777" w:rsidR="0047561C" w:rsidRDefault="0047561C" w:rsidP="00172E9E">
      <w:pPr>
        <w:pStyle w:val="BodyText"/>
        <w:rPr>
          <w:lang w:val="en-US"/>
        </w:rPr>
      </w:pPr>
    </w:p>
    <w:p w14:paraId="6E3B6256" w14:textId="77777777" w:rsidR="00172E9E" w:rsidRDefault="00172E9E" w:rsidP="00172E9E">
      <w:pPr>
        <w:pStyle w:val="BodyText"/>
        <w:rPr>
          <w:lang w:val="en-US"/>
        </w:rPr>
      </w:pPr>
      <w:r>
        <w:rPr>
          <w:lang w:val="en-US"/>
        </w:rPr>
        <w:t xml:space="preserve">Other UL multi-antenna features may have </w:t>
      </w:r>
      <w:r w:rsidR="00E72B85">
        <w:rPr>
          <w:lang w:val="en-US"/>
        </w:rPr>
        <w:t xml:space="preserve">interrelationships </w:t>
      </w:r>
      <w:r>
        <w:rPr>
          <w:lang w:val="en-US"/>
        </w:rPr>
        <w:t xml:space="preserve">with transparent TxD.  </w:t>
      </w:r>
      <w:r w:rsidR="00E72B85">
        <w:rPr>
          <w:lang w:val="en-US"/>
        </w:rPr>
        <w:t>For example, UL full power Mode 2 can indicate full power transmission on one antenna port, which is again incompatible with a transparent TxD UE with half power PAs.</w:t>
      </w:r>
    </w:p>
    <w:p w14:paraId="773860F8" w14:textId="77777777" w:rsidR="00E72B85" w:rsidRPr="003D0690" w:rsidRDefault="00E72B85" w:rsidP="00172E9E">
      <w:pPr>
        <w:pStyle w:val="BodyText"/>
        <w:rPr>
          <w:lang w:val="en-US"/>
        </w:rPr>
      </w:pPr>
      <w:r>
        <w:rPr>
          <w:lang w:val="en-US"/>
        </w:rPr>
        <w:t xml:space="preserve">Moreover, presuming that UE capability signaling is independent between TxD and related capabilities, it is possible </w:t>
      </w:r>
      <w:r w:rsidR="006841C9">
        <w:rPr>
          <w:lang w:val="en-US"/>
        </w:rPr>
        <w:t xml:space="preserve">for the UE to indicate consistent capability by implementation. If the UE indicates both TxD and a given capability, then if that capability is configured, the UE will operate according to the configuration.  </w:t>
      </w:r>
      <w:r w:rsidR="00FD7C9F">
        <w:rPr>
          <w:lang w:val="en-US"/>
        </w:rPr>
        <w:t xml:space="preserve"> Since there is no configuration signaling for transparent TxD, the UE behavior </w:t>
      </w:r>
      <w:r w:rsidR="00823872">
        <w:rPr>
          <w:lang w:val="en-US"/>
        </w:rPr>
        <w:t xml:space="preserve">and link performance </w:t>
      </w:r>
      <w:r w:rsidR="00FD7C9F">
        <w:rPr>
          <w:lang w:val="en-US"/>
        </w:rPr>
        <w:t xml:space="preserve">should be completely unaffected by the transparent TxD capability.  If, on the other hand, </w:t>
      </w:r>
      <w:r w:rsidR="00BC5E30">
        <w:rPr>
          <w:lang w:val="en-US"/>
        </w:rPr>
        <w:t xml:space="preserve">a TxD capable UE behaves differently than a non-TxD capable UE when configured with </w:t>
      </w:r>
      <w:r w:rsidR="00BC5E30" w:rsidRPr="003D0690">
        <w:rPr>
          <w:lang w:val="en-US"/>
        </w:rPr>
        <w:t xml:space="preserve">another feature, then </w:t>
      </w:r>
      <w:r w:rsidR="00823872" w:rsidRPr="003D0690">
        <w:rPr>
          <w:lang w:val="en-US"/>
        </w:rPr>
        <w:t>the combination of features should be precluded by UE capability.</w:t>
      </w:r>
    </w:p>
    <w:p w14:paraId="48ED014E" w14:textId="461D6CBF" w:rsidR="00172E9E" w:rsidRPr="003D0690" w:rsidRDefault="00172E9E" w:rsidP="00172E9E">
      <w:pPr>
        <w:pStyle w:val="BodyText"/>
        <w:rPr>
          <w:b/>
          <w:bCs/>
          <w:lang w:val="en-US"/>
        </w:rPr>
      </w:pPr>
      <w:r w:rsidRPr="003D0690">
        <w:rPr>
          <w:b/>
          <w:bCs/>
          <w:lang w:val="en-US"/>
        </w:rPr>
        <w:t xml:space="preserve">Proposal </w:t>
      </w:r>
      <w:r w:rsidR="004925DC" w:rsidRPr="003D0690">
        <w:rPr>
          <w:b/>
          <w:bCs/>
          <w:lang w:val="en-US"/>
        </w:rPr>
        <w:t>3</w:t>
      </w:r>
      <w:r w:rsidRPr="003D0690">
        <w:rPr>
          <w:b/>
          <w:bCs/>
          <w:lang w:val="en-US"/>
        </w:rPr>
        <w:t xml:space="preserve">: </w:t>
      </w:r>
      <w:r w:rsidR="00823872" w:rsidRPr="003D0690">
        <w:rPr>
          <w:b/>
          <w:bCs/>
          <w:lang w:val="en-US"/>
        </w:rPr>
        <w:t>Except for full power UL MIMO, a TxD capable UE can indicate support for a feature only if UE behavior and performance for the feature is unaffected by TxD capability</w:t>
      </w:r>
      <w:r w:rsidR="00ED0DD0" w:rsidRPr="003D0690">
        <w:rPr>
          <w:b/>
          <w:bCs/>
          <w:lang w:val="en-US"/>
        </w:rPr>
        <w:t xml:space="preserve">; otherwise the combination </w:t>
      </w:r>
      <w:r w:rsidR="00024981" w:rsidRPr="003D0690">
        <w:rPr>
          <w:b/>
          <w:bCs/>
          <w:lang w:val="en-US"/>
        </w:rPr>
        <w:t xml:space="preserve">is </w:t>
      </w:r>
      <w:r w:rsidR="00ED0DD0" w:rsidRPr="003D0690">
        <w:rPr>
          <w:b/>
          <w:bCs/>
          <w:lang w:val="en-US"/>
        </w:rPr>
        <w:t>precluded by specification.</w:t>
      </w:r>
    </w:p>
    <w:p w14:paraId="61FEA0A4" w14:textId="71E1B60C" w:rsidR="00172E9E" w:rsidRPr="005B6B2B" w:rsidRDefault="00DA25FF" w:rsidP="00463DDB">
      <w:pPr>
        <w:pStyle w:val="BodyText"/>
        <w:rPr>
          <w:b/>
          <w:bCs/>
          <w:lang w:val="en-US"/>
        </w:rPr>
      </w:pPr>
      <w:r w:rsidRPr="003D0690">
        <w:rPr>
          <w:b/>
          <w:bCs/>
          <w:lang w:val="en-US"/>
        </w:rPr>
        <w:t xml:space="preserve">Proposal </w:t>
      </w:r>
      <w:r w:rsidR="004925DC" w:rsidRPr="003D0690">
        <w:rPr>
          <w:b/>
          <w:bCs/>
          <w:lang w:val="en-US"/>
        </w:rPr>
        <w:t>4</w:t>
      </w:r>
      <w:r w:rsidRPr="003D0690">
        <w:rPr>
          <w:b/>
          <w:bCs/>
          <w:lang w:val="en-US"/>
        </w:rPr>
        <w:t>: RAN4 to confirm which multi-antenna features have UE behavior and performance that is unaffected by TxD capability</w:t>
      </w:r>
      <w:r w:rsidR="005B6B2B" w:rsidRPr="003D0690">
        <w:rPr>
          <w:b/>
          <w:bCs/>
          <w:lang w:val="en-US"/>
        </w:rPr>
        <w:t>.</w:t>
      </w:r>
    </w:p>
    <w:p w14:paraId="0065A6AC" w14:textId="40E46843" w:rsidR="00463DDB" w:rsidRPr="00463DDB" w:rsidRDefault="00E32439" w:rsidP="00463DDB">
      <w:pPr>
        <w:pStyle w:val="Heading1"/>
        <w:rPr>
          <w:lang w:val="en-US"/>
        </w:rPr>
      </w:pPr>
      <w:r>
        <w:rPr>
          <w:lang w:val="en-US"/>
        </w:rPr>
        <w:t>S</w:t>
      </w:r>
      <w:r w:rsidR="00463DDB" w:rsidRPr="00463DDB">
        <w:rPr>
          <w:lang w:val="en-US"/>
        </w:rPr>
        <w:t>ingle-port tr</w:t>
      </w:r>
      <w:r w:rsidR="00463DDB">
        <w:rPr>
          <w:lang w:val="en-US"/>
        </w:rPr>
        <w:t>ansmission with FP</w:t>
      </w:r>
      <w:r w:rsidR="001048B1">
        <w:rPr>
          <w:lang w:val="en-US"/>
        </w:rPr>
        <w:t xml:space="preserve"> modes and co</w:t>
      </w:r>
      <w:r w:rsidR="00230166">
        <w:rPr>
          <w:lang w:val="en-US"/>
        </w:rPr>
        <w:t>mpliance with 38.101-1</w:t>
      </w:r>
    </w:p>
    <w:p w14:paraId="56B7C7F6" w14:textId="3911911A" w:rsidR="001F2C62" w:rsidRDefault="00EF68E6" w:rsidP="00F139F2">
      <w:pPr>
        <w:rPr>
          <w:rFonts w:eastAsia="Times New Roman"/>
          <w:lang w:val="en-US" w:eastAsia="ja-JP"/>
        </w:rPr>
      </w:pPr>
      <w:r>
        <w:rPr>
          <w:rFonts w:eastAsia="Times New Roman"/>
          <w:lang w:val="en-US" w:eastAsia="ja-JP"/>
        </w:rPr>
        <w:t xml:space="preserve">Passing the conformance test for MOP in 38.101-1 is not only </w:t>
      </w:r>
      <w:r w:rsidR="00924FB4">
        <w:rPr>
          <w:rFonts w:eastAsia="Times New Roman"/>
          <w:lang w:val="en-US" w:eastAsia="ja-JP"/>
        </w:rPr>
        <w:t xml:space="preserve">an issue for TxD capable UEs, it </w:t>
      </w:r>
      <w:r w:rsidR="0097071B">
        <w:rPr>
          <w:rFonts w:eastAsia="Times New Roman"/>
          <w:lang w:val="en-US" w:eastAsia="ja-JP"/>
        </w:rPr>
        <w:t>may</w:t>
      </w:r>
      <w:r w:rsidR="00924FB4">
        <w:rPr>
          <w:rFonts w:eastAsia="Times New Roman"/>
          <w:lang w:val="en-US" w:eastAsia="ja-JP"/>
        </w:rPr>
        <w:t xml:space="preserve"> also </w:t>
      </w:r>
      <w:r w:rsidR="0097071B">
        <w:rPr>
          <w:rFonts w:eastAsia="Times New Roman"/>
          <w:lang w:val="en-US" w:eastAsia="ja-JP"/>
        </w:rPr>
        <w:t xml:space="preserve">be an issue </w:t>
      </w:r>
      <w:r w:rsidR="00924FB4">
        <w:rPr>
          <w:rFonts w:eastAsia="Times New Roman"/>
          <w:lang w:val="en-US" w:eastAsia="ja-JP"/>
        </w:rPr>
        <w:t>for some configurations of</w:t>
      </w:r>
      <w:r w:rsidR="00F36E34">
        <w:rPr>
          <w:rFonts w:eastAsia="Times New Roman"/>
          <w:lang w:val="en-US" w:eastAsia="ja-JP"/>
        </w:rPr>
        <w:t xml:space="preserve"> full-power UL-MIMO capable UEs</w:t>
      </w:r>
      <w:r w:rsidR="00BA2983">
        <w:rPr>
          <w:rFonts w:eastAsia="Times New Roman"/>
          <w:lang w:val="en-US" w:eastAsia="ja-JP"/>
        </w:rPr>
        <w:t>. I</w:t>
      </w:r>
      <w:r w:rsidR="00F36E34">
        <w:rPr>
          <w:rFonts w:eastAsia="Times New Roman"/>
          <w:lang w:val="en-US" w:eastAsia="ja-JP"/>
        </w:rPr>
        <w:t>n fall-ba</w:t>
      </w:r>
      <w:r w:rsidR="00EB0F3B">
        <w:rPr>
          <w:rFonts w:eastAsia="Times New Roman"/>
          <w:lang w:val="en-US" w:eastAsia="ja-JP"/>
        </w:rPr>
        <w:t>ck the following applies:</w:t>
      </w:r>
    </w:p>
    <w:p w14:paraId="194B3969" w14:textId="77777777" w:rsidR="00552888" w:rsidRDefault="00552888" w:rsidP="00F139F2">
      <w:pPr>
        <w:rPr>
          <w:rFonts w:eastAsia="Times New Roman"/>
          <w:lang w:val="en-US" w:eastAsia="ja-JP"/>
        </w:rPr>
      </w:pPr>
    </w:p>
    <w:p w14:paraId="75E63A92" w14:textId="7934E7DB" w:rsidR="00552888" w:rsidRDefault="00552888" w:rsidP="00EB0F3B">
      <w:pPr>
        <w:ind w:left="720"/>
      </w:pPr>
      <w:r>
        <w:t xml:space="preserve">If UE is scheduled for single antenna-port PUSCH transmission by DCI format 0_0 or by DCI format 0_1 for single antenna port codebook based transmission, the requirements in clause 6.2.1 apply </w:t>
      </w:r>
      <w:r w:rsidRPr="00ED2BF2">
        <w:t xml:space="preserve">for the power class </w:t>
      </w:r>
      <w:r>
        <w:t>as</w:t>
      </w:r>
      <w:r w:rsidRPr="00ED2BF2">
        <w:t xml:space="preserve"> indicated by the </w:t>
      </w:r>
      <w:r w:rsidRPr="00ED2BF2">
        <w:rPr>
          <w:i/>
        </w:rPr>
        <w:t>ue-PowerClass</w:t>
      </w:r>
      <w:r w:rsidRPr="00ED2BF2">
        <w:t xml:space="preserve"> field </w:t>
      </w:r>
      <w:r>
        <w:t>in capability signalling.</w:t>
      </w:r>
    </w:p>
    <w:p w14:paraId="7DAFB51D" w14:textId="58C423C7" w:rsidR="00CF32D0" w:rsidRDefault="00CF32D0" w:rsidP="00552888"/>
    <w:p w14:paraId="4A9D68A9" w14:textId="77777777" w:rsidR="00CF32D0" w:rsidRDefault="00CF32D0" w:rsidP="00CF32D0">
      <w:pPr>
        <w:rPr>
          <w:lang w:val="en-US"/>
        </w:rPr>
      </w:pPr>
      <w:r>
        <w:rPr>
          <w:lang w:val="en-US"/>
        </w:rPr>
        <w:t xml:space="preserve">When any MIMO UE is not configured with </w:t>
      </w:r>
      <w:r w:rsidRPr="003768FD">
        <w:rPr>
          <w:rFonts w:eastAsia="Times New Roman"/>
          <w:i/>
          <w:iCs/>
          <w:lang w:val="x-none"/>
        </w:rPr>
        <w:t>ul-FullPowerTransmission-r16</w:t>
      </w:r>
      <w:r>
        <w:rPr>
          <w:rFonts w:eastAsia="Times New Roman"/>
          <w:lang w:val="en-US"/>
        </w:rPr>
        <w:t xml:space="preserve"> or in fallback</w:t>
      </w:r>
      <w:r>
        <w:t xml:space="preserve"> (single antenna-port PUSCH transmission by DCI format 0_0 or by DCI format 0_1 for single antenna port codebook based transmission), the requirements in clause 6.2.1 apply </w:t>
      </w:r>
      <w:r w:rsidRPr="00ED2BF2">
        <w:t xml:space="preserve">for the power class </w:t>
      </w:r>
      <w:r>
        <w:t>as</w:t>
      </w:r>
      <w:r w:rsidRPr="00ED2BF2">
        <w:t xml:space="preserve"> indicated by the </w:t>
      </w:r>
      <w:r w:rsidRPr="00ED2BF2">
        <w:rPr>
          <w:i/>
        </w:rPr>
        <w:t>ue-PowerClass</w:t>
      </w:r>
      <w:r w:rsidRPr="00ED2BF2">
        <w:t xml:space="preserve"> field </w:t>
      </w:r>
      <w:r>
        <w:t xml:space="preserve">in capability signalling. </w:t>
      </w:r>
      <w:r>
        <w:rPr>
          <w:lang w:val="en-US"/>
        </w:rPr>
        <w:t>However, if the UE does not use virtualization for single layer transmission, it transmits a layer on only one of its two Tx chains, and so only half of the power according to its power class.</w:t>
      </w:r>
      <w:r w:rsidRPr="00210DE2">
        <w:rPr>
          <w:lang w:val="en-US"/>
        </w:rPr>
        <w:t xml:space="preserve"> </w:t>
      </w:r>
      <w:r>
        <w:rPr>
          <w:lang w:val="en-US"/>
        </w:rPr>
        <w:t xml:space="preserve">Such a UE indicating PC3 in </w:t>
      </w:r>
      <w:r w:rsidRPr="002B51D6">
        <w:rPr>
          <w:i/>
          <w:iCs/>
          <w:lang w:val="en-US"/>
        </w:rPr>
        <w:t>ue-PowerClass</w:t>
      </w:r>
      <w:r>
        <w:rPr>
          <w:lang w:val="en-US"/>
        </w:rPr>
        <w:t xml:space="preserve"> (default) must therefore meet this per antenna connector in fallback, and so must be equipped with at least one 23 dBm PA. Such a configuration seems fundamentally different from transparent TxD, which relies on virtualization.  </w:t>
      </w:r>
    </w:p>
    <w:p w14:paraId="779D6813" w14:textId="77777777" w:rsidR="00CF32D0" w:rsidRPr="008C0EFD" w:rsidRDefault="00CF32D0" w:rsidP="00552888">
      <w:pPr>
        <w:rPr>
          <w:lang w:eastAsia="zh-CN"/>
        </w:rPr>
      </w:pPr>
    </w:p>
    <w:p w14:paraId="59AFD5FC" w14:textId="1499B7B8" w:rsidR="00E32439" w:rsidRPr="00971FD4" w:rsidRDefault="00EB0F3B" w:rsidP="00F139F2">
      <w:pPr>
        <w:rPr>
          <w:rFonts w:eastAsia="Times New Roman"/>
          <w:b/>
          <w:bCs/>
          <w:lang w:val="en-US" w:eastAsia="ja-JP"/>
        </w:rPr>
      </w:pPr>
      <w:r w:rsidRPr="00971FD4">
        <w:rPr>
          <w:rFonts w:eastAsia="Times New Roman"/>
          <w:b/>
          <w:bCs/>
          <w:lang w:val="en-US" w:eastAsia="ja-JP"/>
        </w:rPr>
        <w:lastRenderedPageBreak/>
        <w:t xml:space="preserve">Observation </w:t>
      </w:r>
      <w:r w:rsidR="004735EF" w:rsidRPr="00971FD4">
        <w:rPr>
          <w:rFonts w:eastAsia="Times New Roman"/>
          <w:b/>
          <w:bCs/>
          <w:lang w:val="en-US" w:eastAsia="ja-JP"/>
        </w:rPr>
        <w:t>5: according to the current Rel-16 version of the 38.101</w:t>
      </w:r>
      <w:r w:rsidR="00BA2983" w:rsidRPr="00971FD4">
        <w:rPr>
          <w:rFonts w:eastAsia="Times New Roman"/>
          <w:b/>
          <w:bCs/>
          <w:lang w:val="en-US" w:eastAsia="ja-JP"/>
        </w:rPr>
        <w:t xml:space="preserve">-1, a </w:t>
      </w:r>
      <w:r w:rsidR="00EA6C12" w:rsidRPr="00971FD4">
        <w:rPr>
          <w:rFonts w:eastAsia="Times New Roman"/>
          <w:b/>
          <w:bCs/>
          <w:lang w:val="en-US" w:eastAsia="ja-JP"/>
        </w:rPr>
        <w:t xml:space="preserve">UE </w:t>
      </w:r>
      <w:r w:rsidR="00971FD4" w:rsidRPr="00971FD4">
        <w:rPr>
          <w:rFonts w:eastAsia="Times New Roman"/>
          <w:b/>
          <w:bCs/>
          <w:lang w:val="en-US" w:eastAsia="ja-JP"/>
        </w:rPr>
        <w:t xml:space="preserve">configured with full-power UL-MIMO </w:t>
      </w:r>
      <w:r w:rsidR="00EA6C12" w:rsidRPr="00971FD4">
        <w:rPr>
          <w:rFonts w:eastAsia="Times New Roman"/>
          <w:b/>
          <w:bCs/>
          <w:lang w:val="en-US" w:eastAsia="ja-JP"/>
        </w:rPr>
        <w:t xml:space="preserve">must meet the </w:t>
      </w:r>
      <w:r w:rsidRPr="00971FD4">
        <w:rPr>
          <w:rFonts w:eastAsia="Times New Roman"/>
          <w:b/>
          <w:bCs/>
          <w:lang w:val="en-US" w:eastAsia="ja-JP"/>
        </w:rPr>
        <w:t xml:space="preserve">power-class </w:t>
      </w:r>
      <w:r w:rsidR="00EA6C12" w:rsidRPr="00971FD4">
        <w:rPr>
          <w:rFonts w:eastAsia="Times New Roman"/>
          <w:b/>
          <w:bCs/>
          <w:lang w:val="en-US" w:eastAsia="ja-JP"/>
        </w:rPr>
        <w:t xml:space="preserve">requirement per TX connector when DCI 0_0 or 0_1 with single-port </w:t>
      </w:r>
      <w:r w:rsidR="00193242">
        <w:rPr>
          <w:rFonts w:eastAsia="Times New Roman"/>
          <w:b/>
          <w:bCs/>
          <w:lang w:val="en-US" w:eastAsia="ja-JP"/>
        </w:rPr>
        <w:t xml:space="preserve">is </w:t>
      </w:r>
      <w:r w:rsidR="00EA6C12" w:rsidRPr="00971FD4">
        <w:rPr>
          <w:rFonts w:eastAsia="Times New Roman"/>
          <w:b/>
          <w:bCs/>
          <w:lang w:val="en-US" w:eastAsia="ja-JP"/>
        </w:rPr>
        <w:t>scheduled</w:t>
      </w:r>
      <w:r w:rsidR="00971FD4" w:rsidRPr="00971FD4">
        <w:rPr>
          <w:rFonts w:eastAsia="Times New Roman"/>
          <w:b/>
          <w:bCs/>
          <w:lang w:val="en-US" w:eastAsia="ja-JP"/>
        </w:rPr>
        <w:t>.</w:t>
      </w:r>
    </w:p>
    <w:p w14:paraId="49B116AA" w14:textId="77777777" w:rsidR="00E32439" w:rsidRPr="00463DDB" w:rsidRDefault="00E32439" w:rsidP="00F139F2">
      <w:pPr>
        <w:rPr>
          <w:rFonts w:eastAsia="Times New Roman"/>
          <w:lang w:val="en-US" w:eastAsia="ja-JP"/>
        </w:rPr>
      </w:pPr>
    </w:p>
    <w:bookmarkEnd w:id="0"/>
    <w:p w14:paraId="29BF43BD" w14:textId="68890B81" w:rsidR="00463DDB" w:rsidRDefault="00463DDB" w:rsidP="00463DDB">
      <w:pPr>
        <w:pStyle w:val="Heading1"/>
        <w:rPr>
          <w:lang w:val="en-US"/>
        </w:rPr>
      </w:pPr>
      <w:r>
        <w:rPr>
          <w:lang w:val="en-US"/>
        </w:rPr>
        <w:t>Is the TxD capability needed?</w:t>
      </w:r>
      <w:r w:rsidR="00CF32D0">
        <w:rPr>
          <w:lang w:val="en-US"/>
        </w:rPr>
        <w:t xml:space="preserve"> </w:t>
      </w:r>
    </w:p>
    <w:p w14:paraId="53671C22" w14:textId="7B19F8A0" w:rsidR="00385176" w:rsidRDefault="00385176" w:rsidP="003E1DA4">
      <w:pPr>
        <w:pStyle w:val="BodyText"/>
        <w:rPr>
          <w:lang w:val="en-US"/>
        </w:rPr>
      </w:pPr>
      <w:r>
        <w:rPr>
          <w:lang w:val="en-US"/>
        </w:rPr>
        <w:t xml:space="preserve">Why not use </w:t>
      </w:r>
      <w:r w:rsidR="00A66C8C">
        <w:rPr>
          <w:lang w:val="en-US"/>
        </w:rPr>
        <w:t xml:space="preserve">the </w:t>
      </w:r>
      <w:r>
        <w:rPr>
          <w:lang w:val="en-US"/>
        </w:rPr>
        <w:t xml:space="preserve">FP </w:t>
      </w:r>
      <w:r w:rsidR="00A66C8C">
        <w:rPr>
          <w:lang w:val="en-US"/>
        </w:rPr>
        <w:t xml:space="preserve">UL-MIMO </w:t>
      </w:r>
      <w:r>
        <w:rPr>
          <w:lang w:val="en-US"/>
        </w:rPr>
        <w:t>modes</w:t>
      </w:r>
      <w:r w:rsidR="00A66C8C">
        <w:rPr>
          <w:lang w:val="en-US"/>
        </w:rPr>
        <w:t xml:space="preserve"> to achieve full power </w:t>
      </w:r>
      <w:r w:rsidR="003F3E18">
        <w:rPr>
          <w:lang w:val="en-US"/>
        </w:rPr>
        <w:t xml:space="preserve">using </w:t>
      </w:r>
      <w:r w:rsidR="00A66C8C" w:rsidRPr="00A66C8C">
        <w:rPr>
          <w:lang w:val="en-US"/>
        </w:rPr>
        <w:t xml:space="preserve">the </w:t>
      </w:r>
      <w:r w:rsidR="003F3E18">
        <w:rPr>
          <w:lang w:val="en-US"/>
        </w:rPr>
        <w:t xml:space="preserve">two </w:t>
      </w:r>
      <w:r w:rsidR="00A66C8C" w:rsidRPr="00A66C8C">
        <w:rPr>
          <w:lang w:val="en-US"/>
        </w:rPr>
        <w:t>half</w:t>
      </w:r>
      <w:r w:rsidR="003F3E18">
        <w:rPr>
          <w:lang w:val="en-US"/>
        </w:rPr>
        <w:t>-</w:t>
      </w:r>
      <w:r w:rsidR="00A66C8C" w:rsidRPr="00A66C8C">
        <w:rPr>
          <w:lang w:val="en-US"/>
        </w:rPr>
        <w:t xml:space="preserve">power </w:t>
      </w:r>
      <w:r w:rsidR="003F3E18">
        <w:rPr>
          <w:lang w:val="en-US"/>
        </w:rPr>
        <w:t xml:space="preserve">PA </w:t>
      </w:r>
      <w:r w:rsidR="00A66C8C" w:rsidRPr="00A66C8C">
        <w:rPr>
          <w:lang w:val="en-US"/>
        </w:rPr>
        <w:t>assumption driving the transparent TxD design</w:t>
      </w:r>
      <w:r>
        <w:rPr>
          <w:lang w:val="en-US"/>
        </w:rPr>
        <w:t xml:space="preserve">? </w:t>
      </w:r>
      <w:r w:rsidR="003F3E18">
        <w:rPr>
          <w:lang w:val="en-US"/>
        </w:rPr>
        <w:t xml:space="preserve">The full-power UL-MIMO modes </w:t>
      </w:r>
      <w:r w:rsidR="005F05D4">
        <w:rPr>
          <w:lang w:val="en-US"/>
        </w:rPr>
        <w:t>a</w:t>
      </w:r>
      <w:r w:rsidR="003F3E18">
        <w:rPr>
          <w:lang w:val="en-US"/>
        </w:rPr>
        <w:t>re</w:t>
      </w:r>
      <w:r w:rsidR="00B90E9B">
        <w:rPr>
          <w:lang w:val="en-US"/>
        </w:rPr>
        <w:t xml:space="preserve"> d</w:t>
      </w:r>
      <w:r>
        <w:rPr>
          <w:lang w:val="en-US"/>
        </w:rPr>
        <w:t xml:space="preserve">evised to accommodate a wide variety of PA configurations and </w:t>
      </w:r>
      <w:r w:rsidR="005F05D4">
        <w:rPr>
          <w:lang w:val="en-US"/>
        </w:rPr>
        <w:t xml:space="preserve">are </w:t>
      </w:r>
      <w:r w:rsidR="00115821">
        <w:rPr>
          <w:lang w:val="en-US"/>
        </w:rPr>
        <w:t>configur</w:t>
      </w:r>
      <w:r w:rsidR="005F05D4">
        <w:rPr>
          <w:lang w:val="en-US"/>
        </w:rPr>
        <w:t xml:space="preserve">able </w:t>
      </w:r>
      <w:r w:rsidR="00115821">
        <w:rPr>
          <w:lang w:val="en-US"/>
        </w:rPr>
        <w:t>by the gNB</w:t>
      </w:r>
      <w:r w:rsidR="00B90E9B">
        <w:rPr>
          <w:lang w:val="en-US"/>
        </w:rPr>
        <w:t>.</w:t>
      </w:r>
    </w:p>
    <w:p w14:paraId="461978D3" w14:textId="6B442A5A" w:rsidR="00B90E9B" w:rsidRDefault="005F05D4" w:rsidP="003E1DA4">
      <w:pPr>
        <w:pStyle w:val="BodyText"/>
        <w:rPr>
          <w:lang w:val="en-US"/>
        </w:rPr>
      </w:pPr>
      <w:r>
        <w:rPr>
          <w:lang w:val="en-US"/>
        </w:rPr>
        <w:t>Are there implementations with two TX chains supporting</w:t>
      </w:r>
      <w:r w:rsidR="0004413E">
        <w:rPr>
          <w:lang w:val="en-US"/>
        </w:rPr>
        <w:t xml:space="preserve"> transparent TxD but </w:t>
      </w:r>
      <w:r w:rsidR="0004413E" w:rsidRPr="00565126">
        <w:rPr>
          <w:i/>
          <w:iCs/>
          <w:lang w:val="en-US"/>
        </w:rPr>
        <w:t>not</w:t>
      </w:r>
      <w:r w:rsidR="0004413E">
        <w:rPr>
          <w:lang w:val="en-US"/>
        </w:rPr>
        <w:t xml:space="preserve"> two-port UL-MIMO</w:t>
      </w:r>
      <w:r w:rsidR="003369EB">
        <w:rPr>
          <w:lang w:val="en-US"/>
        </w:rPr>
        <w:t xml:space="preserve"> in a band?</w:t>
      </w:r>
      <w:r w:rsidR="00565126">
        <w:rPr>
          <w:lang w:val="en-US"/>
        </w:rPr>
        <w:t xml:space="preserve"> There is indeed additional BB complexity associated with two-port transmissions, but we nevertheless make the</w:t>
      </w:r>
      <w:r w:rsidR="00720F03">
        <w:rPr>
          <w:lang w:val="en-US"/>
        </w:rPr>
        <w:t xml:space="preserve"> following </w:t>
      </w:r>
    </w:p>
    <w:p w14:paraId="007E81F6" w14:textId="796FF542" w:rsidR="00F23544" w:rsidRPr="00D400AE" w:rsidRDefault="005F05D4" w:rsidP="003E1DA4">
      <w:pPr>
        <w:pStyle w:val="BodyText"/>
        <w:rPr>
          <w:b/>
          <w:bCs/>
          <w:lang w:val="en-US"/>
        </w:rPr>
      </w:pPr>
      <w:r w:rsidRPr="00D400AE">
        <w:rPr>
          <w:b/>
          <w:bCs/>
          <w:lang w:val="en-US"/>
        </w:rPr>
        <w:t>Observation</w:t>
      </w:r>
      <w:r w:rsidR="00F67F2A" w:rsidRPr="00D400AE">
        <w:rPr>
          <w:b/>
          <w:bCs/>
          <w:lang w:val="en-US"/>
        </w:rPr>
        <w:t xml:space="preserve"> 6</w:t>
      </w:r>
      <w:r w:rsidRPr="00D400AE">
        <w:rPr>
          <w:b/>
          <w:bCs/>
          <w:lang w:val="en-US"/>
        </w:rPr>
        <w:t>: w</w:t>
      </w:r>
      <w:r w:rsidR="00F23544" w:rsidRPr="00D400AE">
        <w:rPr>
          <w:b/>
          <w:bCs/>
          <w:lang w:val="en-US"/>
        </w:rPr>
        <w:t>hy not use the full-power Mode 1</w:t>
      </w:r>
      <w:r w:rsidR="00B241E4" w:rsidRPr="00D400AE">
        <w:rPr>
          <w:b/>
          <w:bCs/>
          <w:lang w:val="en-US"/>
        </w:rPr>
        <w:t xml:space="preserve"> wit</w:t>
      </w:r>
      <w:r w:rsidR="00121D1D" w:rsidRPr="00D400AE">
        <w:rPr>
          <w:b/>
          <w:bCs/>
          <w:lang w:val="en-US"/>
        </w:rPr>
        <w:t>h two half-power PAs</w:t>
      </w:r>
      <w:r w:rsidR="00F67F2A" w:rsidRPr="00D400AE">
        <w:rPr>
          <w:b/>
          <w:bCs/>
          <w:lang w:val="en-US"/>
        </w:rPr>
        <w:t xml:space="preserve"> instead of the TxD capability</w:t>
      </w:r>
      <w:r w:rsidR="00F23544" w:rsidRPr="00D400AE">
        <w:rPr>
          <w:b/>
          <w:bCs/>
          <w:lang w:val="en-US"/>
        </w:rPr>
        <w:t>?</w:t>
      </w:r>
    </w:p>
    <w:p w14:paraId="1905D615" w14:textId="77777777" w:rsidR="00C459AC" w:rsidRDefault="00D400AE" w:rsidP="001B4F1B">
      <w:pPr>
        <w:pStyle w:val="BodyText"/>
        <w:rPr>
          <w:lang w:val="en-US"/>
        </w:rPr>
      </w:pPr>
      <w:r>
        <w:rPr>
          <w:lang w:val="en-US"/>
        </w:rPr>
        <w:t>For this TX configuration, the</w:t>
      </w:r>
      <w:r w:rsidR="005A2648">
        <w:rPr>
          <w:lang w:val="en-US"/>
        </w:rPr>
        <w:t xml:space="preserve"> issues </w:t>
      </w:r>
      <w:r w:rsidR="00133D55">
        <w:rPr>
          <w:lang w:val="en-US"/>
        </w:rPr>
        <w:t xml:space="preserve">of compliance with </w:t>
      </w:r>
      <w:r>
        <w:rPr>
          <w:lang w:val="en-US"/>
        </w:rPr>
        <w:t xml:space="preserve">MOP </w:t>
      </w:r>
      <w:r w:rsidR="005A2648">
        <w:rPr>
          <w:lang w:val="en-US"/>
        </w:rPr>
        <w:t>confor</w:t>
      </w:r>
      <w:r w:rsidR="00133D55">
        <w:rPr>
          <w:lang w:val="en-US"/>
        </w:rPr>
        <w:t>manc</w:t>
      </w:r>
      <w:r w:rsidR="005A2648">
        <w:rPr>
          <w:lang w:val="en-US"/>
        </w:rPr>
        <w:t xml:space="preserve">e test requirements for MOP </w:t>
      </w:r>
      <w:r w:rsidR="00F67F2A">
        <w:rPr>
          <w:lang w:val="en-US"/>
        </w:rPr>
        <w:t xml:space="preserve">are similar </w:t>
      </w:r>
      <w:r>
        <w:rPr>
          <w:lang w:val="en-US"/>
        </w:rPr>
        <w:t>to those for TxD, but th</w:t>
      </w:r>
      <w:r w:rsidR="0077479F">
        <w:rPr>
          <w:lang w:val="en-US"/>
        </w:rPr>
        <w:t>e full-power UL-MIMO modes are at least configurable.</w:t>
      </w:r>
    </w:p>
    <w:p w14:paraId="28E9B596" w14:textId="4C88C0A9" w:rsidR="00B241E4" w:rsidRDefault="00C459AC" w:rsidP="003E1DA4">
      <w:pPr>
        <w:pStyle w:val="BodyText"/>
        <w:rPr>
          <w:lang w:val="en-US"/>
        </w:rPr>
      </w:pPr>
      <w:r w:rsidRPr="00C83A23">
        <w:rPr>
          <w:lang w:val="en-US"/>
        </w:rPr>
        <w:t>At best t</w:t>
      </w:r>
      <w:r w:rsidR="001B4F1B" w:rsidRPr="00C83A23">
        <w:rPr>
          <w:lang w:val="en-US"/>
        </w:rPr>
        <w:t>he TxD cap</w:t>
      </w:r>
      <w:r w:rsidRPr="00C83A23">
        <w:rPr>
          <w:lang w:val="en-US"/>
        </w:rPr>
        <w:t>ability would</w:t>
      </w:r>
      <w:r w:rsidR="001B4F1B" w:rsidRPr="00C83A23">
        <w:rPr>
          <w:lang w:val="en-US"/>
        </w:rPr>
        <w:t xml:space="preserve"> inform </w:t>
      </w:r>
      <w:r w:rsidR="00593F16" w:rsidRPr="00C83A23">
        <w:rPr>
          <w:lang w:val="en-US"/>
        </w:rPr>
        <w:t xml:space="preserve">the </w:t>
      </w:r>
      <w:r w:rsidR="001B4F1B" w:rsidRPr="00C83A23">
        <w:rPr>
          <w:lang w:val="en-US"/>
        </w:rPr>
        <w:t>gNB that the power ca</w:t>
      </w:r>
      <w:r w:rsidRPr="00C83A23">
        <w:rPr>
          <w:lang w:val="en-US"/>
        </w:rPr>
        <w:t>pa</w:t>
      </w:r>
      <w:r w:rsidR="001B4F1B" w:rsidRPr="00C83A23">
        <w:rPr>
          <w:lang w:val="en-US"/>
        </w:rPr>
        <w:t>bility may not be up to the advertised power class for the band</w:t>
      </w:r>
      <w:r w:rsidRPr="00C83A23">
        <w:rPr>
          <w:lang w:val="en-US"/>
        </w:rPr>
        <w:t xml:space="preserve">, assuming that </w:t>
      </w:r>
      <w:r w:rsidR="00593F16" w:rsidRPr="00C83A23">
        <w:rPr>
          <w:lang w:val="en-US"/>
        </w:rPr>
        <w:t>other multi-antenna features have UE behavior and performance that is unaffected by TxD capability.</w:t>
      </w:r>
    </w:p>
    <w:p w14:paraId="104C739E" w14:textId="77777777" w:rsidR="00D00E5F" w:rsidRDefault="00463DDB" w:rsidP="001E036B">
      <w:pPr>
        <w:pStyle w:val="Heading1"/>
        <w:rPr>
          <w:lang w:val="en-US"/>
        </w:rPr>
      </w:pPr>
      <w:r>
        <w:rPr>
          <w:lang w:val="en-US"/>
        </w:rPr>
        <w:t>Proposal</w:t>
      </w:r>
    </w:p>
    <w:p w14:paraId="0051EB3B" w14:textId="14098C1A" w:rsidR="001B4F1B" w:rsidRDefault="009B72CD" w:rsidP="00115821">
      <w:pPr>
        <w:pStyle w:val="BodyText"/>
        <w:rPr>
          <w:lang w:val="en-US"/>
        </w:rPr>
      </w:pPr>
      <w:r>
        <w:rPr>
          <w:lang w:val="en-US"/>
        </w:rPr>
        <w:t>We make the following</w:t>
      </w:r>
    </w:p>
    <w:p w14:paraId="65C4B323" w14:textId="5FFECC11" w:rsidR="001B4F1B" w:rsidRPr="00C83A23" w:rsidRDefault="001B4F1B" w:rsidP="001B4F1B">
      <w:pPr>
        <w:pStyle w:val="BodyText"/>
        <w:spacing w:after="0"/>
        <w:rPr>
          <w:b/>
          <w:bCs/>
          <w:lang w:val="en-US"/>
        </w:rPr>
      </w:pPr>
      <w:r w:rsidRPr="00C83A23">
        <w:rPr>
          <w:b/>
          <w:bCs/>
          <w:lang w:val="en-US"/>
        </w:rPr>
        <w:t>Observation 1:</w:t>
      </w:r>
    </w:p>
    <w:p w14:paraId="46193C67" w14:textId="77777777" w:rsidR="001B4F1B" w:rsidRPr="00C83A23" w:rsidRDefault="001B4F1B" w:rsidP="001B4F1B">
      <w:pPr>
        <w:pStyle w:val="ListBullet"/>
        <w:numPr>
          <w:ilvl w:val="0"/>
          <w:numId w:val="16"/>
        </w:numPr>
        <w:spacing w:after="0"/>
        <w:rPr>
          <w:b/>
          <w:bCs/>
          <w:lang w:val="en-US"/>
        </w:rPr>
      </w:pPr>
      <w:r w:rsidRPr="00C83A23">
        <w:rPr>
          <w:b/>
          <w:bCs/>
          <w:lang w:val="en-US"/>
        </w:rPr>
        <w:t>Transparent TxD can be substantially worse than single antenna operation under severe conditions</w:t>
      </w:r>
    </w:p>
    <w:p w14:paraId="512F0A77" w14:textId="77777777" w:rsidR="001B4F1B" w:rsidRPr="00C83A23" w:rsidRDefault="001B4F1B" w:rsidP="001B4F1B">
      <w:pPr>
        <w:pStyle w:val="ListBullet"/>
        <w:numPr>
          <w:ilvl w:val="1"/>
          <w:numId w:val="16"/>
        </w:numPr>
        <w:spacing w:after="0"/>
        <w:rPr>
          <w:b/>
          <w:bCs/>
          <w:lang w:val="en-US"/>
        </w:rPr>
      </w:pPr>
      <w:r w:rsidRPr="00C83A23">
        <w:rPr>
          <w:b/>
          <w:bCs/>
          <w:lang w:val="en-US"/>
        </w:rPr>
        <w:t>When the channel is highly correlated, transparent TxD can be multiple dB worse when an inappropriate amount of CDD delay is used for PUSCH transmission</w:t>
      </w:r>
    </w:p>
    <w:p w14:paraId="14B16946" w14:textId="77777777" w:rsidR="001B4F1B" w:rsidRPr="00C83A23" w:rsidRDefault="001B4F1B" w:rsidP="001B4F1B">
      <w:pPr>
        <w:pStyle w:val="ListBullet"/>
        <w:numPr>
          <w:ilvl w:val="0"/>
          <w:numId w:val="16"/>
        </w:numPr>
        <w:spacing w:after="0"/>
        <w:rPr>
          <w:b/>
          <w:bCs/>
          <w:lang w:val="en-US"/>
        </w:rPr>
      </w:pPr>
      <w:r w:rsidRPr="00C83A23">
        <w:rPr>
          <w:b/>
          <w:bCs/>
          <w:lang w:val="en-US"/>
        </w:rPr>
        <w:t>Transparent TxD is sensitive to proper choice of CDD delay even under conditions favorable to TxD</w:t>
      </w:r>
    </w:p>
    <w:p w14:paraId="75206770" w14:textId="77777777" w:rsidR="001B4F1B" w:rsidRPr="00C83A23" w:rsidRDefault="001B4F1B" w:rsidP="001B4F1B">
      <w:pPr>
        <w:pStyle w:val="ListBullet"/>
        <w:numPr>
          <w:ilvl w:val="1"/>
          <w:numId w:val="16"/>
        </w:numPr>
        <w:spacing w:after="0"/>
        <w:rPr>
          <w:b/>
          <w:bCs/>
          <w:lang w:val="en-US"/>
        </w:rPr>
      </w:pPr>
      <w:r w:rsidRPr="00C83A23">
        <w:rPr>
          <w:b/>
          <w:bCs/>
          <w:lang w:val="en-US"/>
        </w:rPr>
        <w:t xml:space="preserve">Improper choice of CDD </w:t>
      </w:r>
      <w:r w:rsidRPr="00C83A23">
        <w:rPr>
          <w:b/>
          <w:bCs/>
          <w:lang w:val="en-US"/>
        </w:rPr>
        <w:t>delay can result in roughly a dB loss for uncorrelated antennas</w:t>
      </w:r>
    </w:p>
    <w:p w14:paraId="772D18B0" w14:textId="3CF698BD" w:rsidR="001B4F1B" w:rsidRPr="00C83A23" w:rsidRDefault="001B4F1B" w:rsidP="001B4F1B">
      <w:pPr>
        <w:pStyle w:val="ListBullet"/>
        <w:numPr>
          <w:ilvl w:val="0"/>
          <w:numId w:val="16"/>
        </w:numPr>
        <w:spacing w:after="0"/>
        <w:rPr>
          <w:b/>
          <w:bCs/>
          <w:lang w:val="en-US"/>
        </w:rPr>
      </w:pPr>
      <w:r w:rsidRPr="00C83A23">
        <w:rPr>
          <w:b/>
          <w:bCs/>
          <w:lang w:val="en-US"/>
        </w:rPr>
        <w:t>Transparent TxD can provide notable gain over single antenna operation in conditions favorable to diversity</w:t>
      </w:r>
    </w:p>
    <w:p w14:paraId="42528552" w14:textId="0426D8A4" w:rsidR="001B4F1B" w:rsidRPr="00C83A23" w:rsidRDefault="001B4F1B" w:rsidP="00C83A23">
      <w:pPr>
        <w:pStyle w:val="ListBullet"/>
        <w:numPr>
          <w:ilvl w:val="1"/>
          <w:numId w:val="16"/>
        </w:numPr>
        <w:rPr>
          <w:b/>
          <w:bCs/>
          <w:lang w:val="en-US"/>
        </w:rPr>
      </w:pPr>
      <w:r w:rsidRPr="00C83A23">
        <w:rPr>
          <w:b/>
          <w:bCs/>
          <w:lang w:val="en-US"/>
        </w:rPr>
        <w:t>Gains of roughly 1 dB can be observed with appropriate CDD delay and when frequency hopping is used with uncorrelated antennas.</w:t>
      </w:r>
    </w:p>
    <w:p w14:paraId="72D16EC8" w14:textId="4CE78922" w:rsidR="001B4F1B" w:rsidRPr="002A69DC" w:rsidRDefault="001B4F1B" w:rsidP="001B4F1B">
      <w:pPr>
        <w:pStyle w:val="BodyText"/>
        <w:rPr>
          <w:b/>
          <w:bCs/>
          <w:lang w:val="en-US"/>
        </w:rPr>
      </w:pPr>
      <w:r w:rsidRPr="00C83A23">
        <w:rPr>
          <w:b/>
          <w:bCs/>
          <w:lang w:val="en-US"/>
        </w:rPr>
        <w:t>Proposal 1: further</w:t>
      </w:r>
      <w:r w:rsidRPr="00F473E3">
        <w:rPr>
          <w:b/>
          <w:bCs/>
          <w:lang w:val="en-US"/>
        </w:rPr>
        <w:t xml:space="preserve"> discuss the relevant antenna and channel models and their impact as part of, and prior to, concluding on conformance testing methodologies and reference receivers for TxD with conducted measurements.</w:t>
      </w:r>
      <w:r w:rsidRPr="004433E6">
        <w:rPr>
          <w:lang w:val="sv-SE"/>
        </w:rPr>
        <w:fldChar w:fldCharType="begin"/>
      </w:r>
      <w:r w:rsidRPr="000F2959">
        <w:rPr>
          <w:lang w:val="en-US"/>
        </w:rPr>
        <w:instrText xml:space="preserve"> QUOTE </w:instrText>
      </w:r>
      <w:r w:rsidRPr="000B7680">
        <w:rPr>
          <w:rFonts w:ascii="Cambria Math" w:eastAsia="Times New Roman" w:hAnsi="Cambria Math"/>
          <w:color w:val="000000"/>
          <w:kern w:val="24"/>
          <w:sz w:val="36"/>
          <w:szCs w:val="36"/>
          <w:lang w:eastAsia="sv-SE"/>
        </w:rPr>
        <w:instrText>EVMport=min</w:instrText>
      </w:r>
      <m:oMath>
        <m:r>
          <m:rPr>
            <m:sty m:val="p"/>
          </m:rPr>
          <w:rPr>
            <w:rFonts w:ascii="Cambria Math" w:eastAsia="Times New Roman" w:hAnsi="Cambria Math"/>
            <w:color w:val="000000"/>
            <w:kern w:val="24"/>
            <w:sz w:val="36"/>
            <w:szCs w:val="36"/>
            <w:lang w:eastAsia="sv-SE"/>
          </w:rPr>
          <m:t>EVM</m:t>
        </m:r>
      </m:oMath>
      <w:r w:rsidRPr="000B7680">
        <w:rPr>
          <w:rFonts w:ascii="Cambria Math" w:eastAsia="Times New Roman" w:hAnsi="Cambria Math"/>
          <w:color w:val="000000"/>
          <w:kern w:val="24"/>
          <w:sz w:val="36"/>
          <w:szCs w:val="36"/>
          <w:lang w:val="en-US" w:eastAsia="sv-SE"/>
        </w:rPr>
        <w:instrText>1</w:instrText>
      </w:r>
      <w:r w:rsidRPr="000B7680">
        <w:rPr>
          <w:rFonts w:ascii="Cambria Math" w:eastAsia="Times New Roman" w:hAnsi="Cambria Math"/>
          <w:color w:val="000000"/>
          <w:kern w:val="24"/>
          <w:sz w:val="36"/>
          <w:szCs w:val="36"/>
          <w:lang w:eastAsia="sv-SE"/>
        </w:rPr>
        <w:instrText>,EVM</w:instrText>
      </w:r>
      <w:r w:rsidRPr="000B7680">
        <w:rPr>
          <w:rFonts w:ascii="Cambria Math" w:eastAsia="Times New Roman" w:hAnsi="Cambria Math"/>
          <w:color w:val="000000"/>
          <w:kern w:val="24"/>
          <w:sz w:val="36"/>
          <w:szCs w:val="36"/>
          <w:lang w:val="en-US" w:eastAsia="sv-SE"/>
        </w:rPr>
        <w:instrText>2</w:instrText>
      </w:r>
      <w:r w:rsidRPr="000F2959">
        <w:rPr>
          <w:lang w:val="en-US"/>
        </w:rPr>
        <w:instrText xml:space="preserve"> </w:instrText>
      </w:r>
      <w:r w:rsidRPr="004433E6">
        <w:rPr>
          <w:lang w:val="sv-SE"/>
        </w:rPr>
        <w:fldChar w:fldCharType="end"/>
      </w:r>
    </w:p>
    <w:p w14:paraId="154CAFE9" w14:textId="77777777" w:rsidR="00C83A23" w:rsidRDefault="00C83A23" w:rsidP="00C83A23">
      <w:pPr>
        <w:rPr>
          <w:rFonts w:eastAsia="Times New Roman"/>
          <w:lang w:val="en-US"/>
        </w:rPr>
      </w:pPr>
    </w:p>
    <w:p w14:paraId="3A052941" w14:textId="078D837E" w:rsidR="00C83A23" w:rsidRDefault="00C83A23" w:rsidP="00C83A23">
      <w:pPr>
        <w:pStyle w:val="BodyText"/>
        <w:rPr>
          <w:b/>
          <w:bCs/>
          <w:lang w:val="en-US"/>
        </w:rPr>
      </w:pPr>
      <w:r w:rsidRPr="000F2959">
        <w:rPr>
          <w:b/>
          <w:bCs/>
          <w:lang w:val="en-US"/>
        </w:rPr>
        <w:t xml:space="preserve">Observation </w:t>
      </w:r>
      <w:r>
        <w:rPr>
          <w:b/>
          <w:bCs/>
          <w:lang w:val="en-US"/>
        </w:rPr>
        <w:t>2</w:t>
      </w:r>
      <w:r w:rsidRPr="000F2959">
        <w:rPr>
          <w:b/>
          <w:bCs/>
          <w:lang w:val="en-US"/>
        </w:rPr>
        <w:t>:</w:t>
      </w:r>
      <w:r>
        <w:rPr>
          <w:b/>
          <w:bCs/>
          <w:lang w:val="en-US"/>
        </w:rPr>
        <w:t xml:space="preserve"> Given the support for a wide variety of PA architectures, full configurability, and specified behavior of full-power UL MIMO, additional support for a transparent TxD capability is redundant and may lead to potential behavior ambiguity where UEs support full power operation.  </w:t>
      </w:r>
    </w:p>
    <w:p w14:paraId="730C7183" w14:textId="77777777" w:rsidR="00C83A23" w:rsidRPr="00E223EF" w:rsidRDefault="00C83A23" w:rsidP="00C83A23">
      <w:pPr>
        <w:pStyle w:val="BodyText"/>
        <w:rPr>
          <w:lang w:val="en-US"/>
        </w:rPr>
      </w:pPr>
      <w:r w:rsidRPr="00E223EF">
        <w:rPr>
          <w:lang w:val="en-US"/>
        </w:rPr>
        <w:t xml:space="preserve">the consequence </w:t>
      </w:r>
      <w:r>
        <w:rPr>
          <w:lang w:val="en-US"/>
        </w:rPr>
        <w:t xml:space="preserve">of which </w:t>
      </w:r>
      <w:r w:rsidRPr="00E223EF">
        <w:rPr>
          <w:lang w:val="en-US"/>
        </w:rPr>
        <w:t>is that</w:t>
      </w:r>
    </w:p>
    <w:p w14:paraId="3F6B92B2" w14:textId="2AC6E259" w:rsidR="00C83A23" w:rsidRDefault="00C83A23" w:rsidP="00C83A23">
      <w:pPr>
        <w:pStyle w:val="BodyText"/>
        <w:rPr>
          <w:b/>
          <w:bCs/>
          <w:lang w:val="en-US"/>
        </w:rPr>
      </w:pPr>
      <w:r>
        <w:rPr>
          <w:b/>
          <w:bCs/>
          <w:lang w:val="en-US"/>
        </w:rPr>
        <w:t>Proposal 2: UEs can support only one of full power capability and transparent TxD capability in a given band.</w:t>
      </w:r>
    </w:p>
    <w:p w14:paraId="2A41CB26" w14:textId="011777CB" w:rsidR="00C83A23" w:rsidRDefault="00C83A23" w:rsidP="00C83A23">
      <w:pPr>
        <w:pStyle w:val="BodyText"/>
        <w:rPr>
          <w:b/>
          <w:bCs/>
          <w:lang w:val="en-US"/>
        </w:rPr>
      </w:pPr>
      <w:r>
        <w:rPr>
          <w:b/>
          <w:bCs/>
          <w:lang w:val="en-US"/>
        </w:rPr>
        <w:t>Observation 3:</w:t>
      </w:r>
      <w:r w:rsidRPr="000F2959">
        <w:rPr>
          <w:b/>
          <w:bCs/>
          <w:lang w:val="en-US"/>
        </w:rPr>
        <w:t xml:space="preserve"> </w:t>
      </w:r>
      <w:r>
        <w:rPr>
          <w:b/>
          <w:bCs/>
          <w:lang w:val="en-US"/>
        </w:rPr>
        <w:t>A UE that supports 1T2R antenna switching SRS should have at least one full power PA, which is inconsistent with the half power assumption driving the transparent TxD design.</w:t>
      </w:r>
    </w:p>
    <w:p w14:paraId="1336AAA5" w14:textId="665B7DBB" w:rsidR="000C0EE8" w:rsidRDefault="000C0EE8" w:rsidP="000C0EE8">
      <w:pPr>
        <w:pStyle w:val="BodyText"/>
        <w:rPr>
          <w:lang w:val="en-US"/>
        </w:rPr>
      </w:pPr>
      <w:r w:rsidRPr="000F2959">
        <w:rPr>
          <w:b/>
          <w:bCs/>
          <w:lang w:val="en-US"/>
        </w:rPr>
        <w:t>Observation</w:t>
      </w:r>
      <w:r>
        <w:rPr>
          <w:b/>
          <w:bCs/>
          <w:lang w:val="en-US"/>
        </w:rPr>
        <w:t xml:space="preserve"> 4</w:t>
      </w:r>
      <w:r w:rsidRPr="000F2959">
        <w:rPr>
          <w:b/>
          <w:bCs/>
          <w:lang w:val="en-US"/>
        </w:rPr>
        <w:t>:</w:t>
      </w:r>
      <w:r>
        <w:rPr>
          <w:b/>
          <w:bCs/>
          <w:lang w:val="en-US"/>
        </w:rPr>
        <w:t xml:space="preserve"> Non-codebook based UEs required full power PAs per Tx chain for power efficient operation, which is incompatible with the half power assumption driving the transparent TxD design.</w:t>
      </w:r>
    </w:p>
    <w:p w14:paraId="19319F15" w14:textId="39737323" w:rsidR="000C0EE8" w:rsidRDefault="000C0EE8" w:rsidP="000C0EE8">
      <w:pPr>
        <w:pStyle w:val="BodyText"/>
        <w:rPr>
          <w:b/>
          <w:bCs/>
          <w:lang w:val="en-US"/>
        </w:rPr>
      </w:pPr>
      <w:r>
        <w:rPr>
          <w:b/>
          <w:bCs/>
          <w:lang w:val="en-US"/>
        </w:rPr>
        <w:t>Proposal 3</w:t>
      </w:r>
      <w:r w:rsidRPr="000F2959">
        <w:rPr>
          <w:b/>
          <w:bCs/>
          <w:lang w:val="en-US"/>
        </w:rPr>
        <w:t xml:space="preserve">: </w:t>
      </w:r>
      <w:r>
        <w:rPr>
          <w:b/>
          <w:bCs/>
          <w:lang w:val="en-US"/>
        </w:rPr>
        <w:t>Except for full power UL MIMO, a TxD capable UE can indicate support for a feature only if UE behavior and performance for the feature is unaffected by TxD capability; otherwise the combination is precluded by specification.</w:t>
      </w:r>
    </w:p>
    <w:p w14:paraId="1FB09750" w14:textId="6E48B654" w:rsidR="000C0EE8" w:rsidRPr="005B6B2B" w:rsidRDefault="000C0EE8" w:rsidP="000C0EE8">
      <w:pPr>
        <w:pStyle w:val="BodyText"/>
        <w:rPr>
          <w:b/>
          <w:bCs/>
          <w:lang w:val="en-US"/>
        </w:rPr>
      </w:pPr>
      <w:r>
        <w:rPr>
          <w:b/>
          <w:bCs/>
          <w:lang w:val="en-US"/>
        </w:rPr>
        <w:t>Proposal 4</w:t>
      </w:r>
      <w:r w:rsidRPr="000F2959">
        <w:rPr>
          <w:b/>
          <w:bCs/>
          <w:lang w:val="en-US"/>
        </w:rPr>
        <w:t xml:space="preserve">: </w:t>
      </w:r>
      <w:r>
        <w:rPr>
          <w:b/>
          <w:bCs/>
          <w:lang w:val="en-US"/>
        </w:rPr>
        <w:t>RAN4 to confirm which multi-antenna features have UE behavior and performance that is unaffected by TxD capability.</w:t>
      </w:r>
    </w:p>
    <w:p w14:paraId="319F6BB2" w14:textId="206E37A4" w:rsidR="000C0EE8" w:rsidRDefault="000C0EE8" w:rsidP="000C0EE8">
      <w:pPr>
        <w:rPr>
          <w:rFonts w:eastAsia="Times New Roman"/>
          <w:b/>
          <w:bCs/>
          <w:lang w:val="en-US" w:eastAsia="ja-JP"/>
        </w:rPr>
      </w:pPr>
      <w:r w:rsidRPr="00971FD4">
        <w:rPr>
          <w:rFonts w:eastAsia="Times New Roman"/>
          <w:b/>
          <w:bCs/>
          <w:lang w:val="en-US" w:eastAsia="ja-JP"/>
        </w:rPr>
        <w:t xml:space="preserve">Observation 5: according to the current Rel-16 version of the 38.101-1, a UE configured with full-power UL-MIMO must meet the power-class requirement per TX connector when DCI 0_0 or 0_1 with single-port </w:t>
      </w:r>
      <w:r>
        <w:rPr>
          <w:rFonts w:eastAsia="Times New Roman"/>
          <w:b/>
          <w:bCs/>
          <w:lang w:val="en-US" w:eastAsia="ja-JP"/>
        </w:rPr>
        <w:t xml:space="preserve">is </w:t>
      </w:r>
      <w:r w:rsidRPr="00971FD4">
        <w:rPr>
          <w:rFonts w:eastAsia="Times New Roman"/>
          <w:b/>
          <w:bCs/>
          <w:lang w:val="en-US" w:eastAsia="ja-JP"/>
        </w:rPr>
        <w:t>scheduled.</w:t>
      </w:r>
    </w:p>
    <w:p w14:paraId="3F5962F3" w14:textId="2A611FE5" w:rsidR="000C0EE8" w:rsidRDefault="000C0EE8" w:rsidP="000C0EE8">
      <w:pPr>
        <w:rPr>
          <w:rFonts w:eastAsia="Times New Roman"/>
          <w:b/>
          <w:bCs/>
          <w:lang w:val="en-US" w:eastAsia="ja-JP"/>
        </w:rPr>
      </w:pPr>
    </w:p>
    <w:p w14:paraId="340A646C" w14:textId="50C192A3" w:rsidR="001B4F1B" w:rsidRDefault="00D8408B" w:rsidP="00115821">
      <w:pPr>
        <w:pStyle w:val="BodyText"/>
        <w:rPr>
          <w:b/>
          <w:bCs/>
          <w:lang w:val="en-US"/>
        </w:rPr>
      </w:pPr>
      <w:r w:rsidRPr="00D400AE">
        <w:rPr>
          <w:b/>
          <w:bCs/>
          <w:lang w:val="en-US"/>
        </w:rPr>
        <w:t>Observation 6: why not use the full-power Mode 1 with two half-power PAs instead of the TxD capability?</w:t>
      </w:r>
    </w:p>
    <w:p w14:paraId="6645288C" w14:textId="08FF1C57" w:rsidR="001E036B" w:rsidRPr="001E036B" w:rsidRDefault="000C0EE8" w:rsidP="001E036B">
      <w:pPr>
        <w:pStyle w:val="BodyText"/>
        <w:rPr>
          <w:lang w:val="en-US"/>
        </w:rPr>
      </w:pPr>
      <w:r w:rsidRPr="000C0EE8">
        <w:rPr>
          <w:lang w:val="en-US"/>
        </w:rPr>
        <w:t xml:space="preserve">We propose that </w:t>
      </w:r>
      <w:r w:rsidR="00457533" w:rsidRPr="000C0EE8">
        <w:rPr>
          <w:lang w:val="en-US"/>
        </w:rPr>
        <w:t xml:space="preserve">RAN2 informed </w:t>
      </w:r>
      <w:r w:rsidRPr="000C0EE8">
        <w:rPr>
          <w:lang w:val="en-US"/>
        </w:rPr>
        <w:t>on the dependencies between capabilities as per the LS below.</w:t>
      </w:r>
    </w:p>
    <w:p w14:paraId="06317C8C" w14:textId="77777777" w:rsidR="00846AE7" w:rsidRDefault="00846AE7" w:rsidP="00846AE7">
      <w:pPr>
        <w:pStyle w:val="Heading1"/>
        <w:numPr>
          <w:ilvl w:val="0"/>
          <w:numId w:val="0"/>
        </w:numPr>
        <w:ind w:left="432" w:hanging="432"/>
        <w:rPr>
          <w:lang w:val="en-US"/>
        </w:rPr>
      </w:pPr>
      <w:r>
        <w:rPr>
          <w:lang w:val="en-US"/>
        </w:rPr>
        <w:lastRenderedPageBreak/>
        <w:t>References</w:t>
      </w:r>
    </w:p>
    <w:p w14:paraId="24D2AB45" w14:textId="44C3B23A" w:rsidR="003D188A" w:rsidRPr="00F11AEF" w:rsidRDefault="006E2979" w:rsidP="006E2979">
      <w:pPr>
        <w:pStyle w:val="BodyText"/>
      </w:pPr>
      <w:r w:rsidRPr="003768FD">
        <w:rPr>
          <w:lang w:val="en-US"/>
        </w:rPr>
        <w:t xml:space="preserve">1. </w:t>
      </w:r>
      <w:r w:rsidR="00F11AEF">
        <w:rPr>
          <w:lang w:val="en-US"/>
        </w:rPr>
        <w:t xml:space="preserve">    </w:t>
      </w:r>
      <w:r w:rsidR="003D188A" w:rsidRPr="009F4E6E">
        <w:t>R4-2</w:t>
      </w:r>
      <w:r w:rsidR="003D188A">
        <w:t>105082</w:t>
      </w:r>
      <w:r w:rsidR="003D188A" w:rsidRPr="009F4E6E">
        <w:t xml:space="preserve">, </w:t>
      </w:r>
      <w:r w:rsidR="003D188A" w:rsidRPr="00DF4E3A">
        <w:t xml:space="preserve">“Requirements for transparent TxD”, </w:t>
      </w:r>
      <w:r w:rsidR="003D188A">
        <w:t>Ericsson</w:t>
      </w:r>
    </w:p>
    <w:p w14:paraId="7F7072DA" w14:textId="39E3E03C" w:rsidR="006E2979" w:rsidRDefault="00270D55" w:rsidP="006E2979">
      <w:pPr>
        <w:pStyle w:val="BodyText"/>
        <w:rPr>
          <w:lang w:val="en-US"/>
        </w:rPr>
      </w:pPr>
      <w:r>
        <w:rPr>
          <w:lang w:val="en-US"/>
        </w:rPr>
        <w:t xml:space="preserve">2.    </w:t>
      </w:r>
      <w:r w:rsidR="006E2979" w:rsidRPr="003768FD">
        <w:rPr>
          <w:lang w:val="en-US"/>
        </w:rPr>
        <w:t>R4-2</w:t>
      </w:r>
      <w:r w:rsidR="006E2979">
        <w:rPr>
          <w:lang w:val="en-US"/>
        </w:rPr>
        <w:t>103156, “</w:t>
      </w:r>
      <w:r w:rsidR="006E2979" w:rsidRPr="00CD0BEA">
        <w:t>CR for TS 38.101-1 Tx diversity requirements</w:t>
      </w:r>
      <w:r w:rsidR="006E2979">
        <w:rPr>
          <w:lang w:val="en-US"/>
        </w:rPr>
        <w:t>”, Huawei, HiSolicon, vivo, OPPO</w:t>
      </w:r>
    </w:p>
    <w:p w14:paraId="17F316E6" w14:textId="5F6CED11" w:rsidR="006E2979" w:rsidRPr="003768FD" w:rsidRDefault="00270D55" w:rsidP="006E2979">
      <w:pPr>
        <w:pStyle w:val="BodyText"/>
        <w:rPr>
          <w:lang w:val="en-US"/>
        </w:rPr>
      </w:pPr>
      <w:r>
        <w:rPr>
          <w:lang w:val="en-US"/>
        </w:rPr>
        <w:t>3</w:t>
      </w:r>
      <w:r w:rsidR="006E2979">
        <w:rPr>
          <w:lang w:val="en-US"/>
        </w:rPr>
        <w:t xml:space="preserve">.    </w:t>
      </w:r>
      <w:r w:rsidR="006E2979">
        <w:t>R4-2014849, “</w:t>
      </w:r>
      <w:r w:rsidR="006E2979" w:rsidRPr="00153A4C">
        <w:t>Further Discussion on the Support of Transparent Tx Diversity in Rel-16</w:t>
      </w:r>
      <w:r w:rsidR="006E2979">
        <w:t>”, Samsung</w:t>
      </w:r>
    </w:p>
    <w:p w14:paraId="6677B2C1" w14:textId="77777777" w:rsidR="00DF4E3A" w:rsidRPr="009F4E6E" w:rsidRDefault="00DF4E3A" w:rsidP="00552888">
      <w:pPr>
        <w:pStyle w:val="BodyText"/>
      </w:pPr>
    </w:p>
    <w:p w14:paraId="46BD36FE" w14:textId="70C32C46" w:rsidR="00E65BAC" w:rsidRDefault="00E65BAC" w:rsidP="00E65BAC">
      <w:pPr>
        <w:pStyle w:val="Heading1"/>
        <w:numPr>
          <w:ilvl w:val="0"/>
          <w:numId w:val="0"/>
        </w:numPr>
        <w:ind w:left="432" w:hanging="432"/>
        <w:rPr>
          <w:lang w:val="en-US"/>
        </w:rPr>
      </w:pPr>
      <w:r>
        <w:rPr>
          <w:lang w:val="en-US"/>
        </w:rPr>
        <w:t>Appendix: Simulation Assumptions</w:t>
      </w:r>
    </w:p>
    <w:p w14:paraId="63F388C9" w14:textId="52681E7D" w:rsidR="00E65BAC" w:rsidRDefault="00E65BAC" w:rsidP="00E65BAC">
      <w:pPr>
        <w:pStyle w:val="BodyText"/>
        <w:spacing w:after="0"/>
        <w:ind w:firstLine="475"/>
        <w:jc w:val="center"/>
        <w:rPr>
          <w:rFonts w:cs="Calibri"/>
        </w:rPr>
      </w:pPr>
      <w:r w:rsidRPr="000A7EB7">
        <w:rPr>
          <w:rFonts w:cs="Calibri"/>
        </w:rPr>
        <w:t xml:space="preserve">Table 1: </w:t>
      </w:r>
      <w:r>
        <w:rPr>
          <w:rFonts w:cs="Calibri"/>
        </w:rPr>
        <w:t>Transparent TxD and Baseline Simulation Parameters</w:t>
      </w:r>
      <w:r w:rsidR="00BA572E">
        <w:rPr>
          <w:rFonts w:cs="Calibri"/>
        </w:rPr>
        <w:t xml:space="preserve"> for PUSCH</w:t>
      </w:r>
    </w:p>
    <w:p w14:paraId="10D3710C" w14:textId="77777777" w:rsidR="00E65BAC" w:rsidRPr="00B302E9" w:rsidRDefault="00E65BAC" w:rsidP="00E65BAC">
      <w:pPr>
        <w:pStyle w:val="BodyText"/>
        <w:spacing w:after="0"/>
        <w:ind w:firstLine="475"/>
        <w:jc w:val="center"/>
      </w:pP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80" w:firstRow="0" w:lastRow="0" w:firstColumn="1" w:lastColumn="0" w:noHBand="0" w:noVBand="1"/>
      </w:tblPr>
      <w:tblGrid>
        <w:gridCol w:w="1803"/>
        <w:gridCol w:w="6130"/>
      </w:tblGrid>
      <w:tr w:rsidR="00E65BAC" w:rsidRPr="00B302E9" w14:paraId="0AF85F19" w14:textId="77777777" w:rsidTr="24F2CFC3">
        <w:trPr>
          <w:jc w:val="center"/>
        </w:trPr>
        <w:tc>
          <w:tcPr>
            <w:tcW w:w="0" w:type="auto"/>
            <w:shd w:val="clear" w:color="auto" w:fill="auto"/>
            <w:hideMark/>
          </w:tcPr>
          <w:p w14:paraId="1AA48DA9" w14:textId="77777777" w:rsidR="00E65BAC" w:rsidRPr="000A7EB7" w:rsidRDefault="00E65BAC" w:rsidP="00FD4AFC">
            <w:pPr>
              <w:ind w:left="144"/>
              <w:jc w:val="both"/>
              <w:textAlignment w:val="baseline"/>
              <w:rPr>
                <w:rFonts w:cs="Calibri"/>
              </w:rPr>
            </w:pPr>
            <w:r w:rsidRPr="000A7EB7">
              <w:rPr>
                <w:rFonts w:cs="Calibri"/>
              </w:rPr>
              <w:t>System</w:t>
            </w:r>
          </w:p>
        </w:tc>
        <w:tc>
          <w:tcPr>
            <w:tcW w:w="0" w:type="auto"/>
            <w:shd w:val="clear" w:color="auto" w:fill="auto"/>
            <w:hideMark/>
          </w:tcPr>
          <w:p w14:paraId="35DB5DFE" w14:textId="77777777" w:rsidR="00E65BAC" w:rsidRPr="000A7EB7" w:rsidRDefault="00E65BAC" w:rsidP="00FD4AFC">
            <w:pPr>
              <w:ind w:left="144"/>
              <w:jc w:val="both"/>
              <w:textAlignment w:val="baseline"/>
              <w:rPr>
                <w:rFonts w:cs="Calibri"/>
              </w:rPr>
            </w:pPr>
            <w:r w:rsidRPr="000A7EB7">
              <w:rPr>
                <w:rFonts w:cs="Calibri"/>
              </w:rPr>
              <w:t>Carrier frequency 700MHz</w:t>
            </w:r>
          </w:p>
          <w:p w14:paraId="3BB1ABB2" w14:textId="77777777" w:rsidR="00E65BAC" w:rsidRPr="000A7EB7" w:rsidRDefault="00E65BAC" w:rsidP="00FD4AFC">
            <w:pPr>
              <w:ind w:left="144"/>
              <w:jc w:val="both"/>
              <w:textAlignment w:val="baseline"/>
              <w:rPr>
                <w:rFonts w:cs="Calibri"/>
              </w:rPr>
            </w:pPr>
            <w:r w:rsidRPr="000A7EB7">
              <w:rPr>
                <w:rFonts w:cs="Calibri"/>
              </w:rPr>
              <w:t>15 kHz SCS</w:t>
            </w:r>
          </w:p>
          <w:p w14:paraId="2A149E03" w14:textId="77777777" w:rsidR="00E65BAC" w:rsidRPr="000A7EB7" w:rsidRDefault="00E65BAC" w:rsidP="00FD4AFC">
            <w:pPr>
              <w:ind w:left="144"/>
              <w:jc w:val="both"/>
              <w:textAlignment w:val="baseline"/>
              <w:rPr>
                <w:rFonts w:cs="Calibri"/>
              </w:rPr>
            </w:pPr>
            <w:r w:rsidRPr="000A7EB7">
              <w:rPr>
                <w:rFonts w:cs="Calibri"/>
              </w:rPr>
              <w:t>FDD</w:t>
            </w:r>
          </w:p>
          <w:p w14:paraId="73FEA477" w14:textId="77777777" w:rsidR="00E65BAC" w:rsidRPr="00B302E9" w:rsidRDefault="00E65BAC" w:rsidP="00FD4AFC">
            <w:pPr>
              <w:ind w:left="144"/>
              <w:jc w:val="both"/>
              <w:textAlignment w:val="baseline"/>
            </w:pPr>
            <w:r w:rsidRPr="00B302E9">
              <w:t>2*10 MHz BWP (2*</w:t>
            </w:r>
            <w:r w:rsidRPr="000A7EB7">
              <w:rPr>
                <w:rFonts w:cs="Calibri"/>
              </w:rPr>
              <w:t>52</w:t>
            </w:r>
            <w:r w:rsidRPr="00B302E9">
              <w:t xml:space="preserve"> PRBs)</w:t>
            </w:r>
          </w:p>
        </w:tc>
      </w:tr>
      <w:tr w:rsidR="00E65BAC" w:rsidRPr="00B302E9" w14:paraId="610630AD" w14:textId="77777777" w:rsidTr="24F2CFC3">
        <w:trPr>
          <w:jc w:val="center"/>
        </w:trPr>
        <w:tc>
          <w:tcPr>
            <w:tcW w:w="0" w:type="auto"/>
            <w:shd w:val="clear" w:color="auto" w:fill="auto"/>
          </w:tcPr>
          <w:p w14:paraId="7564EAEA" w14:textId="77777777" w:rsidR="00E65BAC" w:rsidRPr="000A7EB7" w:rsidRDefault="00E65BAC" w:rsidP="00FD4AFC">
            <w:pPr>
              <w:ind w:left="144"/>
              <w:jc w:val="both"/>
              <w:textAlignment w:val="baseline"/>
              <w:rPr>
                <w:rFonts w:cs="Calibri"/>
              </w:rPr>
            </w:pPr>
            <w:r w:rsidRPr="000A7EB7">
              <w:rPr>
                <w:rFonts w:cs="Calibri"/>
              </w:rPr>
              <w:t>UE speed</w:t>
            </w:r>
          </w:p>
        </w:tc>
        <w:tc>
          <w:tcPr>
            <w:tcW w:w="0" w:type="auto"/>
            <w:shd w:val="clear" w:color="auto" w:fill="auto"/>
          </w:tcPr>
          <w:p w14:paraId="3B9512FC" w14:textId="77777777" w:rsidR="00E65BAC" w:rsidRPr="000A7EB7" w:rsidRDefault="00E65BAC" w:rsidP="00FD4AFC">
            <w:pPr>
              <w:ind w:left="144"/>
              <w:jc w:val="both"/>
              <w:textAlignment w:val="baseline"/>
              <w:rPr>
                <w:rFonts w:cs="Calibri"/>
              </w:rPr>
            </w:pPr>
            <w:r w:rsidRPr="000A7EB7">
              <w:rPr>
                <w:rFonts w:cs="Calibri"/>
              </w:rPr>
              <w:t>3k</w:t>
            </w:r>
            <w:r>
              <w:rPr>
                <w:rFonts w:cs="Calibri"/>
              </w:rPr>
              <w:t>m</w:t>
            </w:r>
            <w:r w:rsidRPr="000A7EB7">
              <w:rPr>
                <w:rFonts w:cs="Calibri"/>
              </w:rPr>
              <w:t>ph</w:t>
            </w:r>
          </w:p>
        </w:tc>
      </w:tr>
      <w:tr w:rsidR="00E65BAC" w:rsidRPr="00B302E9" w14:paraId="3DA131AD" w14:textId="77777777" w:rsidTr="24F2CFC3">
        <w:trPr>
          <w:jc w:val="center"/>
        </w:trPr>
        <w:tc>
          <w:tcPr>
            <w:tcW w:w="0" w:type="auto"/>
            <w:shd w:val="clear" w:color="auto" w:fill="auto"/>
          </w:tcPr>
          <w:p w14:paraId="4586429A" w14:textId="77777777" w:rsidR="00E65BAC" w:rsidRPr="000A7EB7" w:rsidRDefault="00E65BAC" w:rsidP="00FD4AFC">
            <w:pPr>
              <w:ind w:left="144"/>
              <w:jc w:val="both"/>
              <w:textAlignment w:val="baseline"/>
              <w:rPr>
                <w:rFonts w:cs="Calibri"/>
              </w:rPr>
            </w:pPr>
            <w:r w:rsidRPr="000A7EB7">
              <w:rPr>
                <w:rFonts w:cs="Calibri"/>
              </w:rPr>
              <w:t>Payload</w:t>
            </w:r>
          </w:p>
        </w:tc>
        <w:tc>
          <w:tcPr>
            <w:tcW w:w="0" w:type="auto"/>
            <w:shd w:val="clear" w:color="auto" w:fill="auto"/>
          </w:tcPr>
          <w:p w14:paraId="4AB5DB0C" w14:textId="58204310" w:rsidR="00E65BAC" w:rsidRPr="000A7EB7" w:rsidRDefault="00126AF9" w:rsidP="00FD4AFC">
            <w:pPr>
              <w:ind w:left="144"/>
              <w:jc w:val="both"/>
              <w:textAlignment w:val="baseline"/>
              <w:rPr>
                <w:rFonts w:cs="Calibri"/>
              </w:rPr>
            </w:pPr>
            <w:r>
              <w:rPr>
                <w:rFonts w:cs="Calibri"/>
              </w:rPr>
              <w:t>MCS0</w:t>
            </w:r>
          </w:p>
        </w:tc>
      </w:tr>
      <w:tr w:rsidR="00E65BAC" w:rsidRPr="00B302E9" w14:paraId="1DE96438" w14:textId="77777777" w:rsidTr="24F2CFC3">
        <w:trPr>
          <w:jc w:val="center"/>
        </w:trPr>
        <w:tc>
          <w:tcPr>
            <w:tcW w:w="0" w:type="auto"/>
            <w:shd w:val="clear" w:color="auto" w:fill="auto"/>
            <w:hideMark/>
          </w:tcPr>
          <w:p w14:paraId="6BFB9D46" w14:textId="77777777" w:rsidR="00E65BAC" w:rsidRPr="000A7EB7" w:rsidRDefault="00E65BAC" w:rsidP="00FD4AFC">
            <w:pPr>
              <w:ind w:left="144"/>
              <w:jc w:val="both"/>
              <w:textAlignment w:val="baseline"/>
              <w:rPr>
                <w:rFonts w:cs="Calibri"/>
              </w:rPr>
            </w:pPr>
            <w:r w:rsidRPr="000A7EB7">
              <w:rPr>
                <w:rFonts w:cs="Calibri"/>
              </w:rPr>
              <w:t>Channel</w:t>
            </w:r>
          </w:p>
        </w:tc>
        <w:tc>
          <w:tcPr>
            <w:tcW w:w="0" w:type="auto"/>
            <w:shd w:val="clear" w:color="auto" w:fill="auto"/>
            <w:hideMark/>
          </w:tcPr>
          <w:p w14:paraId="2ECD880F" w14:textId="167B23B9" w:rsidR="00E65BAC" w:rsidRPr="00B302E9" w:rsidRDefault="00E65BAC" w:rsidP="00FD4AFC">
            <w:pPr>
              <w:ind w:left="144"/>
              <w:jc w:val="both"/>
              <w:textAlignment w:val="baseline"/>
            </w:pPr>
            <w:r w:rsidRPr="00B302E9">
              <w:t xml:space="preserve">TDL-C (NLoS), 30ns delay spread, </w:t>
            </w:r>
            <w:r>
              <w:t>low</w:t>
            </w:r>
            <w:r w:rsidR="00202657">
              <w:t xml:space="preserve"> </w:t>
            </w:r>
            <w:r>
              <w:t xml:space="preserve">or high </w:t>
            </w:r>
            <w:r w:rsidRPr="00B302E9">
              <w:t>correlation</w:t>
            </w:r>
          </w:p>
        </w:tc>
      </w:tr>
      <w:tr w:rsidR="00E65BAC" w:rsidRPr="00B302E9" w14:paraId="317536F1" w14:textId="77777777" w:rsidTr="24F2CFC3">
        <w:trPr>
          <w:jc w:val="center"/>
        </w:trPr>
        <w:tc>
          <w:tcPr>
            <w:tcW w:w="0" w:type="auto"/>
            <w:shd w:val="clear" w:color="auto" w:fill="auto"/>
            <w:hideMark/>
          </w:tcPr>
          <w:p w14:paraId="1DB677BC" w14:textId="77777777" w:rsidR="00E65BAC" w:rsidRPr="000A7EB7" w:rsidRDefault="00E65BAC" w:rsidP="00FD4AFC">
            <w:pPr>
              <w:ind w:left="144"/>
              <w:jc w:val="both"/>
              <w:textAlignment w:val="baseline"/>
              <w:rPr>
                <w:rFonts w:cs="Calibri"/>
              </w:rPr>
            </w:pPr>
            <w:r w:rsidRPr="000A7EB7">
              <w:rPr>
                <w:rFonts w:cs="Calibri"/>
              </w:rPr>
              <w:t>Antennas</w:t>
            </w:r>
          </w:p>
        </w:tc>
        <w:tc>
          <w:tcPr>
            <w:tcW w:w="0" w:type="auto"/>
            <w:shd w:val="clear" w:color="auto" w:fill="auto"/>
            <w:hideMark/>
          </w:tcPr>
          <w:p w14:paraId="7C1C3465" w14:textId="77777777" w:rsidR="00E65BAC" w:rsidRDefault="00E65BAC" w:rsidP="00FD4AFC">
            <w:pPr>
              <w:ind w:left="144"/>
              <w:jc w:val="both"/>
              <w:textAlignment w:val="baseline"/>
            </w:pPr>
            <w:r w:rsidRPr="00B302E9">
              <w:t>1T2R</w:t>
            </w:r>
            <w:r>
              <w:t>: PA transmitting at power class</w:t>
            </w:r>
          </w:p>
          <w:p w14:paraId="6113035F" w14:textId="77777777" w:rsidR="00E65BAC" w:rsidRPr="00B302E9" w:rsidRDefault="00E65BAC" w:rsidP="00FD4AFC">
            <w:pPr>
              <w:ind w:left="144"/>
              <w:jc w:val="both"/>
              <w:textAlignment w:val="baseline"/>
            </w:pPr>
            <w:r>
              <w:t>2T2R (with CDD, 2 PAs transmitting at half the power of the power class)</w:t>
            </w:r>
          </w:p>
        </w:tc>
      </w:tr>
      <w:tr w:rsidR="00E65BAC" w:rsidRPr="00C9626E" w14:paraId="183B8864" w14:textId="77777777" w:rsidTr="24F2CFC3">
        <w:trPr>
          <w:jc w:val="center"/>
        </w:trPr>
        <w:tc>
          <w:tcPr>
            <w:tcW w:w="0" w:type="auto"/>
            <w:shd w:val="clear" w:color="auto" w:fill="auto"/>
          </w:tcPr>
          <w:p w14:paraId="78C996CF" w14:textId="77777777" w:rsidR="00E65BAC" w:rsidRPr="000A7EB7" w:rsidRDefault="00E65BAC" w:rsidP="00FD4AFC">
            <w:pPr>
              <w:ind w:left="144"/>
              <w:jc w:val="both"/>
              <w:textAlignment w:val="baseline"/>
              <w:rPr>
                <w:rFonts w:cs="Calibri"/>
              </w:rPr>
            </w:pPr>
            <w:r>
              <w:rPr>
                <w:rFonts w:cs="Calibri"/>
              </w:rPr>
              <w:t>Diversity Technique</w:t>
            </w:r>
          </w:p>
        </w:tc>
        <w:tc>
          <w:tcPr>
            <w:tcW w:w="0" w:type="auto"/>
            <w:shd w:val="clear" w:color="auto" w:fill="auto"/>
          </w:tcPr>
          <w:p w14:paraId="68AB8C8A" w14:textId="77777777" w:rsidR="00E65BAC" w:rsidRPr="00B302E9" w:rsidRDefault="00E65BAC" w:rsidP="00FD4AFC">
            <w:pPr>
              <w:ind w:left="144"/>
              <w:jc w:val="both"/>
              <w:textAlignment w:val="baseline"/>
            </w:pPr>
            <w:r>
              <w:t>CDD, with cyclic delays in units of Ts</w:t>
            </w:r>
          </w:p>
        </w:tc>
      </w:tr>
      <w:tr w:rsidR="00E65BAC" w:rsidRPr="00C9626E" w14:paraId="0A8BFA03" w14:textId="77777777" w:rsidTr="24F2CFC3">
        <w:trPr>
          <w:jc w:val="center"/>
        </w:trPr>
        <w:tc>
          <w:tcPr>
            <w:tcW w:w="0" w:type="auto"/>
            <w:shd w:val="clear" w:color="auto" w:fill="auto"/>
          </w:tcPr>
          <w:p w14:paraId="3EEC1A47" w14:textId="77777777" w:rsidR="00E65BAC" w:rsidRPr="000A7EB7" w:rsidRDefault="00E65BAC" w:rsidP="00FD4AFC">
            <w:pPr>
              <w:ind w:left="144"/>
              <w:jc w:val="both"/>
              <w:textAlignment w:val="baseline"/>
              <w:rPr>
                <w:rFonts w:cs="Calibri"/>
              </w:rPr>
            </w:pPr>
            <w:r w:rsidRPr="000A7EB7">
              <w:rPr>
                <w:rFonts w:cs="Calibri"/>
              </w:rPr>
              <w:t>Frequency hopping</w:t>
            </w:r>
          </w:p>
        </w:tc>
        <w:tc>
          <w:tcPr>
            <w:tcW w:w="0" w:type="auto"/>
            <w:shd w:val="clear" w:color="auto" w:fill="auto"/>
          </w:tcPr>
          <w:p w14:paraId="02B8E73E" w14:textId="3E2B7C5A" w:rsidR="00E65BAC" w:rsidRPr="00B302E9" w:rsidRDefault="00E65BAC" w:rsidP="00FD4AFC">
            <w:pPr>
              <w:ind w:left="144"/>
              <w:jc w:val="both"/>
              <w:textAlignment w:val="baseline"/>
            </w:pPr>
            <w:r>
              <w:t>Not Enabled</w:t>
            </w:r>
          </w:p>
        </w:tc>
      </w:tr>
      <w:tr w:rsidR="00E65BAC" w:rsidRPr="00C9626E" w14:paraId="540E02EA" w14:textId="77777777" w:rsidTr="24F2CFC3">
        <w:trPr>
          <w:jc w:val="center"/>
        </w:trPr>
        <w:tc>
          <w:tcPr>
            <w:tcW w:w="0" w:type="auto"/>
            <w:shd w:val="clear" w:color="auto" w:fill="auto"/>
          </w:tcPr>
          <w:p w14:paraId="3702F951" w14:textId="77777777" w:rsidR="00E65BAC" w:rsidRPr="000A7EB7" w:rsidRDefault="00E65BAC" w:rsidP="00FD4AFC">
            <w:pPr>
              <w:ind w:left="144"/>
              <w:jc w:val="both"/>
              <w:textAlignment w:val="baseline"/>
              <w:rPr>
                <w:rFonts w:cs="Calibri"/>
              </w:rPr>
            </w:pPr>
            <w:r w:rsidRPr="000A7EB7">
              <w:rPr>
                <w:rFonts w:cs="Calibri"/>
              </w:rPr>
              <w:t>Impairments</w:t>
            </w:r>
          </w:p>
        </w:tc>
        <w:tc>
          <w:tcPr>
            <w:tcW w:w="0" w:type="auto"/>
            <w:shd w:val="clear" w:color="auto" w:fill="auto"/>
          </w:tcPr>
          <w:p w14:paraId="08237A0D" w14:textId="77777777" w:rsidR="00E65BAC" w:rsidRPr="00B302E9" w:rsidRDefault="00E65BAC" w:rsidP="00FD4AFC">
            <w:pPr>
              <w:ind w:left="144"/>
              <w:jc w:val="both"/>
              <w:textAlignment w:val="baseline"/>
            </w:pPr>
            <w:r>
              <w:t>None; non-ideal channel estimation used</w:t>
            </w:r>
          </w:p>
        </w:tc>
      </w:tr>
      <w:tr w:rsidR="00E65BAC" w:rsidRPr="00C9626E" w14:paraId="3204B998" w14:textId="77777777" w:rsidTr="24F2CFC3">
        <w:trPr>
          <w:jc w:val="center"/>
        </w:trPr>
        <w:tc>
          <w:tcPr>
            <w:tcW w:w="0" w:type="auto"/>
            <w:shd w:val="clear" w:color="auto" w:fill="auto"/>
          </w:tcPr>
          <w:p w14:paraId="38929BB5" w14:textId="77777777" w:rsidR="00E65BAC" w:rsidRPr="000A7EB7" w:rsidRDefault="00E65BAC" w:rsidP="00FD4AFC">
            <w:pPr>
              <w:ind w:left="144"/>
              <w:jc w:val="both"/>
              <w:textAlignment w:val="baseline"/>
              <w:rPr>
                <w:rFonts w:cs="Calibri"/>
              </w:rPr>
            </w:pPr>
            <w:r w:rsidRPr="002416BF">
              <w:rPr>
                <w:rFonts w:cs="Calibri"/>
              </w:rPr>
              <w:t>Number of DMRS</w:t>
            </w:r>
          </w:p>
        </w:tc>
        <w:tc>
          <w:tcPr>
            <w:tcW w:w="0" w:type="auto"/>
            <w:shd w:val="clear" w:color="auto" w:fill="auto"/>
          </w:tcPr>
          <w:p w14:paraId="6B6C3A48" w14:textId="2CB870D0" w:rsidR="00E65BAC" w:rsidRDefault="00A77529" w:rsidP="00FD4AFC">
            <w:pPr>
              <w:ind w:left="144"/>
              <w:jc w:val="both"/>
              <w:textAlignment w:val="baseline"/>
            </w:pPr>
            <w:r>
              <w:t>2</w:t>
            </w:r>
          </w:p>
        </w:tc>
      </w:tr>
    </w:tbl>
    <w:p w14:paraId="7A50C32C" w14:textId="77777777" w:rsidR="00E65BAC" w:rsidRDefault="00E65BAC" w:rsidP="00E65BAC">
      <w:pPr>
        <w:pStyle w:val="BodyText"/>
      </w:pPr>
    </w:p>
    <w:p w14:paraId="5F7947F2" w14:textId="75029225" w:rsidR="009F4E6E" w:rsidRDefault="009F4E6E" w:rsidP="001977B2">
      <w:pPr>
        <w:pStyle w:val="BodyText"/>
      </w:pPr>
    </w:p>
    <w:p w14:paraId="58D74CE3" w14:textId="77777777" w:rsidR="00763013" w:rsidRDefault="00763013" w:rsidP="00344B3E">
      <w:pPr>
        <w:tabs>
          <w:tab w:val="right" w:pos="9639"/>
        </w:tabs>
        <w:rPr>
          <w:rFonts w:ascii="Arial" w:hAnsi="Arial" w:cs="Arial"/>
          <w:b/>
          <w:bCs/>
          <w:sz w:val="24"/>
          <w:szCs w:val="24"/>
        </w:rPr>
      </w:pPr>
    </w:p>
    <w:p w14:paraId="5AE5F53A" w14:textId="77777777" w:rsidR="00763013" w:rsidRDefault="00763013" w:rsidP="00344B3E">
      <w:pPr>
        <w:tabs>
          <w:tab w:val="right" w:pos="9639"/>
        </w:tabs>
        <w:rPr>
          <w:rFonts w:ascii="Arial" w:hAnsi="Arial" w:cs="Arial"/>
          <w:b/>
          <w:bCs/>
          <w:sz w:val="24"/>
          <w:szCs w:val="24"/>
        </w:rPr>
      </w:pPr>
    </w:p>
    <w:p w14:paraId="6C7C0B80" w14:textId="77777777" w:rsidR="00763013" w:rsidRDefault="00763013" w:rsidP="00344B3E">
      <w:pPr>
        <w:tabs>
          <w:tab w:val="right" w:pos="9639"/>
        </w:tabs>
        <w:rPr>
          <w:rFonts w:ascii="Arial" w:hAnsi="Arial" w:cs="Arial"/>
          <w:b/>
          <w:bCs/>
          <w:sz w:val="24"/>
          <w:szCs w:val="24"/>
        </w:rPr>
      </w:pPr>
    </w:p>
    <w:p w14:paraId="31A375FC" w14:textId="77777777" w:rsidR="00763013" w:rsidRDefault="00763013" w:rsidP="00344B3E">
      <w:pPr>
        <w:tabs>
          <w:tab w:val="right" w:pos="9639"/>
        </w:tabs>
        <w:rPr>
          <w:rFonts w:ascii="Arial" w:hAnsi="Arial" w:cs="Arial"/>
          <w:b/>
          <w:bCs/>
          <w:sz w:val="24"/>
          <w:szCs w:val="24"/>
        </w:rPr>
      </w:pPr>
    </w:p>
    <w:p w14:paraId="717ECDE5" w14:textId="77777777" w:rsidR="00763013" w:rsidRDefault="00763013" w:rsidP="00344B3E">
      <w:pPr>
        <w:tabs>
          <w:tab w:val="right" w:pos="9639"/>
        </w:tabs>
        <w:rPr>
          <w:rFonts w:ascii="Arial" w:hAnsi="Arial" w:cs="Arial"/>
          <w:b/>
          <w:bCs/>
          <w:sz w:val="24"/>
          <w:szCs w:val="24"/>
        </w:rPr>
      </w:pPr>
    </w:p>
    <w:p w14:paraId="29A58B34" w14:textId="77777777" w:rsidR="00763013" w:rsidRDefault="00763013" w:rsidP="00344B3E">
      <w:pPr>
        <w:tabs>
          <w:tab w:val="right" w:pos="9639"/>
        </w:tabs>
        <w:rPr>
          <w:rFonts w:ascii="Arial" w:hAnsi="Arial" w:cs="Arial"/>
          <w:b/>
          <w:bCs/>
          <w:sz w:val="24"/>
          <w:szCs w:val="24"/>
        </w:rPr>
      </w:pPr>
    </w:p>
    <w:p w14:paraId="2196AEBD" w14:textId="77777777" w:rsidR="00763013" w:rsidRDefault="00763013" w:rsidP="00344B3E">
      <w:pPr>
        <w:tabs>
          <w:tab w:val="right" w:pos="9639"/>
        </w:tabs>
        <w:rPr>
          <w:rFonts w:ascii="Arial" w:hAnsi="Arial" w:cs="Arial"/>
          <w:b/>
          <w:bCs/>
          <w:sz w:val="24"/>
          <w:szCs w:val="24"/>
        </w:rPr>
      </w:pPr>
    </w:p>
    <w:p w14:paraId="3D47CB19" w14:textId="77777777" w:rsidR="00763013" w:rsidRDefault="00763013" w:rsidP="00344B3E">
      <w:pPr>
        <w:tabs>
          <w:tab w:val="right" w:pos="9639"/>
        </w:tabs>
        <w:rPr>
          <w:rFonts w:ascii="Arial" w:hAnsi="Arial" w:cs="Arial"/>
          <w:b/>
          <w:bCs/>
          <w:sz w:val="24"/>
          <w:szCs w:val="24"/>
        </w:rPr>
      </w:pPr>
    </w:p>
    <w:p w14:paraId="7B57FB24" w14:textId="77777777" w:rsidR="00763013" w:rsidRDefault="00763013" w:rsidP="00344B3E">
      <w:pPr>
        <w:tabs>
          <w:tab w:val="right" w:pos="9639"/>
        </w:tabs>
        <w:rPr>
          <w:rFonts w:ascii="Arial" w:hAnsi="Arial" w:cs="Arial"/>
          <w:b/>
          <w:bCs/>
          <w:sz w:val="24"/>
          <w:szCs w:val="24"/>
        </w:rPr>
      </w:pPr>
    </w:p>
    <w:p w14:paraId="3EF34B36" w14:textId="77777777" w:rsidR="00763013" w:rsidRDefault="00763013" w:rsidP="00344B3E">
      <w:pPr>
        <w:tabs>
          <w:tab w:val="right" w:pos="9639"/>
        </w:tabs>
        <w:rPr>
          <w:rFonts w:ascii="Arial" w:hAnsi="Arial" w:cs="Arial"/>
          <w:b/>
          <w:bCs/>
          <w:sz w:val="24"/>
          <w:szCs w:val="24"/>
        </w:rPr>
      </w:pPr>
    </w:p>
    <w:p w14:paraId="0DCDCB37" w14:textId="77777777" w:rsidR="00763013" w:rsidRDefault="00763013" w:rsidP="00344B3E">
      <w:pPr>
        <w:tabs>
          <w:tab w:val="right" w:pos="9639"/>
        </w:tabs>
        <w:rPr>
          <w:rFonts w:ascii="Arial" w:hAnsi="Arial" w:cs="Arial"/>
          <w:b/>
          <w:bCs/>
          <w:sz w:val="24"/>
          <w:szCs w:val="24"/>
        </w:rPr>
      </w:pPr>
    </w:p>
    <w:p w14:paraId="31B5DA77" w14:textId="77777777" w:rsidR="00140CBE" w:rsidRDefault="00140CBE" w:rsidP="00344B3E">
      <w:pPr>
        <w:tabs>
          <w:tab w:val="right" w:pos="9639"/>
        </w:tabs>
        <w:rPr>
          <w:rFonts w:ascii="Arial" w:hAnsi="Arial" w:cs="Arial"/>
          <w:b/>
          <w:bCs/>
          <w:sz w:val="24"/>
          <w:szCs w:val="24"/>
        </w:rPr>
      </w:pPr>
    </w:p>
    <w:p w14:paraId="6F5CEA13" w14:textId="77777777" w:rsidR="00140CBE" w:rsidRDefault="00140CBE" w:rsidP="00344B3E">
      <w:pPr>
        <w:tabs>
          <w:tab w:val="right" w:pos="9639"/>
        </w:tabs>
        <w:rPr>
          <w:rFonts w:ascii="Arial" w:hAnsi="Arial" w:cs="Arial"/>
          <w:b/>
          <w:bCs/>
          <w:sz w:val="24"/>
          <w:szCs w:val="24"/>
        </w:rPr>
      </w:pPr>
    </w:p>
    <w:p w14:paraId="685CB0F3" w14:textId="77777777" w:rsidR="00140CBE" w:rsidRDefault="00140CBE" w:rsidP="00344B3E">
      <w:pPr>
        <w:tabs>
          <w:tab w:val="right" w:pos="9639"/>
        </w:tabs>
        <w:rPr>
          <w:rFonts w:ascii="Arial" w:hAnsi="Arial" w:cs="Arial"/>
          <w:b/>
          <w:bCs/>
          <w:sz w:val="24"/>
          <w:szCs w:val="24"/>
        </w:rPr>
      </w:pPr>
    </w:p>
    <w:p w14:paraId="7F7F5E1F" w14:textId="77777777" w:rsidR="00140CBE" w:rsidRDefault="00140CBE" w:rsidP="00344B3E">
      <w:pPr>
        <w:tabs>
          <w:tab w:val="right" w:pos="9639"/>
        </w:tabs>
        <w:rPr>
          <w:rFonts w:ascii="Arial" w:hAnsi="Arial" w:cs="Arial"/>
          <w:b/>
          <w:bCs/>
          <w:sz w:val="24"/>
          <w:szCs w:val="24"/>
        </w:rPr>
      </w:pPr>
    </w:p>
    <w:p w14:paraId="531095B3" w14:textId="77777777" w:rsidR="00140CBE" w:rsidRDefault="00140CBE" w:rsidP="00344B3E">
      <w:pPr>
        <w:tabs>
          <w:tab w:val="right" w:pos="9639"/>
        </w:tabs>
        <w:rPr>
          <w:rFonts w:ascii="Arial" w:hAnsi="Arial" w:cs="Arial"/>
          <w:b/>
          <w:bCs/>
          <w:sz w:val="24"/>
          <w:szCs w:val="24"/>
        </w:rPr>
      </w:pPr>
    </w:p>
    <w:p w14:paraId="1F1D5BC9" w14:textId="77777777" w:rsidR="00140CBE" w:rsidRDefault="00140CBE" w:rsidP="00344B3E">
      <w:pPr>
        <w:tabs>
          <w:tab w:val="right" w:pos="9639"/>
        </w:tabs>
        <w:rPr>
          <w:rFonts w:ascii="Arial" w:hAnsi="Arial" w:cs="Arial"/>
          <w:b/>
          <w:bCs/>
          <w:sz w:val="24"/>
          <w:szCs w:val="24"/>
        </w:rPr>
      </w:pPr>
    </w:p>
    <w:p w14:paraId="5B17A32C" w14:textId="42DC10EE" w:rsidR="00140CBE" w:rsidRDefault="00140CBE" w:rsidP="00344B3E">
      <w:pPr>
        <w:tabs>
          <w:tab w:val="right" w:pos="9639"/>
        </w:tabs>
        <w:rPr>
          <w:rFonts w:ascii="Arial" w:hAnsi="Arial" w:cs="Arial"/>
          <w:b/>
          <w:bCs/>
          <w:sz w:val="24"/>
          <w:szCs w:val="24"/>
        </w:rPr>
      </w:pPr>
    </w:p>
    <w:p w14:paraId="0F825128" w14:textId="15702514" w:rsidR="00140CBE" w:rsidRDefault="00140CBE" w:rsidP="00344B3E">
      <w:pPr>
        <w:tabs>
          <w:tab w:val="right" w:pos="9639"/>
        </w:tabs>
        <w:rPr>
          <w:rFonts w:ascii="Arial" w:hAnsi="Arial" w:cs="Arial"/>
          <w:b/>
          <w:bCs/>
          <w:sz w:val="24"/>
          <w:szCs w:val="24"/>
        </w:rPr>
      </w:pPr>
    </w:p>
    <w:p w14:paraId="0A4B36ED" w14:textId="77777777" w:rsidR="00140CBE" w:rsidRDefault="00140CBE" w:rsidP="00344B3E">
      <w:pPr>
        <w:tabs>
          <w:tab w:val="right" w:pos="9639"/>
        </w:tabs>
        <w:rPr>
          <w:rFonts w:ascii="Arial" w:hAnsi="Arial" w:cs="Arial"/>
          <w:b/>
          <w:bCs/>
          <w:sz w:val="24"/>
          <w:szCs w:val="24"/>
        </w:rPr>
      </w:pPr>
    </w:p>
    <w:p w14:paraId="6B21CA3A" w14:textId="13E6AECE" w:rsidR="00140CBE" w:rsidRDefault="00140CBE" w:rsidP="00344B3E">
      <w:pPr>
        <w:tabs>
          <w:tab w:val="right" w:pos="9639"/>
        </w:tabs>
        <w:rPr>
          <w:rFonts w:ascii="Arial" w:hAnsi="Arial" w:cs="Arial"/>
          <w:b/>
          <w:bCs/>
          <w:sz w:val="24"/>
          <w:szCs w:val="24"/>
        </w:rPr>
      </w:pPr>
    </w:p>
    <w:p w14:paraId="13CCC7A4" w14:textId="7FD3CD0E" w:rsidR="004C58D2" w:rsidRDefault="004C58D2" w:rsidP="00344B3E">
      <w:pPr>
        <w:tabs>
          <w:tab w:val="right" w:pos="9639"/>
        </w:tabs>
        <w:rPr>
          <w:rFonts w:ascii="Arial" w:hAnsi="Arial" w:cs="Arial"/>
          <w:b/>
          <w:bCs/>
          <w:sz w:val="24"/>
          <w:szCs w:val="24"/>
        </w:rPr>
      </w:pPr>
    </w:p>
    <w:p w14:paraId="7B6E9668" w14:textId="2CFA1A4F" w:rsidR="004C58D2" w:rsidRDefault="004C58D2" w:rsidP="00344B3E">
      <w:pPr>
        <w:tabs>
          <w:tab w:val="right" w:pos="9639"/>
        </w:tabs>
        <w:rPr>
          <w:rFonts w:ascii="Arial" w:hAnsi="Arial" w:cs="Arial"/>
          <w:b/>
          <w:bCs/>
          <w:sz w:val="24"/>
          <w:szCs w:val="24"/>
        </w:rPr>
      </w:pPr>
    </w:p>
    <w:p w14:paraId="11D01727" w14:textId="77777777" w:rsidR="004C58D2" w:rsidRDefault="004C58D2" w:rsidP="00344B3E">
      <w:pPr>
        <w:tabs>
          <w:tab w:val="right" w:pos="9639"/>
        </w:tabs>
        <w:rPr>
          <w:rFonts w:ascii="Arial" w:hAnsi="Arial" w:cs="Arial"/>
          <w:b/>
          <w:bCs/>
          <w:sz w:val="24"/>
          <w:szCs w:val="24"/>
        </w:rPr>
      </w:pPr>
    </w:p>
    <w:p w14:paraId="6BC385F8" w14:textId="77777777" w:rsidR="00140CBE" w:rsidRDefault="00140CBE" w:rsidP="00344B3E">
      <w:pPr>
        <w:tabs>
          <w:tab w:val="right" w:pos="9639"/>
        </w:tabs>
        <w:rPr>
          <w:rFonts w:ascii="Arial" w:hAnsi="Arial" w:cs="Arial"/>
          <w:b/>
          <w:bCs/>
          <w:sz w:val="24"/>
          <w:szCs w:val="24"/>
        </w:rPr>
      </w:pPr>
    </w:p>
    <w:p w14:paraId="74E055DF" w14:textId="77777777" w:rsidR="00140CBE" w:rsidRDefault="00140CBE" w:rsidP="00344B3E">
      <w:pPr>
        <w:tabs>
          <w:tab w:val="right" w:pos="9639"/>
        </w:tabs>
        <w:rPr>
          <w:rFonts w:ascii="Arial" w:hAnsi="Arial" w:cs="Arial"/>
          <w:b/>
          <w:bCs/>
          <w:sz w:val="24"/>
          <w:szCs w:val="24"/>
        </w:rPr>
      </w:pPr>
    </w:p>
    <w:p w14:paraId="2BE8B50A" w14:textId="77777777" w:rsidR="00140CBE" w:rsidRDefault="00140CBE" w:rsidP="00344B3E">
      <w:pPr>
        <w:tabs>
          <w:tab w:val="right" w:pos="9639"/>
        </w:tabs>
        <w:rPr>
          <w:rFonts w:ascii="Arial" w:hAnsi="Arial" w:cs="Arial"/>
          <w:b/>
          <w:bCs/>
          <w:sz w:val="24"/>
          <w:szCs w:val="24"/>
        </w:rPr>
      </w:pPr>
    </w:p>
    <w:p w14:paraId="468F1ED9" w14:textId="5D4B46D1" w:rsidR="00344B3E" w:rsidRPr="001F4EF6" w:rsidRDefault="00344B3E" w:rsidP="00344B3E">
      <w:pPr>
        <w:tabs>
          <w:tab w:val="right" w:pos="9639"/>
        </w:tabs>
        <w:rPr>
          <w:rFonts w:ascii="Arial" w:hAnsi="Arial" w:cs="Arial"/>
          <w:b/>
          <w:bCs/>
          <w:sz w:val="24"/>
          <w:szCs w:val="24"/>
        </w:rPr>
      </w:pPr>
      <w:r w:rsidRPr="001F4EF6">
        <w:rPr>
          <w:rFonts w:ascii="Arial" w:hAnsi="Arial" w:cs="Arial"/>
          <w:b/>
          <w:bCs/>
          <w:sz w:val="24"/>
          <w:szCs w:val="24"/>
        </w:rPr>
        <w:lastRenderedPageBreak/>
        <w:t>3GPP TSG-RAN WG4 Meeting #99</w:t>
      </w:r>
      <w:r w:rsidR="00B660BB" w:rsidRPr="001F4EF6">
        <w:rPr>
          <w:rFonts w:ascii="Arial" w:hAnsi="Arial" w:cs="Arial"/>
          <w:b/>
          <w:bCs/>
          <w:sz w:val="24"/>
          <w:szCs w:val="24"/>
        </w:rPr>
        <w:t>-e</w:t>
      </w:r>
      <w:r w:rsidRPr="001F4EF6">
        <w:rPr>
          <w:rFonts w:ascii="Arial" w:hAnsi="Arial" w:cs="Arial"/>
          <w:b/>
          <w:bCs/>
          <w:sz w:val="24"/>
          <w:szCs w:val="24"/>
        </w:rPr>
        <w:tab/>
        <w:t>R4-</w:t>
      </w:r>
      <w:r w:rsidR="00B660BB" w:rsidRPr="001F4EF6">
        <w:rPr>
          <w:rFonts w:ascii="Arial" w:hAnsi="Arial" w:cs="Arial"/>
          <w:b/>
          <w:bCs/>
          <w:sz w:val="24"/>
          <w:szCs w:val="24"/>
        </w:rPr>
        <w:t>21</w:t>
      </w:r>
      <w:r w:rsidRPr="001F4EF6">
        <w:rPr>
          <w:rFonts w:ascii="Arial" w:hAnsi="Arial" w:cs="Arial"/>
          <w:b/>
          <w:bCs/>
          <w:sz w:val="24"/>
          <w:szCs w:val="24"/>
        </w:rPr>
        <w:t>XXXXX</w:t>
      </w:r>
    </w:p>
    <w:p w14:paraId="7B9F3EE6" w14:textId="650BDAE1" w:rsidR="00344B3E" w:rsidRPr="001F4EF6" w:rsidRDefault="00B660BB" w:rsidP="00344B3E">
      <w:pPr>
        <w:rPr>
          <w:rFonts w:ascii="Arial" w:hAnsi="Arial" w:cs="Arial"/>
          <w:color w:val="000000"/>
        </w:rPr>
      </w:pPr>
      <w:r w:rsidRPr="001F4EF6">
        <w:rPr>
          <w:rFonts w:ascii="Arial" w:hAnsi="Arial" w:cs="Arial"/>
          <w:b/>
          <w:bCs/>
          <w:color w:val="000000"/>
          <w:sz w:val="24"/>
          <w:szCs w:val="24"/>
        </w:rPr>
        <w:t>Electronic meeting</w:t>
      </w:r>
      <w:r w:rsidR="00344B3E" w:rsidRPr="001F4EF6">
        <w:rPr>
          <w:rFonts w:ascii="Arial" w:hAnsi="Arial" w:cs="Arial"/>
          <w:b/>
          <w:bCs/>
          <w:color w:val="000000"/>
          <w:sz w:val="24"/>
          <w:szCs w:val="24"/>
        </w:rPr>
        <w:t xml:space="preserve">, </w:t>
      </w:r>
      <w:r w:rsidRPr="001F4EF6">
        <w:rPr>
          <w:rFonts w:ascii="Arial" w:hAnsi="Arial" w:cs="Arial"/>
          <w:b/>
          <w:bCs/>
          <w:color w:val="000000"/>
          <w:sz w:val="24"/>
          <w:szCs w:val="24"/>
        </w:rPr>
        <w:t>19</w:t>
      </w:r>
      <w:r w:rsidR="00344B3E" w:rsidRPr="001F4EF6">
        <w:rPr>
          <w:rFonts w:ascii="Arial" w:hAnsi="Arial" w:cs="Arial"/>
          <w:b/>
          <w:bCs/>
          <w:color w:val="000000"/>
          <w:sz w:val="24"/>
          <w:szCs w:val="24"/>
        </w:rPr>
        <w:t xml:space="preserve"> – </w:t>
      </w:r>
      <w:r w:rsidRPr="001F4EF6">
        <w:rPr>
          <w:rFonts w:ascii="Arial" w:hAnsi="Arial" w:cs="Arial"/>
          <w:b/>
          <w:bCs/>
          <w:color w:val="000000"/>
          <w:sz w:val="24"/>
          <w:szCs w:val="24"/>
        </w:rPr>
        <w:t>27 May</w:t>
      </w:r>
      <w:r w:rsidR="00344B3E" w:rsidRPr="001F4EF6">
        <w:rPr>
          <w:rFonts w:ascii="Arial" w:hAnsi="Arial" w:cs="Arial"/>
          <w:b/>
          <w:bCs/>
          <w:color w:val="000000"/>
          <w:sz w:val="24"/>
          <w:szCs w:val="24"/>
        </w:rPr>
        <w:t xml:space="preserve"> 20</w:t>
      </w:r>
      <w:r w:rsidRPr="001F4EF6">
        <w:rPr>
          <w:rFonts w:ascii="Arial" w:hAnsi="Arial" w:cs="Arial"/>
          <w:b/>
          <w:bCs/>
          <w:color w:val="000000"/>
          <w:sz w:val="24"/>
          <w:szCs w:val="24"/>
        </w:rPr>
        <w:t>21</w:t>
      </w:r>
    </w:p>
    <w:p w14:paraId="273CF61E" w14:textId="02821412" w:rsidR="00344B3E" w:rsidRPr="001F4EF6" w:rsidRDefault="00344B3E" w:rsidP="00344B3E">
      <w:pPr>
        <w:spacing w:before="240" w:after="60"/>
        <w:ind w:left="1701" w:hanging="1701"/>
        <w:outlineLvl w:val="0"/>
        <w:rPr>
          <w:rFonts w:ascii="Arial" w:eastAsia="Times New Roman" w:hAnsi="Arial" w:cs="Arial"/>
          <w:b/>
          <w:bCs/>
          <w:color w:val="000000"/>
          <w:kern w:val="28"/>
        </w:rPr>
      </w:pPr>
      <w:r w:rsidRPr="001F4EF6">
        <w:rPr>
          <w:rFonts w:ascii="Arial" w:eastAsia="Times New Roman" w:hAnsi="Arial" w:cs="Arial"/>
          <w:b/>
          <w:bCs/>
          <w:color w:val="000000"/>
          <w:kern w:val="28"/>
        </w:rPr>
        <w:t>Title:</w:t>
      </w:r>
      <w:r w:rsidRPr="001F4EF6">
        <w:rPr>
          <w:rFonts w:ascii="Arial" w:eastAsia="Times New Roman" w:hAnsi="Arial" w:cs="Arial"/>
          <w:b/>
          <w:bCs/>
          <w:color w:val="000000"/>
          <w:kern w:val="28"/>
        </w:rPr>
        <w:tab/>
        <w:t xml:space="preserve">[DRAFT] </w:t>
      </w:r>
      <w:r w:rsidR="003227B2">
        <w:rPr>
          <w:rFonts w:ascii="Arial" w:hAnsi="Arial" w:cs="Arial"/>
        </w:rPr>
        <w:t xml:space="preserve">Reply </w:t>
      </w:r>
      <w:r w:rsidR="003227B2" w:rsidRPr="006B2878">
        <w:rPr>
          <w:rFonts w:ascii="Arial" w:hAnsi="Arial" w:cs="Arial"/>
        </w:rPr>
        <w:t>LS to RAN4 on</w:t>
      </w:r>
      <w:r w:rsidR="003227B2">
        <w:rPr>
          <w:rFonts w:ascii="Arial" w:hAnsi="Arial" w:cs="Arial"/>
        </w:rPr>
        <w:t xml:space="preserve"> the</w:t>
      </w:r>
      <w:r w:rsidR="003227B2" w:rsidRPr="006B2878">
        <w:rPr>
          <w:rFonts w:ascii="Arial" w:hAnsi="Arial" w:cs="Arial"/>
        </w:rPr>
        <w:t xml:space="preserve"> </w:t>
      </w:r>
      <w:r w:rsidR="003227B2">
        <w:rPr>
          <w:rFonts w:ascii="Arial" w:hAnsi="Arial" w:cs="Arial"/>
        </w:rPr>
        <w:t>capability</w:t>
      </w:r>
      <w:r w:rsidR="003227B2" w:rsidRPr="00583C03">
        <w:rPr>
          <w:rFonts w:ascii="Arial" w:hAnsi="Arial" w:cs="Arial"/>
        </w:rPr>
        <w:t xml:space="preserve"> of </w:t>
      </w:r>
      <w:r w:rsidR="003227B2">
        <w:rPr>
          <w:rFonts w:ascii="Arial" w:hAnsi="Arial" w:cs="Arial"/>
        </w:rPr>
        <w:t>t</w:t>
      </w:r>
      <w:r w:rsidR="003227B2" w:rsidRPr="00583C03">
        <w:rPr>
          <w:rFonts w:ascii="Arial" w:hAnsi="Arial" w:cs="Arial"/>
        </w:rPr>
        <w:t>ransparent TxD</w:t>
      </w:r>
    </w:p>
    <w:p w14:paraId="68BA9A6A" w14:textId="5CAB9C9F" w:rsidR="00344B3E" w:rsidRPr="001F4EF6" w:rsidRDefault="00344B3E" w:rsidP="00344B3E">
      <w:pPr>
        <w:spacing w:before="240" w:after="60"/>
        <w:ind w:left="1701" w:hanging="1701"/>
        <w:outlineLvl w:val="0"/>
        <w:rPr>
          <w:rFonts w:ascii="Arial" w:eastAsia="Times New Roman" w:hAnsi="Arial" w:cs="Arial"/>
          <w:b/>
          <w:bCs/>
          <w:color w:val="000000"/>
          <w:kern w:val="28"/>
        </w:rPr>
      </w:pPr>
      <w:r w:rsidRPr="001F4EF6">
        <w:rPr>
          <w:rFonts w:ascii="Arial" w:eastAsia="Times New Roman" w:hAnsi="Arial" w:cs="Arial"/>
          <w:b/>
          <w:bCs/>
          <w:color w:val="000000"/>
          <w:kern w:val="28"/>
        </w:rPr>
        <w:t>Response to:</w:t>
      </w:r>
      <w:r w:rsidRPr="001F4EF6">
        <w:rPr>
          <w:rFonts w:ascii="Arial" w:eastAsia="Times New Roman" w:hAnsi="Arial" w:cs="Arial"/>
          <w:b/>
          <w:bCs/>
          <w:color w:val="000000"/>
          <w:kern w:val="28"/>
        </w:rPr>
        <w:tab/>
      </w:r>
      <w:r w:rsidR="003227B2">
        <w:rPr>
          <w:rFonts w:ascii="Arial" w:hAnsi="Arial" w:cs="Arial"/>
        </w:rPr>
        <w:t xml:space="preserve">Reply </w:t>
      </w:r>
      <w:r w:rsidR="003227B2" w:rsidRPr="006B2878">
        <w:rPr>
          <w:rFonts w:ascii="Arial" w:hAnsi="Arial" w:cs="Arial"/>
        </w:rPr>
        <w:t>LS to RAN4 on</w:t>
      </w:r>
      <w:r w:rsidR="003227B2">
        <w:rPr>
          <w:rFonts w:ascii="Arial" w:hAnsi="Arial" w:cs="Arial"/>
        </w:rPr>
        <w:t xml:space="preserve"> the</w:t>
      </w:r>
      <w:r w:rsidR="003227B2" w:rsidRPr="006B2878">
        <w:rPr>
          <w:rFonts w:ascii="Arial" w:hAnsi="Arial" w:cs="Arial"/>
        </w:rPr>
        <w:t xml:space="preserve"> </w:t>
      </w:r>
      <w:r w:rsidR="003227B2">
        <w:rPr>
          <w:rFonts w:ascii="Arial" w:hAnsi="Arial" w:cs="Arial"/>
        </w:rPr>
        <w:t>capability</w:t>
      </w:r>
      <w:r w:rsidR="003227B2" w:rsidRPr="00583C03">
        <w:rPr>
          <w:rFonts w:ascii="Arial" w:hAnsi="Arial" w:cs="Arial"/>
        </w:rPr>
        <w:t xml:space="preserve"> of </w:t>
      </w:r>
      <w:r w:rsidR="003227B2">
        <w:rPr>
          <w:rFonts w:ascii="Arial" w:hAnsi="Arial" w:cs="Arial"/>
        </w:rPr>
        <w:t>t</w:t>
      </w:r>
      <w:r w:rsidR="003227B2" w:rsidRPr="00583C03">
        <w:rPr>
          <w:rFonts w:ascii="Arial" w:hAnsi="Arial" w:cs="Arial"/>
        </w:rPr>
        <w:t>ransparent TxD</w:t>
      </w:r>
      <w:r w:rsidR="003227B2">
        <w:rPr>
          <w:rFonts w:ascii="Arial" w:hAnsi="Arial" w:cs="Arial"/>
        </w:rPr>
        <w:t xml:space="preserve"> (R2-2104353)</w:t>
      </w:r>
    </w:p>
    <w:p w14:paraId="59C2B337" w14:textId="6EF494D5" w:rsidR="00344B3E" w:rsidRPr="001F4EF6" w:rsidRDefault="00344B3E" w:rsidP="00344B3E">
      <w:pPr>
        <w:spacing w:before="240" w:after="60"/>
        <w:ind w:left="1701" w:hanging="1701"/>
        <w:outlineLvl w:val="0"/>
        <w:rPr>
          <w:rFonts w:ascii="Arial" w:eastAsia="Times New Roman" w:hAnsi="Arial" w:cs="Arial"/>
          <w:b/>
          <w:bCs/>
          <w:color w:val="000000"/>
          <w:kern w:val="28"/>
        </w:rPr>
      </w:pPr>
      <w:r w:rsidRPr="001F4EF6">
        <w:rPr>
          <w:rFonts w:ascii="Arial" w:eastAsia="Times New Roman" w:hAnsi="Arial" w:cs="Arial"/>
          <w:b/>
          <w:bCs/>
          <w:color w:val="000000"/>
          <w:kern w:val="28"/>
        </w:rPr>
        <w:t>Release:</w:t>
      </w:r>
      <w:r w:rsidRPr="001F4EF6">
        <w:rPr>
          <w:rFonts w:ascii="Arial" w:eastAsia="Times New Roman" w:hAnsi="Arial" w:cs="Arial"/>
          <w:b/>
          <w:bCs/>
          <w:color w:val="000000"/>
          <w:kern w:val="28"/>
        </w:rPr>
        <w:tab/>
        <w:t>Rel-1</w:t>
      </w:r>
      <w:r w:rsidR="001F4EF6">
        <w:rPr>
          <w:rFonts w:ascii="Arial" w:eastAsia="Times New Roman" w:hAnsi="Arial" w:cs="Arial"/>
          <w:b/>
          <w:bCs/>
          <w:color w:val="000000"/>
          <w:kern w:val="28"/>
        </w:rPr>
        <w:t>6</w:t>
      </w:r>
    </w:p>
    <w:p w14:paraId="1D62359A" w14:textId="612A4608" w:rsidR="00344B3E" w:rsidRPr="001F4EF6" w:rsidRDefault="00344B3E" w:rsidP="00344B3E">
      <w:pPr>
        <w:spacing w:before="240" w:after="60"/>
        <w:ind w:left="1701" w:hanging="1701"/>
        <w:outlineLvl w:val="0"/>
        <w:rPr>
          <w:rFonts w:ascii="Arial" w:eastAsia="Times New Roman" w:hAnsi="Arial" w:cs="Arial"/>
          <w:b/>
          <w:bCs/>
          <w:color w:val="000000"/>
          <w:kern w:val="28"/>
        </w:rPr>
      </w:pPr>
      <w:r w:rsidRPr="001F4EF6">
        <w:rPr>
          <w:rFonts w:ascii="Arial" w:eastAsia="Times New Roman" w:hAnsi="Arial" w:cs="Arial"/>
          <w:b/>
          <w:bCs/>
          <w:color w:val="000000"/>
          <w:kern w:val="28"/>
        </w:rPr>
        <w:t>Work Item:</w:t>
      </w:r>
      <w:r w:rsidRPr="001F4EF6">
        <w:rPr>
          <w:rFonts w:ascii="Arial" w:eastAsia="Times New Roman" w:hAnsi="Arial" w:cs="Arial"/>
          <w:b/>
          <w:bCs/>
          <w:color w:val="000000"/>
          <w:kern w:val="28"/>
        </w:rPr>
        <w:tab/>
      </w:r>
      <w:r w:rsidR="00B660BB" w:rsidRPr="001F4EF6">
        <w:rPr>
          <w:rFonts w:ascii="Arial" w:eastAsia="Times New Roman" w:hAnsi="Arial" w:cs="Arial"/>
          <w:b/>
          <w:bCs/>
          <w:color w:val="000000"/>
          <w:kern w:val="28"/>
        </w:rPr>
        <w:t>TEI16</w:t>
      </w:r>
    </w:p>
    <w:p w14:paraId="5BAF08A5" w14:textId="77777777" w:rsidR="00344B3E" w:rsidRPr="001F4EF6" w:rsidRDefault="00344B3E" w:rsidP="00344B3E">
      <w:pPr>
        <w:spacing w:after="60"/>
        <w:ind w:left="1985" w:hanging="1985"/>
        <w:rPr>
          <w:rFonts w:ascii="Arial" w:hAnsi="Arial" w:cs="Arial"/>
          <w:b/>
          <w:color w:val="000000"/>
        </w:rPr>
      </w:pPr>
    </w:p>
    <w:p w14:paraId="64EB8884" w14:textId="77777777" w:rsidR="00344B3E" w:rsidRPr="001F4EF6" w:rsidRDefault="00344B3E" w:rsidP="00344B3E">
      <w:pPr>
        <w:spacing w:after="60"/>
        <w:ind w:left="1985" w:hanging="1985"/>
        <w:rPr>
          <w:rFonts w:ascii="Arial" w:hAnsi="Arial" w:cs="Arial"/>
          <w:b/>
          <w:color w:val="000000"/>
        </w:rPr>
      </w:pPr>
      <w:r w:rsidRPr="001F4EF6">
        <w:rPr>
          <w:rFonts w:ascii="Arial" w:hAnsi="Arial" w:cs="Arial"/>
          <w:b/>
          <w:color w:val="000000"/>
        </w:rPr>
        <w:t>Source:</w:t>
      </w:r>
      <w:r w:rsidRPr="001F4EF6">
        <w:rPr>
          <w:rFonts w:ascii="Arial" w:hAnsi="Arial" w:cs="Arial"/>
          <w:b/>
          <w:color w:val="000000"/>
        </w:rPr>
        <w:tab/>
      </w:r>
      <w:r w:rsidRPr="001F4EF6">
        <w:rPr>
          <w:rFonts w:ascii="Arial" w:hAnsi="Arial" w:cs="Arial"/>
          <w:color w:val="000000"/>
        </w:rPr>
        <w:t>RAN4</w:t>
      </w:r>
    </w:p>
    <w:p w14:paraId="3AE12358" w14:textId="77777777" w:rsidR="00344B3E" w:rsidRPr="001F4EF6" w:rsidRDefault="00344B3E" w:rsidP="00344B3E">
      <w:pPr>
        <w:spacing w:after="60"/>
        <w:ind w:left="1985" w:hanging="1985"/>
        <w:rPr>
          <w:rFonts w:ascii="Arial" w:hAnsi="Arial" w:cs="Arial"/>
          <w:b/>
          <w:color w:val="000000"/>
        </w:rPr>
      </w:pPr>
      <w:r w:rsidRPr="001F4EF6">
        <w:rPr>
          <w:rFonts w:ascii="Arial" w:hAnsi="Arial" w:cs="Arial"/>
          <w:b/>
          <w:color w:val="000000"/>
        </w:rPr>
        <w:t>To:</w:t>
      </w:r>
      <w:r w:rsidRPr="001F4EF6">
        <w:rPr>
          <w:rFonts w:ascii="Arial" w:hAnsi="Arial" w:cs="Arial"/>
          <w:b/>
          <w:color w:val="000000"/>
        </w:rPr>
        <w:tab/>
      </w:r>
      <w:r w:rsidRPr="001F4EF6">
        <w:rPr>
          <w:rFonts w:ascii="Arial" w:hAnsi="Arial" w:cs="Arial"/>
          <w:color w:val="000000"/>
        </w:rPr>
        <w:t>RAN2</w:t>
      </w:r>
    </w:p>
    <w:p w14:paraId="6A15B651" w14:textId="5301F732" w:rsidR="00344B3E" w:rsidRPr="001F4EF6" w:rsidRDefault="00344B3E" w:rsidP="00344B3E">
      <w:pPr>
        <w:spacing w:after="60"/>
        <w:ind w:left="1985" w:hanging="1985"/>
        <w:rPr>
          <w:rFonts w:ascii="Arial" w:hAnsi="Arial" w:cs="Arial"/>
          <w:b/>
        </w:rPr>
      </w:pPr>
      <w:r w:rsidRPr="001F4EF6">
        <w:rPr>
          <w:rFonts w:ascii="Arial" w:hAnsi="Arial" w:cs="Arial"/>
          <w:b/>
        </w:rPr>
        <w:t>Cc:</w:t>
      </w:r>
      <w:r w:rsidRPr="001F4EF6">
        <w:rPr>
          <w:rFonts w:ascii="Arial" w:hAnsi="Arial" w:cs="Arial"/>
          <w:b/>
        </w:rPr>
        <w:tab/>
      </w:r>
    </w:p>
    <w:p w14:paraId="5E0028FA" w14:textId="77777777" w:rsidR="00344B3E" w:rsidRPr="001F4EF6" w:rsidRDefault="00344B3E" w:rsidP="00344B3E">
      <w:pPr>
        <w:spacing w:after="60"/>
        <w:ind w:left="1985" w:hanging="1985"/>
        <w:rPr>
          <w:rFonts w:ascii="Arial" w:hAnsi="Arial" w:cs="Arial"/>
          <w:bCs/>
        </w:rPr>
      </w:pPr>
    </w:p>
    <w:p w14:paraId="4730D9B5" w14:textId="77777777" w:rsidR="00344B3E" w:rsidRPr="001F4EF6" w:rsidRDefault="00344B3E" w:rsidP="00344B3E">
      <w:pPr>
        <w:tabs>
          <w:tab w:val="left" w:pos="2268"/>
        </w:tabs>
        <w:rPr>
          <w:rFonts w:ascii="Arial" w:hAnsi="Arial" w:cs="Arial"/>
          <w:bCs/>
        </w:rPr>
      </w:pPr>
      <w:r w:rsidRPr="001F4EF6">
        <w:rPr>
          <w:rFonts w:ascii="Arial" w:hAnsi="Arial" w:cs="Arial"/>
          <w:b/>
        </w:rPr>
        <w:t>Contact Person:</w:t>
      </w:r>
      <w:r w:rsidRPr="001F4EF6">
        <w:rPr>
          <w:rFonts w:ascii="Arial" w:hAnsi="Arial" w:cs="Arial"/>
          <w:bCs/>
        </w:rPr>
        <w:tab/>
      </w:r>
    </w:p>
    <w:p w14:paraId="381CDB42" w14:textId="77777777" w:rsidR="00344B3E" w:rsidRPr="001F4EF6" w:rsidRDefault="00344B3E" w:rsidP="00344B3E">
      <w:pPr>
        <w:keepNext/>
        <w:tabs>
          <w:tab w:val="left" w:pos="2694"/>
        </w:tabs>
        <w:ind w:left="567"/>
        <w:outlineLvl w:val="3"/>
        <w:rPr>
          <w:rFonts w:ascii="Arial" w:hAnsi="Arial" w:cs="Arial"/>
          <w:b/>
          <w:bCs/>
        </w:rPr>
      </w:pPr>
      <w:r w:rsidRPr="001F4EF6">
        <w:rPr>
          <w:rFonts w:ascii="Arial" w:hAnsi="Arial" w:cs="Arial"/>
          <w:b/>
        </w:rPr>
        <w:t>Name: Christian Bergljung</w:t>
      </w:r>
      <w:r w:rsidRPr="001F4EF6">
        <w:rPr>
          <w:rFonts w:ascii="Arial" w:hAnsi="Arial" w:cs="Arial"/>
          <w:b/>
          <w:bCs/>
        </w:rPr>
        <w:tab/>
      </w:r>
    </w:p>
    <w:p w14:paraId="46143909" w14:textId="77777777" w:rsidR="00344B3E" w:rsidRPr="001F4EF6" w:rsidRDefault="00344B3E" w:rsidP="00344B3E">
      <w:pPr>
        <w:keepNext/>
        <w:tabs>
          <w:tab w:val="left" w:pos="2694"/>
        </w:tabs>
        <w:ind w:left="567"/>
        <w:outlineLvl w:val="3"/>
        <w:rPr>
          <w:rFonts w:ascii="Arial" w:hAnsi="Arial" w:cs="Arial"/>
          <w:b/>
          <w:bCs/>
          <w:color w:val="0000FF"/>
        </w:rPr>
      </w:pPr>
      <w:r w:rsidRPr="001F4EF6">
        <w:rPr>
          <w:rFonts w:ascii="Arial" w:hAnsi="Arial" w:cs="Arial"/>
          <w:b/>
          <w:color w:val="0000FF"/>
        </w:rPr>
        <w:t>E-mail Address: Christian.Bergljung@ericsson.com</w:t>
      </w:r>
      <w:r w:rsidRPr="001F4EF6">
        <w:rPr>
          <w:rFonts w:ascii="Arial" w:hAnsi="Arial" w:cs="Arial"/>
          <w:b/>
          <w:bCs/>
          <w:color w:val="0000FF"/>
        </w:rPr>
        <w:tab/>
      </w:r>
    </w:p>
    <w:p w14:paraId="10DCE1BE" w14:textId="77777777" w:rsidR="00344B3E" w:rsidRPr="001F4EF6" w:rsidRDefault="00344B3E" w:rsidP="00344B3E">
      <w:pPr>
        <w:spacing w:after="60"/>
        <w:ind w:left="1985" w:hanging="1985"/>
        <w:rPr>
          <w:rFonts w:ascii="Arial" w:hAnsi="Arial" w:cs="Arial"/>
          <w:b/>
        </w:rPr>
      </w:pPr>
    </w:p>
    <w:p w14:paraId="04CCF6D7" w14:textId="77777777" w:rsidR="00344B3E" w:rsidRPr="001F4EF6" w:rsidRDefault="00344B3E" w:rsidP="00344B3E">
      <w:pPr>
        <w:tabs>
          <w:tab w:val="left" w:pos="2268"/>
        </w:tabs>
        <w:rPr>
          <w:rFonts w:ascii="Arial" w:hAnsi="Arial" w:cs="Arial"/>
          <w:bCs/>
        </w:rPr>
      </w:pPr>
      <w:r w:rsidRPr="001F4EF6">
        <w:rPr>
          <w:rFonts w:ascii="Arial" w:hAnsi="Arial" w:cs="Arial"/>
          <w:b/>
        </w:rPr>
        <w:t>Send any reply LS to:</w:t>
      </w:r>
      <w:r w:rsidRPr="001F4EF6">
        <w:rPr>
          <w:rFonts w:ascii="Arial" w:hAnsi="Arial" w:cs="Arial"/>
          <w:b/>
        </w:rPr>
        <w:tab/>
        <w:t xml:space="preserve">3GPP Liaisons Coordinator, </w:t>
      </w:r>
      <w:hyperlink r:id="rId14" w:history="1">
        <w:r w:rsidRPr="001F4EF6">
          <w:rPr>
            <w:rFonts w:ascii="Arial" w:hAnsi="Arial" w:cs="Arial"/>
            <w:b/>
            <w:color w:val="0000FF"/>
            <w:u w:val="single"/>
          </w:rPr>
          <w:t>mailto:3GPPLiaison@etsi.org</w:t>
        </w:r>
      </w:hyperlink>
      <w:r w:rsidRPr="001F4EF6">
        <w:rPr>
          <w:rFonts w:ascii="Arial" w:hAnsi="Arial" w:cs="Arial"/>
          <w:b/>
        </w:rPr>
        <w:t xml:space="preserve"> </w:t>
      </w:r>
      <w:r w:rsidRPr="001F4EF6">
        <w:rPr>
          <w:rFonts w:ascii="Arial" w:hAnsi="Arial" w:cs="Arial"/>
          <w:bCs/>
        </w:rPr>
        <w:tab/>
      </w:r>
    </w:p>
    <w:p w14:paraId="46264E27" w14:textId="77777777" w:rsidR="00344B3E" w:rsidRPr="001F4EF6" w:rsidRDefault="00344B3E" w:rsidP="00344B3E">
      <w:pPr>
        <w:spacing w:after="60"/>
        <w:ind w:left="1985" w:hanging="1985"/>
        <w:rPr>
          <w:rFonts w:ascii="Arial" w:hAnsi="Arial" w:cs="Arial"/>
          <w:b/>
        </w:rPr>
      </w:pPr>
    </w:p>
    <w:p w14:paraId="469102E9" w14:textId="77777777" w:rsidR="00344B3E" w:rsidRPr="00B93639" w:rsidRDefault="00344B3E" w:rsidP="00344B3E">
      <w:pPr>
        <w:spacing w:before="240" w:after="60"/>
        <w:ind w:left="1701" w:hanging="1701"/>
        <w:outlineLvl w:val="0"/>
        <w:rPr>
          <w:rFonts w:ascii="Arial" w:eastAsia="Times New Roman" w:hAnsi="Arial" w:cs="Arial"/>
          <w:b/>
          <w:bCs/>
          <w:kern w:val="28"/>
        </w:rPr>
      </w:pPr>
      <w:r w:rsidRPr="001F4EF6">
        <w:rPr>
          <w:rFonts w:ascii="Arial" w:eastAsia="Times New Roman" w:hAnsi="Arial" w:cs="Arial"/>
          <w:b/>
          <w:bCs/>
          <w:kern w:val="28"/>
        </w:rPr>
        <w:t>Attachments: None</w:t>
      </w:r>
    </w:p>
    <w:p w14:paraId="44298F31" w14:textId="77777777" w:rsidR="00344B3E" w:rsidRPr="00B93639" w:rsidRDefault="00344B3E" w:rsidP="00344B3E">
      <w:pPr>
        <w:pBdr>
          <w:bottom w:val="single" w:sz="4" w:space="1" w:color="auto"/>
        </w:pBdr>
        <w:rPr>
          <w:rFonts w:ascii="Arial" w:hAnsi="Arial" w:cs="Arial"/>
        </w:rPr>
      </w:pPr>
    </w:p>
    <w:p w14:paraId="09672FE2" w14:textId="77777777" w:rsidR="00344B3E" w:rsidRPr="00B93639" w:rsidRDefault="00344B3E" w:rsidP="00344B3E">
      <w:pPr>
        <w:rPr>
          <w:rFonts w:ascii="Arial" w:hAnsi="Arial" w:cs="Arial"/>
        </w:rPr>
      </w:pPr>
    </w:p>
    <w:p w14:paraId="56A4A5DA" w14:textId="77777777" w:rsidR="00344B3E" w:rsidRPr="00B93639" w:rsidRDefault="00344B3E" w:rsidP="00344B3E">
      <w:pPr>
        <w:spacing w:after="120"/>
        <w:rPr>
          <w:rFonts w:ascii="Arial" w:hAnsi="Arial" w:cs="Arial"/>
          <w:b/>
        </w:rPr>
      </w:pPr>
      <w:r w:rsidRPr="00B93639">
        <w:rPr>
          <w:rFonts w:ascii="Arial" w:hAnsi="Arial" w:cs="Arial"/>
          <w:b/>
        </w:rPr>
        <w:t>1. Overall Description:</w:t>
      </w:r>
    </w:p>
    <w:p w14:paraId="057B713E" w14:textId="49A8DDAF" w:rsidR="00344B3E" w:rsidRDefault="00344B3E" w:rsidP="00344B3E">
      <w:pPr>
        <w:rPr>
          <w:rFonts w:ascii="Arial" w:hAnsi="Arial" w:cs="Arial"/>
        </w:rPr>
      </w:pPr>
      <w:r w:rsidRPr="00B93639">
        <w:rPr>
          <w:rFonts w:ascii="Arial" w:hAnsi="Arial" w:cs="Arial"/>
        </w:rPr>
        <w:t xml:space="preserve">RAN4 </w:t>
      </w:r>
      <w:r>
        <w:rPr>
          <w:rFonts w:ascii="Arial" w:hAnsi="Arial" w:cs="Arial"/>
        </w:rPr>
        <w:t>would like to thank RAN</w:t>
      </w:r>
      <w:r w:rsidR="0091556A">
        <w:rPr>
          <w:rFonts w:ascii="Arial" w:hAnsi="Arial" w:cs="Arial"/>
        </w:rPr>
        <w:t xml:space="preserve">2 </w:t>
      </w:r>
      <w:r>
        <w:rPr>
          <w:rFonts w:ascii="Arial" w:hAnsi="Arial" w:cs="Arial"/>
        </w:rPr>
        <w:t xml:space="preserve">for its </w:t>
      </w:r>
      <w:r w:rsidRPr="00840D60">
        <w:rPr>
          <w:rFonts w:ascii="Arial" w:hAnsi="Arial" w:cs="Arial"/>
        </w:rPr>
        <w:t xml:space="preserve">Reply LS </w:t>
      </w:r>
      <w:r w:rsidR="0091556A" w:rsidRPr="0091556A">
        <w:rPr>
          <w:rFonts w:ascii="Arial" w:hAnsi="Arial" w:cs="Arial"/>
        </w:rPr>
        <w:t xml:space="preserve">LS to RAN4 on the capability of transparent TxD </w:t>
      </w:r>
      <w:r w:rsidR="0091556A">
        <w:rPr>
          <w:rFonts w:ascii="Arial" w:hAnsi="Arial" w:cs="Arial"/>
        </w:rPr>
        <w:t xml:space="preserve">in </w:t>
      </w:r>
      <w:r w:rsidR="0091556A" w:rsidRPr="0091556A">
        <w:rPr>
          <w:rFonts w:ascii="Arial" w:hAnsi="Arial" w:cs="Arial"/>
        </w:rPr>
        <w:t>R2-2104353</w:t>
      </w:r>
      <w:r w:rsidR="0091556A">
        <w:rPr>
          <w:rFonts w:ascii="Arial" w:hAnsi="Arial" w:cs="Arial"/>
        </w:rPr>
        <w:t xml:space="preserve">. </w:t>
      </w:r>
      <w:r w:rsidR="00307CE4">
        <w:rPr>
          <w:rFonts w:ascii="Arial" w:hAnsi="Arial" w:cs="Arial"/>
        </w:rPr>
        <w:t>With regard to the RAN2 agreements achieved and the RAN2 question</w:t>
      </w:r>
    </w:p>
    <w:p w14:paraId="336AF71B" w14:textId="2996A1C6" w:rsidR="009A0CBB" w:rsidRDefault="009A0CBB" w:rsidP="00344B3E">
      <w:pPr>
        <w:rPr>
          <w:rFonts w:ascii="Arial" w:hAnsi="Arial" w:cs="Arial"/>
        </w:rPr>
      </w:pPr>
    </w:p>
    <w:p w14:paraId="4C2A9F81" w14:textId="77777777" w:rsidR="009A0CBB" w:rsidRPr="004561E0" w:rsidRDefault="009A0CBB" w:rsidP="009A0CBB">
      <w:pPr>
        <w:numPr>
          <w:ilvl w:val="0"/>
          <w:numId w:val="15"/>
        </w:numPr>
        <w:spacing w:after="180"/>
        <w:jc w:val="both"/>
        <w:rPr>
          <w:rFonts w:ascii="Arial" w:hAnsi="Arial" w:cs="Arial"/>
          <w:bCs/>
          <w:lang w:eastAsia="zh-CN"/>
        </w:rPr>
      </w:pPr>
      <w:r>
        <w:rPr>
          <w:rFonts w:ascii="Arial" w:hAnsi="Arial" w:cs="Arial"/>
          <w:bCs/>
          <w:lang w:eastAsia="zh-CN"/>
        </w:rPr>
        <w:t>RAN2 would also like to confirm whether this new capability has any dependencies with other capabilities that should be captured by RAN2 (since the capability is intended as release independent, RAN2 may need to capture such pre-requisites explicitly).</w:t>
      </w:r>
    </w:p>
    <w:p w14:paraId="12C8F00A" w14:textId="280D3816" w:rsidR="009A0CBB" w:rsidRDefault="00F13BAD" w:rsidP="00344B3E">
      <w:pPr>
        <w:rPr>
          <w:rFonts w:ascii="Arial" w:hAnsi="Arial" w:cs="Arial"/>
        </w:rPr>
      </w:pPr>
      <w:r>
        <w:rPr>
          <w:rFonts w:ascii="Arial" w:hAnsi="Arial" w:cs="Arial"/>
        </w:rPr>
        <w:t xml:space="preserve">RAN4 would like to </w:t>
      </w:r>
      <w:r w:rsidR="00E014C6">
        <w:rPr>
          <w:rFonts w:ascii="Arial" w:hAnsi="Arial" w:cs="Arial"/>
        </w:rPr>
        <w:t>provide</w:t>
      </w:r>
      <w:r>
        <w:rPr>
          <w:rFonts w:ascii="Arial" w:hAnsi="Arial" w:cs="Arial"/>
        </w:rPr>
        <w:t xml:space="preserve"> the following guidance</w:t>
      </w:r>
      <w:r w:rsidR="00893900">
        <w:rPr>
          <w:rFonts w:ascii="Arial" w:hAnsi="Arial" w:cs="Arial"/>
        </w:rPr>
        <w:t>:</w:t>
      </w:r>
    </w:p>
    <w:p w14:paraId="1E2D754B" w14:textId="2A112F8F" w:rsidR="00893900" w:rsidRDefault="00893900" w:rsidP="00344B3E">
      <w:pPr>
        <w:rPr>
          <w:rFonts w:ascii="Arial" w:hAnsi="Arial" w:cs="Arial"/>
        </w:rPr>
      </w:pPr>
    </w:p>
    <w:p w14:paraId="40B52259" w14:textId="4CF8F095" w:rsidR="009A0CBB" w:rsidRDefault="009A0CBB" w:rsidP="00D67997">
      <w:pPr>
        <w:numPr>
          <w:ilvl w:val="0"/>
          <w:numId w:val="15"/>
        </w:numPr>
        <w:spacing w:after="180"/>
        <w:jc w:val="both"/>
        <w:rPr>
          <w:rFonts w:ascii="Arial" w:hAnsi="Arial" w:cs="Arial"/>
        </w:rPr>
      </w:pPr>
      <w:r w:rsidRPr="009A0CBB">
        <w:rPr>
          <w:rFonts w:ascii="Arial" w:hAnsi="Arial" w:cs="Arial"/>
        </w:rPr>
        <w:t>UEs can support only one of full power capability and transparent TxD capability in a given band</w:t>
      </w:r>
    </w:p>
    <w:p w14:paraId="249D94A1" w14:textId="667609C0" w:rsidR="004D303B" w:rsidRDefault="004D303B" w:rsidP="004D303B">
      <w:pPr>
        <w:spacing w:after="180"/>
        <w:jc w:val="both"/>
        <w:rPr>
          <w:rFonts w:ascii="Arial" w:hAnsi="Arial" w:cs="Arial"/>
        </w:rPr>
      </w:pPr>
      <w:r>
        <w:rPr>
          <w:rFonts w:ascii="Arial" w:hAnsi="Arial" w:cs="Arial"/>
        </w:rPr>
        <w:t>while observing that</w:t>
      </w:r>
    </w:p>
    <w:p w14:paraId="10B7DA77" w14:textId="2BA95AB4" w:rsidR="004D303B" w:rsidRDefault="00536071" w:rsidP="004D303B">
      <w:pPr>
        <w:numPr>
          <w:ilvl w:val="0"/>
          <w:numId w:val="15"/>
        </w:numPr>
        <w:spacing w:after="180"/>
        <w:jc w:val="both"/>
        <w:rPr>
          <w:rFonts w:ascii="Arial" w:hAnsi="Arial" w:cs="Arial"/>
        </w:rPr>
      </w:pPr>
      <w:r>
        <w:rPr>
          <w:rFonts w:ascii="Arial" w:hAnsi="Arial" w:cs="Arial"/>
        </w:rPr>
        <w:t>e</w:t>
      </w:r>
      <w:r w:rsidR="004D303B">
        <w:rPr>
          <w:rFonts w:ascii="Arial" w:hAnsi="Arial" w:cs="Arial"/>
        </w:rPr>
        <w:t xml:space="preserve">xcept </w:t>
      </w:r>
      <w:r w:rsidR="004D303B" w:rsidRPr="009A0CBB">
        <w:rPr>
          <w:rFonts w:ascii="Arial" w:hAnsi="Arial" w:cs="Arial"/>
        </w:rPr>
        <w:t xml:space="preserve">for full power UL MIMO, a TxD capable UE can indicate support for a feature only if UE behavior and performance for the feature is unaffected by TxD capability; otherwise the combination </w:t>
      </w:r>
      <w:r w:rsidR="00BD34E3">
        <w:rPr>
          <w:rFonts w:ascii="Arial" w:hAnsi="Arial" w:cs="Arial"/>
        </w:rPr>
        <w:t>should be</w:t>
      </w:r>
      <w:r w:rsidR="004D303B" w:rsidRPr="009A0CBB">
        <w:rPr>
          <w:rFonts w:ascii="Arial" w:hAnsi="Arial" w:cs="Arial"/>
        </w:rPr>
        <w:t xml:space="preserve"> precluded by specification.</w:t>
      </w:r>
    </w:p>
    <w:p w14:paraId="073FAC51" w14:textId="33BD6006" w:rsidR="004D303B" w:rsidRDefault="00536071" w:rsidP="004D303B">
      <w:pPr>
        <w:numPr>
          <w:ilvl w:val="0"/>
          <w:numId w:val="15"/>
        </w:numPr>
        <w:spacing w:after="180"/>
        <w:jc w:val="both"/>
        <w:rPr>
          <w:rFonts w:ascii="Arial" w:hAnsi="Arial" w:cs="Arial"/>
        </w:rPr>
      </w:pPr>
      <w:r>
        <w:rPr>
          <w:rFonts w:ascii="Arial" w:hAnsi="Arial" w:cs="Arial"/>
        </w:rPr>
        <w:t>non</w:t>
      </w:r>
      <w:r w:rsidRPr="00536071">
        <w:rPr>
          <w:rFonts w:ascii="Arial" w:hAnsi="Arial" w:cs="Arial"/>
        </w:rPr>
        <w:t>-codebook based UEs require</w:t>
      </w:r>
      <w:r>
        <w:rPr>
          <w:rFonts w:ascii="Arial" w:hAnsi="Arial" w:cs="Arial"/>
        </w:rPr>
        <w:t>s</w:t>
      </w:r>
      <w:r w:rsidRPr="00536071">
        <w:rPr>
          <w:rFonts w:ascii="Arial" w:hAnsi="Arial" w:cs="Arial"/>
        </w:rPr>
        <w:t xml:space="preserve"> full power PAs per Tx chain for power efficient operation, which is incompatible with the half power assumption </w:t>
      </w:r>
      <w:r w:rsidR="00C2313D">
        <w:rPr>
          <w:rFonts w:ascii="Arial" w:hAnsi="Arial" w:cs="Arial"/>
        </w:rPr>
        <w:t>for a UE indicating the new capability</w:t>
      </w:r>
    </w:p>
    <w:p w14:paraId="6DC174E3" w14:textId="70F1A095" w:rsidR="004D303B" w:rsidRDefault="00C2313D" w:rsidP="004D303B">
      <w:pPr>
        <w:numPr>
          <w:ilvl w:val="0"/>
          <w:numId w:val="15"/>
        </w:numPr>
        <w:spacing w:after="180"/>
        <w:jc w:val="both"/>
        <w:rPr>
          <w:rFonts w:ascii="Arial" w:hAnsi="Arial" w:cs="Arial"/>
        </w:rPr>
      </w:pPr>
      <w:r>
        <w:rPr>
          <w:rFonts w:ascii="Arial" w:hAnsi="Arial" w:cs="Arial"/>
        </w:rPr>
        <w:t xml:space="preserve">a </w:t>
      </w:r>
      <w:r w:rsidR="00BD34E3" w:rsidRPr="00BD34E3">
        <w:rPr>
          <w:rFonts w:ascii="Arial" w:hAnsi="Arial" w:cs="Arial"/>
        </w:rPr>
        <w:t xml:space="preserve">UE that supports 1T2R antenna switching SRS should have at least one full power PA, which is inconsistent with the half power assumption </w:t>
      </w:r>
      <w:r w:rsidR="00E76A22">
        <w:rPr>
          <w:rFonts w:ascii="Arial" w:hAnsi="Arial" w:cs="Arial"/>
        </w:rPr>
        <w:t>for a UE indicating the new capability</w:t>
      </w:r>
      <w:r w:rsidR="00E76A22" w:rsidRPr="00BD34E3">
        <w:rPr>
          <w:rFonts w:ascii="Arial" w:hAnsi="Arial" w:cs="Arial"/>
        </w:rPr>
        <w:t xml:space="preserve"> </w:t>
      </w:r>
    </w:p>
    <w:p w14:paraId="649298A4" w14:textId="5CA06912" w:rsidR="00344B3E" w:rsidRDefault="00E76A22" w:rsidP="00344B3E">
      <w:pPr>
        <w:rPr>
          <w:rFonts w:ascii="Arial" w:hAnsi="Arial" w:cs="Arial"/>
        </w:rPr>
      </w:pPr>
      <w:r>
        <w:rPr>
          <w:rFonts w:ascii="Arial" w:hAnsi="Arial" w:cs="Arial"/>
        </w:rPr>
        <w:t xml:space="preserve">RAN4 will </w:t>
      </w:r>
      <w:r w:rsidR="00CE446F">
        <w:rPr>
          <w:rFonts w:ascii="Arial" w:hAnsi="Arial" w:cs="Arial"/>
        </w:rPr>
        <w:t xml:space="preserve">further </w:t>
      </w:r>
      <w:r>
        <w:rPr>
          <w:rFonts w:ascii="Arial" w:hAnsi="Arial" w:cs="Arial"/>
        </w:rPr>
        <w:t xml:space="preserve">consider these observations </w:t>
      </w:r>
      <w:r w:rsidR="00CE446F">
        <w:rPr>
          <w:rFonts w:ascii="Arial" w:hAnsi="Arial" w:cs="Arial"/>
        </w:rPr>
        <w:t xml:space="preserve">and inform RAN2 on any </w:t>
      </w:r>
      <w:r w:rsidR="00A97FBA">
        <w:rPr>
          <w:rFonts w:ascii="Arial" w:hAnsi="Arial" w:cs="Arial"/>
        </w:rPr>
        <w:t xml:space="preserve">possible dependencies </w:t>
      </w:r>
      <w:r w:rsidR="00BD2232">
        <w:rPr>
          <w:rFonts w:ascii="Arial" w:hAnsi="Arial" w:cs="Arial"/>
        </w:rPr>
        <w:t>between the new capability and other multi-an</w:t>
      </w:r>
      <w:r w:rsidR="0090378B">
        <w:rPr>
          <w:rFonts w:ascii="Arial" w:hAnsi="Arial" w:cs="Arial"/>
        </w:rPr>
        <w:t>t</w:t>
      </w:r>
      <w:r w:rsidR="00BD2232">
        <w:rPr>
          <w:rFonts w:ascii="Arial" w:hAnsi="Arial" w:cs="Arial"/>
        </w:rPr>
        <w:t>enna fea</w:t>
      </w:r>
      <w:r w:rsidR="0090378B">
        <w:rPr>
          <w:rFonts w:ascii="Arial" w:hAnsi="Arial" w:cs="Arial"/>
        </w:rPr>
        <w:t>tur</w:t>
      </w:r>
      <w:r w:rsidR="00815CDB">
        <w:rPr>
          <w:rFonts w:ascii="Arial" w:hAnsi="Arial" w:cs="Arial"/>
        </w:rPr>
        <w:t>es.</w:t>
      </w:r>
    </w:p>
    <w:p w14:paraId="66F6C615" w14:textId="77777777" w:rsidR="00344B3E" w:rsidRPr="00B93639" w:rsidRDefault="00344B3E" w:rsidP="00344B3E">
      <w:pPr>
        <w:rPr>
          <w:rFonts w:ascii="Arial" w:hAnsi="Arial" w:cs="Arial"/>
        </w:rPr>
      </w:pPr>
    </w:p>
    <w:p w14:paraId="241A1329" w14:textId="77777777" w:rsidR="00344B3E" w:rsidRPr="00B93639" w:rsidRDefault="00344B3E" w:rsidP="00344B3E">
      <w:pPr>
        <w:rPr>
          <w:rFonts w:ascii="Arial" w:hAnsi="Arial" w:cs="Arial"/>
        </w:rPr>
      </w:pPr>
      <w:r w:rsidRPr="00B93639">
        <w:rPr>
          <w:rFonts w:ascii="Arial" w:hAnsi="Arial" w:cs="Arial"/>
        </w:rPr>
        <w:t xml:space="preserve">.  </w:t>
      </w:r>
    </w:p>
    <w:p w14:paraId="175DC538" w14:textId="77777777" w:rsidR="00344B3E" w:rsidRPr="00B93639" w:rsidRDefault="00344B3E" w:rsidP="00344B3E">
      <w:pPr>
        <w:rPr>
          <w:rFonts w:ascii="Arial" w:hAnsi="Arial" w:cs="Arial"/>
        </w:rPr>
      </w:pPr>
    </w:p>
    <w:p w14:paraId="0363A71A" w14:textId="77777777" w:rsidR="00344B3E" w:rsidRPr="00B93639" w:rsidRDefault="00344B3E" w:rsidP="00344B3E">
      <w:pPr>
        <w:spacing w:after="120"/>
        <w:rPr>
          <w:rFonts w:ascii="Arial" w:hAnsi="Arial" w:cs="Arial"/>
          <w:b/>
        </w:rPr>
      </w:pPr>
      <w:r w:rsidRPr="00B93639">
        <w:rPr>
          <w:rFonts w:ascii="Arial" w:hAnsi="Arial" w:cs="Arial"/>
          <w:b/>
        </w:rPr>
        <w:t>2. Actions:</w:t>
      </w:r>
    </w:p>
    <w:p w14:paraId="210E34F0" w14:textId="77777777" w:rsidR="00344B3E" w:rsidRPr="00B93639" w:rsidRDefault="00344B3E" w:rsidP="00344B3E">
      <w:pPr>
        <w:spacing w:after="120"/>
        <w:ind w:left="1985" w:hanging="1985"/>
        <w:rPr>
          <w:rFonts w:ascii="Arial" w:hAnsi="Arial" w:cs="Arial"/>
          <w:b/>
        </w:rPr>
      </w:pPr>
      <w:r w:rsidRPr="00B93639">
        <w:rPr>
          <w:rFonts w:ascii="Arial" w:hAnsi="Arial" w:cs="Arial"/>
          <w:b/>
        </w:rPr>
        <w:t>To</w:t>
      </w:r>
      <w:r w:rsidRPr="00B93639">
        <w:rPr>
          <w:rFonts w:ascii="Arial" w:hAnsi="Arial" w:cs="Arial"/>
          <w:b/>
          <w:color w:val="000000"/>
        </w:rPr>
        <w:t xml:space="preserve"> RAN</w:t>
      </w:r>
      <w:r>
        <w:rPr>
          <w:rFonts w:ascii="Arial" w:hAnsi="Arial" w:cs="Arial"/>
          <w:b/>
          <w:color w:val="000000"/>
        </w:rPr>
        <w:t>1</w:t>
      </w:r>
      <w:r w:rsidRPr="00B93639">
        <w:rPr>
          <w:rFonts w:ascii="Arial" w:hAnsi="Arial" w:cs="Arial"/>
          <w:b/>
          <w:color w:val="000000"/>
        </w:rPr>
        <w:t xml:space="preserve"> </w:t>
      </w:r>
      <w:r w:rsidRPr="00B93639">
        <w:rPr>
          <w:rFonts w:ascii="Arial" w:hAnsi="Arial" w:cs="Arial"/>
          <w:b/>
        </w:rPr>
        <w:t>group.</w:t>
      </w:r>
    </w:p>
    <w:p w14:paraId="3911A046" w14:textId="04AC85D1" w:rsidR="00344B3E" w:rsidRPr="00B93639" w:rsidRDefault="00344B3E" w:rsidP="00344B3E">
      <w:pPr>
        <w:spacing w:after="120"/>
        <w:ind w:left="993" w:hanging="993"/>
        <w:rPr>
          <w:rFonts w:ascii="Arial" w:hAnsi="Arial" w:cs="Arial"/>
          <w:b/>
          <w:color w:val="000000"/>
        </w:rPr>
      </w:pPr>
      <w:r w:rsidRPr="00B93639">
        <w:rPr>
          <w:rFonts w:ascii="Arial" w:hAnsi="Arial" w:cs="Arial"/>
          <w:b/>
        </w:rPr>
        <w:t>ACTION</w:t>
      </w:r>
      <w:r w:rsidRPr="00B93639">
        <w:rPr>
          <w:rFonts w:ascii="Arial" w:hAnsi="Arial" w:cs="Arial"/>
          <w:b/>
          <w:color w:val="000000"/>
        </w:rPr>
        <w:t xml:space="preserve">: </w:t>
      </w:r>
      <w:r w:rsidRPr="00B93639">
        <w:rPr>
          <w:rFonts w:ascii="Arial" w:hAnsi="Arial" w:cs="Arial"/>
          <w:color w:val="000000"/>
        </w:rPr>
        <w:t>RAN4 asks RAN</w:t>
      </w:r>
      <w:r w:rsidR="00D24837">
        <w:rPr>
          <w:rFonts w:ascii="Arial" w:hAnsi="Arial" w:cs="Arial"/>
          <w:color w:val="000000"/>
        </w:rPr>
        <w:t>2</w:t>
      </w:r>
      <w:r w:rsidRPr="00B93639">
        <w:rPr>
          <w:rFonts w:ascii="Arial" w:hAnsi="Arial" w:cs="Arial"/>
          <w:color w:val="000000"/>
        </w:rPr>
        <w:t xml:space="preserve"> to take the above into account</w:t>
      </w:r>
      <w:r>
        <w:rPr>
          <w:rFonts w:ascii="Arial" w:hAnsi="Arial" w:cs="Arial"/>
          <w:color w:val="000000"/>
        </w:rPr>
        <w:t>.</w:t>
      </w:r>
      <w:r w:rsidRPr="00B93639">
        <w:rPr>
          <w:rFonts w:ascii="Arial" w:hAnsi="Arial" w:cs="Arial"/>
          <w:b/>
          <w:color w:val="000000"/>
        </w:rPr>
        <w:tab/>
      </w:r>
    </w:p>
    <w:p w14:paraId="743E6309" w14:textId="77777777" w:rsidR="00344B3E" w:rsidRPr="00B93639" w:rsidRDefault="00344B3E" w:rsidP="00344B3E">
      <w:pPr>
        <w:spacing w:after="120"/>
        <w:ind w:left="993" w:hanging="993"/>
        <w:rPr>
          <w:rFonts w:ascii="Arial" w:hAnsi="Arial" w:cs="Arial"/>
        </w:rPr>
      </w:pPr>
    </w:p>
    <w:p w14:paraId="186A46A9" w14:textId="77777777" w:rsidR="00344B3E" w:rsidRPr="00763013" w:rsidRDefault="00344B3E" w:rsidP="00344B3E">
      <w:pPr>
        <w:spacing w:after="120"/>
        <w:ind w:left="993" w:hanging="993"/>
        <w:rPr>
          <w:rFonts w:ascii="Arial" w:hAnsi="Arial" w:cs="Arial"/>
          <w:b/>
          <w:color w:val="000000"/>
        </w:rPr>
      </w:pPr>
      <w:r w:rsidRPr="00763013">
        <w:rPr>
          <w:rFonts w:ascii="Arial" w:hAnsi="Arial" w:cs="Arial"/>
          <w:b/>
        </w:rPr>
        <w:lastRenderedPageBreak/>
        <w:t xml:space="preserve">3. </w:t>
      </w:r>
      <w:r w:rsidRPr="00763013">
        <w:rPr>
          <w:rFonts w:ascii="Arial" w:hAnsi="Arial" w:cs="Arial"/>
          <w:b/>
          <w:color w:val="000000"/>
        </w:rPr>
        <w:t>Date of Next RAN WG4 Meetings:</w:t>
      </w:r>
    </w:p>
    <w:p w14:paraId="40257492" w14:textId="4E2F36AE" w:rsidR="00344B3E" w:rsidRPr="00CA4150" w:rsidRDefault="00344B3E" w:rsidP="00344B3E">
      <w:pPr>
        <w:tabs>
          <w:tab w:val="left" w:pos="5103"/>
        </w:tabs>
        <w:spacing w:after="120"/>
        <w:ind w:left="2268" w:hanging="2268"/>
        <w:rPr>
          <w:rFonts w:ascii="Arial" w:hAnsi="Arial" w:cs="Arial"/>
          <w:bCs/>
          <w:color w:val="000000"/>
          <w:lang w:val="sv-SE"/>
        </w:rPr>
      </w:pPr>
      <w:r w:rsidRPr="00CA4150">
        <w:rPr>
          <w:rFonts w:ascii="Arial" w:hAnsi="Arial" w:cs="Arial"/>
          <w:bCs/>
          <w:color w:val="000000"/>
          <w:lang w:val="sv-SE"/>
        </w:rPr>
        <w:t>3GPPRAN4#</w:t>
      </w:r>
      <w:r w:rsidR="00815CDB" w:rsidRPr="00CA4150">
        <w:rPr>
          <w:rFonts w:ascii="Arial" w:hAnsi="Arial" w:cs="Arial"/>
          <w:bCs/>
          <w:color w:val="000000"/>
          <w:lang w:val="sv-SE"/>
        </w:rPr>
        <w:t>100-e</w:t>
      </w:r>
      <w:r w:rsidRPr="00CA4150">
        <w:rPr>
          <w:rFonts w:ascii="Arial" w:hAnsi="Arial" w:cs="Arial"/>
          <w:bCs/>
          <w:color w:val="000000"/>
          <w:lang w:val="sv-SE"/>
        </w:rPr>
        <w:tab/>
      </w:r>
    </w:p>
    <w:p w14:paraId="77F5E133" w14:textId="4F909DA4" w:rsidR="00344B3E" w:rsidRPr="00CA4150" w:rsidRDefault="00344B3E" w:rsidP="00344B3E">
      <w:pPr>
        <w:tabs>
          <w:tab w:val="left" w:pos="5103"/>
        </w:tabs>
        <w:spacing w:after="120"/>
        <w:ind w:left="2268" w:hanging="2268"/>
        <w:rPr>
          <w:rFonts w:ascii="Arial" w:hAnsi="Arial" w:cs="Arial"/>
          <w:bCs/>
          <w:color w:val="000000"/>
          <w:lang w:val="sv-SE"/>
        </w:rPr>
      </w:pPr>
      <w:r w:rsidRPr="00CA4150">
        <w:rPr>
          <w:rFonts w:ascii="Arial" w:hAnsi="Arial" w:cs="Arial"/>
          <w:bCs/>
          <w:color w:val="000000"/>
          <w:lang w:val="sv-SE"/>
        </w:rPr>
        <w:t>3GPPRAN4#</w:t>
      </w:r>
      <w:r w:rsidR="00815CDB" w:rsidRPr="00CA4150">
        <w:rPr>
          <w:rFonts w:ascii="Arial" w:hAnsi="Arial" w:cs="Arial"/>
          <w:bCs/>
          <w:color w:val="000000"/>
          <w:lang w:val="sv-SE"/>
        </w:rPr>
        <w:t>101-</w:t>
      </w:r>
      <w:r w:rsidR="00763013" w:rsidRPr="00CA4150">
        <w:rPr>
          <w:rFonts w:ascii="Arial" w:hAnsi="Arial" w:cs="Arial"/>
          <w:bCs/>
          <w:color w:val="000000"/>
          <w:lang w:val="sv-SE"/>
        </w:rPr>
        <w:t>bis-</w:t>
      </w:r>
      <w:r w:rsidR="00815CDB" w:rsidRPr="00CA4150">
        <w:rPr>
          <w:rFonts w:ascii="Arial" w:hAnsi="Arial" w:cs="Arial"/>
          <w:bCs/>
          <w:color w:val="000000"/>
          <w:lang w:val="sv-SE"/>
        </w:rPr>
        <w:t>e</w:t>
      </w:r>
      <w:r w:rsidRPr="00CA4150">
        <w:rPr>
          <w:rFonts w:ascii="Arial" w:hAnsi="Arial" w:cs="Arial"/>
          <w:bCs/>
          <w:color w:val="000000"/>
          <w:lang w:val="sv-SE"/>
        </w:rPr>
        <w:tab/>
      </w:r>
    </w:p>
    <w:p w14:paraId="7EAD9CC2" w14:textId="77777777" w:rsidR="00F60BF9" w:rsidRPr="00CA4150" w:rsidRDefault="00F60BF9" w:rsidP="001977B2">
      <w:pPr>
        <w:pStyle w:val="BodyText"/>
        <w:rPr>
          <w:lang w:val="sv-SE"/>
        </w:rPr>
      </w:pPr>
    </w:p>
    <w:sectPr w:rsidR="00F60BF9" w:rsidRPr="00CA4150">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C758D1" w14:textId="77777777" w:rsidR="00841657" w:rsidRDefault="00841657">
      <w:r>
        <w:separator/>
      </w:r>
    </w:p>
  </w:endnote>
  <w:endnote w:type="continuationSeparator" w:id="0">
    <w:p w14:paraId="5BFF9D45" w14:textId="77777777" w:rsidR="00841657" w:rsidRDefault="00841657">
      <w:r>
        <w:continuationSeparator/>
      </w:r>
    </w:p>
  </w:endnote>
  <w:endnote w:type="continuationNotice" w:id="1">
    <w:p w14:paraId="6727044E" w14:textId="77777777" w:rsidR="004D2BB2" w:rsidRDefault="004D2B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D28DA8" w14:textId="77777777" w:rsidR="00841657" w:rsidRDefault="00841657">
      <w:r>
        <w:separator/>
      </w:r>
    </w:p>
  </w:footnote>
  <w:footnote w:type="continuationSeparator" w:id="0">
    <w:p w14:paraId="04688760" w14:textId="77777777" w:rsidR="00841657" w:rsidRDefault="00841657">
      <w:r>
        <w:continuationSeparator/>
      </w:r>
    </w:p>
  </w:footnote>
  <w:footnote w:type="continuationNotice" w:id="1">
    <w:p w14:paraId="273E09A7" w14:textId="77777777" w:rsidR="004D2BB2" w:rsidRDefault="004D2BB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9672DC1"/>
    <w:multiLevelType w:val="hybridMultilevel"/>
    <w:tmpl w:val="EB826A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E844408"/>
    <w:multiLevelType w:val="hybridMultilevel"/>
    <w:tmpl w:val="7960DB3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02836A0"/>
    <w:multiLevelType w:val="hybridMultilevel"/>
    <w:tmpl w:val="179C0DF2"/>
    <w:lvl w:ilvl="0" w:tplc="367A48AA">
      <w:start w:val="1"/>
      <w:numFmt w:val="decimal"/>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5A6717D"/>
    <w:multiLevelType w:val="hybridMultilevel"/>
    <w:tmpl w:val="FF14541E"/>
    <w:lvl w:ilvl="0" w:tplc="A9603156">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571E52FD"/>
    <w:multiLevelType w:val="hybridMultilevel"/>
    <w:tmpl w:val="093219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0FD2148"/>
    <w:multiLevelType w:val="hybridMultilevel"/>
    <w:tmpl w:val="E21275CA"/>
    <w:lvl w:ilvl="0" w:tplc="2DEAAE08">
      <w:start w:val="1"/>
      <w:numFmt w:val="bullet"/>
      <w:lvlText w:val="•"/>
      <w:lvlJc w:val="left"/>
      <w:pPr>
        <w:tabs>
          <w:tab w:val="num" w:pos="720"/>
        </w:tabs>
        <w:ind w:left="720" w:hanging="360"/>
      </w:pPr>
      <w:rPr>
        <w:rFonts w:ascii="Arial" w:hAnsi="Arial" w:hint="default"/>
      </w:rPr>
    </w:lvl>
    <w:lvl w:ilvl="1" w:tplc="E6246F4C">
      <w:numFmt w:val="bullet"/>
      <w:lvlText w:val="-"/>
      <w:lvlJc w:val="left"/>
      <w:pPr>
        <w:tabs>
          <w:tab w:val="num" w:pos="1440"/>
        </w:tabs>
        <w:ind w:left="1440" w:hanging="360"/>
      </w:pPr>
      <w:rPr>
        <w:rFonts w:ascii="Calibri" w:hAnsi="Calibri" w:hint="default"/>
      </w:rPr>
    </w:lvl>
    <w:lvl w:ilvl="2" w:tplc="1A9AC75C">
      <w:numFmt w:val="bullet"/>
      <w:lvlText w:val="•"/>
      <w:lvlJc w:val="left"/>
      <w:pPr>
        <w:tabs>
          <w:tab w:val="num" w:pos="2160"/>
        </w:tabs>
        <w:ind w:left="2160" w:hanging="360"/>
      </w:pPr>
      <w:rPr>
        <w:rFonts w:ascii="Arial" w:hAnsi="Arial" w:hint="default"/>
      </w:rPr>
    </w:lvl>
    <w:lvl w:ilvl="3" w:tplc="B2FE4854" w:tentative="1">
      <w:start w:val="1"/>
      <w:numFmt w:val="bullet"/>
      <w:lvlText w:val="•"/>
      <w:lvlJc w:val="left"/>
      <w:pPr>
        <w:tabs>
          <w:tab w:val="num" w:pos="2880"/>
        </w:tabs>
        <w:ind w:left="2880" w:hanging="360"/>
      </w:pPr>
      <w:rPr>
        <w:rFonts w:ascii="Arial" w:hAnsi="Arial" w:hint="default"/>
      </w:rPr>
    </w:lvl>
    <w:lvl w:ilvl="4" w:tplc="37BC94D6" w:tentative="1">
      <w:start w:val="1"/>
      <w:numFmt w:val="bullet"/>
      <w:lvlText w:val="•"/>
      <w:lvlJc w:val="left"/>
      <w:pPr>
        <w:tabs>
          <w:tab w:val="num" w:pos="3600"/>
        </w:tabs>
        <w:ind w:left="3600" w:hanging="360"/>
      </w:pPr>
      <w:rPr>
        <w:rFonts w:ascii="Arial" w:hAnsi="Arial" w:hint="default"/>
      </w:rPr>
    </w:lvl>
    <w:lvl w:ilvl="5" w:tplc="72A247D2" w:tentative="1">
      <w:start w:val="1"/>
      <w:numFmt w:val="bullet"/>
      <w:lvlText w:val="•"/>
      <w:lvlJc w:val="left"/>
      <w:pPr>
        <w:tabs>
          <w:tab w:val="num" w:pos="4320"/>
        </w:tabs>
        <w:ind w:left="4320" w:hanging="360"/>
      </w:pPr>
      <w:rPr>
        <w:rFonts w:ascii="Arial" w:hAnsi="Arial" w:hint="default"/>
      </w:rPr>
    </w:lvl>
    <w:lvl w:ilvl="6" w:tplc="DA4E73DC" w:tentative="1">
      <w:start w:val="1"/>
      <w:numFmt w:val="bullet"/>
      <w:lvlText w:val="•"/>
      <w:lvlJc w:val="left"/>
      <w:pPr>
        <w:tabs>
          <w:tab w:val="num" w:pos="5040"/>
        </w:tabs>
        <w:ind w:left="5040" w:hanging="360"/>
      </w:pPr>
      <w:rPr>
        <w:rFonts w:ascii="Arial" w:hAnsi="Arial" w:hint="default"/>
      </w:rPr>
    </w:lvl>
    <w:lvl w:ilvl="7" w:tplc="48348A6C" w:tentative="1">
      <w:start w:val="1"/>
      <w:numFmt w:val="bullet"/>
      <w:lvlText w:val="•"/>
      <w:lvlJc w:val="left"/>
      <w:pPr>
        <w:tabs>
          <w:tab w:val="num" w:pos="5760"/>
        </w:tabs>
        <w:ind w:left="5760" w:hanging="360"/>
      </w:pPr>
      <w:rPr>
        <w:rFonts w:ascii="Arial" w:hAnsi="Arial" w:hint="default"/>
      </w:rPr>
    </w:lvl>
    <w:lvl w:ilvl="8" w:tplc="C0CA8CA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6104E50"/>
    <w:multiLevelType w:val="hybridMultilevel"/>
    <w:tmpl w:val="43709502"/>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66EB1BF8"/>
    <w:multiLevelType w:val="hybridMultilevel"/>
    <w:tmpl w:val="5008B42A"/>
    <w:lvl w:ilvl="0" w:tplc="504A9DDE">
      <w:start w:val="1"/>
      <w:numFmt w:val="bullet"/>
      <w:lvlText w:val="•"/>
      <w:lvlJc w:val="left"/>
      <w:pPr>
        <w:tabs>
          <w:tab w:val="num" w:pos="720"/>
        </w:tabs>
        <w:ind w:left="720" w:hanging="360"/>
      </w:pPr>
      <w:rPr>
        <w:rFonts w:ascii="Arial" w:hAnsi="Arial" w:hint="default"/>
      </w:rPr>
    </w:lvl>
    <w:lvl w:ilvl="1" w:tplc="F364DFDC">
      <w:numFmt w:val="bullet"/>
      <w:lvlText w:val="-"/>
      <w:lvlJc w:val="left"/>
      <w:pPr>
        <w:tabs>
          <w:tab w:val="num" w:pos="1440"/>
        </w:tabs>
        <w:ind w:left="1440" w:hanging="360"/>
      </w:pPr>
      <w:rPr>
        <w:rFonts w:ascii="Calibri" w:hAnsi="Calibri" w:hint="default"/>
      </w:rPr>
    </w:lvl>
    <w:lvl w:ilvl="2" w:tplc="AAA85CE8">
      <w:numFmt w:val="bullet"/>
      <w:lvlText w:val="•"/>
      <w:lvlJc w:val="left"/>
      <w:pPr>
        <w:tabs>
          <w:tab w:val="num" w:pos="2160"/>
        </w:tabs>
        <w:ind w:left="2160" w:hanging="360"/>
      </w:pPr>
      <w:rPr>
        <w:rFonts w:ascii="Arial" w:hAnsi="Arial" w:hint="default"/>
      </w:rPr>
    </w:lvl>
    <w:lvl w:ilvl="3" w:tplc="A69E9440" w:tentative="1">
      <w:start w:val="1"/>
      <w:numFmt w:val="bullet"/>
      <w:lvlText w:val="•"/>
      <w:lvlJc w:val="left"/>
      <w:pPr>
        <w:tabs>
          <w:tab w:val="num" w:pos="2880"/>
        </w:tabs>
        <w:ind w:left="2880" w:hanging="360"/>
      </w:pPr>
      <w:rPr>
        <w:rFonts w:ascii="Arial" w:hAnsi="Arial" w:hint="default"/>
      </w:rPr>
    </w:lvl>
    <w:lvl w:ilvl="4" w:tplc="D514F6E8" w:tentative="1">
      <w:start w:val="1"/>
      <w:numFmt w:val="bullet"/>
      <w:lvlText w:val="•"/>
      <w:lvlJc w:val="left"/>
      <w:pPr>
        <w:tabs>
          <w:tab w:val="num" w:pos="3600"/>
        </w:tabs>
        <w:ind w:left="3600" w:hanging="360"/>
      </w:pPr>
      <w:rPr>
        <w:rFonts w:ascii="Arial" w:hAnsi="Arial" w:hint="default"/>
      </w:rPr>
    </w:lvl>
    <w:lvl w:ilvl="5" w:tplc="B194FC36" w:tentative="1">
      <w:start w:val="1"/>
      <w:numFmt w:val="bullet"/>
      <w:lvlText w:val="•"/>
      <w:lvlJc w:val="left"/>
      <w:pPr>
        <w:tabs>
          <w:tab w:val="num" w:pos="4320"/>
        </w:tabs>
        <w:ind w:left="4320" w:hanging="360"/>
      </w:pPr>
      <w:rPr>
        <w:rFonts w:ascii="Arial" w:hAnsi="Arial" w:hint="default"/>
      </w:rPr>
    </w:lvl>
    <w:lvl w:ilvl="6" w:tplc="41AA885C" w:tentative="1">
      <w:start w:val="1"/>
      <w:numFmt w:val="bullet"/>
      <w:lvlText w:val="•"/>
      <w:lvlJc w:val="left"/>
      <w:pPr>
        <w:tabs>
          <w:tab w:val="num" w:pos="5040"/>
        </w:tabs>
        <w:ind w:left="5040" w:hanging="360"/>
      </w:pPr>
      <w:rPr>
        <w:rFonts w:ascii="Arial" w:hAnsi="Arial" w:hint="default"/>
      </w:rPr>
    </w:lvl>
    <w:lvl w:ilvl="7" w:tplc="DD1047C0" w:tentative="1">
      <w:start w:val="1"/>
      <w:numFmt w:val="bullet"/>
      <w:lvlText w:val="•"/>
      <w:lvlJc w:val="left"/>
      <w:pPr>
        <w:tabs>
          <w:tab w:val="num" w:pos="5760"/>
        </w:tabs>
        <w:ind w:left="5760" w:hanging="360"/>
      </w:pPr>
      <w:rPr>
        <w:rFonts w:ascii="Arial" w:hAnsi="Arial" w:hint="default"/>
      </w:rPr>
    </w:lvl>
    <w:lvl w:ilvl="8" w:tplc="0D0AA5C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AA973B6"/>
    <w:multiLevelType w:val="hybridMultilevel"/>
    <w:tmpl w:val="2B76BE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7B733B82"/>
    <w:multiLevelType w:val="hybridMultilevel"/>
    <w:tmpl w:val="4CF83EA4"/>
    <w:lvl w:ilvl="0" w:tplc="972AD276">
      <w:start w:val="1"/>
      <w:numFmt w:val="bullet"/>
      <w:lvlText w:val="•"/>
      <w:lvlJc w:val="left"/>
      <w:pPr>
        <w:tabs>
          <w:tab w:val="num" w:pos="720"/>
        </w:tabs>
        <w:ind w:left="720" w:hanging="360"/>
      </w:pPr>
      <w:rPr>
        <w:rFonts w:ascii="Arial" w:hAnsi="Arial" w:hint="default"/>
      </w:rPr>
    </w:lvl>
    <w:lvl w:ilvl="1" w:tplc="96722C64">
      <w:numFmt w:val="bullet"/>
      <w:lvlText w:val="•"/>
      <w:lvlJc w:val="left"/>
      <w:pPr>
        <w:tabs>
          <w:tab w:val="num" w:pos="1440"/>
        </w:tabs>
        <w:ind w:left="1440" w:hanging="360"/>
      </w:pPr>
      <w:rPr>
        <w:rFonts w:ascii="Arial" w:hAnsi="Arial" w:hint="default"/>
      </w:rPr>
    </w:lvl>
    <w:lvl w:ilvl="2" w:tplc="5AF861EA" w:tentative="1">
      <w:start w:val="1"/>
      <w:numFmt w:val="bullet"/>
      <w:lvlText w:val="•"/>
      <w:lvlJc w:val="left"/>
      <w:pPr>
        <w:tabs>
          <w:tab w:val="num" w:pos="2160"/>
        </w:tabs>
        <w:ind w:left="2160" w:hanging="360"/>
      </w:pPr>
      <w:rPr>
        <w:rFonts w:ascii="Arial" w:hAnsi="Arial" w:hint="default"/>
      </w:rPr>
    </w:lvl>
    <w:lvl w:ilvl="3" w:tplc="B786013C" w:tentative="1">
      <w:start w:val="1"/>
      <w:numFmt w:val="bullet"/>
      <w:lvlText w:val="•"/>
      <w:lvlJc w:val="left"/>
      <w:pPr>
        <w:tabs>
          <w:tab w:val="num" w:pos="2880"/>
        </w:tabs>
        <w:ind w:left="2880" w:hanging="360"/>
      </w:pPr>
      <w:rPr>
        <w:rFonts w:ascii="Arial" w:hAnsi="Arial" w:hint="default"/>
      </w:rPr>
    </w:lvl>
    <w:lvl w:ilvl="4" w:tplc="DDA0D450" w:tentative="1">
      <w:start w:val="1"/>
      <w:numFmt w:val="bullet"/>
      <w:lvlText w:val="•"/>
      <w:lvlJc w:val="left"/>
      <w:pPr>
        <w:tabs>
          <w:tab w:val="num" w:pos="3600"/>
        </w:tabs>
        <w:ind w:left="3600" w:hanging="360"/>
      </w:pPr>
      <w:rPr>
        <w:rFonts w:ascii="Arial" w:hAnsi="Arial" w:hint="default"/>
      </w:rPr>
    </w:lvl>
    <w:lvl w:ilvl="5" w:tplc="C24EAEF2" w:tentative="1">
      <w:start w:val="1"/>
      <w:numFmt w:val="bullet"/>
      <w:lvlText w:val="•"/>
      <w:lvlJc w:val="left"/>
      <w:pPr>
        <w:tabs>
          <w:tab w:val="num" w:pos="4320"/>
        </w:tabs>
        <w:ind w:left="4320" w:hanging="360"/>
      </w:pPr>
      <w:rPr>
        <w:rFonts w:ascii="Arial" w:hAnsi="Arial" w:hint="default"/>
      </w:rPr>
    </w:lvl>
    <w:lvl w:ilvl="6" w:tplc="2C4E1574" w:tentative="1">
      <w:start w:val="1"/>
      <w:numFmt w:val="bullet"/>
      <w:lvlText w:val="•"/>
      <w:lvlJc w:val="left"/>
      <w:pPr>
        <w:tabs>
          <w:tab w:val="num" w:pos="5040"/>
        </w:tabs>
        <w:ind w:left="5040" w:hanging="360"/>
      </w:pPr>
      <w:rPr>
        <w:rFonts w:ascii="Arial" w:hAnsi="Arial" w:hint="default"/>
      </w:rPr>
    </w:lvl>
    <w:lvl w:ilvl="7" w:tplc="415A8DA0" w:tentative="1">
      <w:start w:val="1"/>
      <w:numFmt w:val="bullet"/>
      <w:lvlText w:val="•"/>
      <w:lvlJc w:val="left"/>
      <w:pPr>
        <w:tabs>
          <w:tab w:val="num" w:pos="5760"/>
        </w:tabs>
        <w:ind w:left="5760" w:hanging="360"/>
      </w:pPr>
      <w:rPr>
        <w:rFonts w:ascii="Arial" w:hAnsi="Arial" w:hint="default"/>
      </w:rPr>
    </w:lvl>
    <w:lvl w:ilvl="8" w:tplc="AD68125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17"/>
  </w:num>
  <w:num w:numId="4">
    <w:abstractNumId w:val="5"/>
  </w:num>
  <w:num w:numId="5">
    <w:abstractNumId w:val="1"/>
  </w:num>
  <w:num w:numId="6">
    <w:abstractNumId w:val="9"/>
  </w:num>
  <w:num w:numId="7">
    <w:abstractNumId w:val="14"/>
  </w:num>
  <w:num w:numId="8">
    <w:abstractNumId w:val="15"/>
  </w:num>
  <w:num w:numId="9">
    <w:abstractNumId w:val="13"/>
  </w:num>
  <w:num w:numId="10">
    <w:abstractNumId w:val="4"/>
  </w:num>
  <w:num w:numId="11">
    <w:abstractNumId w:val="12"/>
  </w:num>
  <w:num w:numId="12">
    <w:abstractNumId w:val="3"/>
  </w:num>
  <w:num w:numId="13">
    <w:abstractNumId w:val="11"/>
  </w:num>
  <w:num w:numId="14">
    <w:abstractNumId w:val="16"/>
  </w:num>
  <w:num w:numId="15">
    <w:abstractNumId w:val="8"/>
  </w:num>
  <w:num w:numId="16">
    <w:abstractNumId w:val="10"/>
  </w:num>
  <w:num w:numId="17">
    <w:abstractNumId w:val="2"/>
  </w:num>
  <w:num w:numId="18">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FA0"/>
    <w:rsid w:val="00001117"/>
    <w:rsid w:val="00001429"/>
    <w:rsid w:val="00001B9D"/>
    <w:rsid w:val="00001BBB"/>
    <w:rsid w:val="00001DBB"/>
    <w:rsid w:val="00001EAD"/>
    <w:rsid w:val="00002493"/>
    <w:rsid w:val="000027C4"/>
    <w:rsid w:val="000027D7"/>
    <w:rsid w:val="0000281C"/>
    <w:rsid w:val="00002FA6"/>
    <w:rsid w:val="0000474F"/>
    <w:rsid w:val="000051FA"/>
    <w:rsid w:val="000051FF"/>
    <w:rsid w:val="000054CB"/>
    <w:rsid w:val="00005BDB"/>
    <w:rsid w:val="0001008F"/>
    <w:rsid w:val="000104F3"/>
    <w:rsid w:val="000105D8"/>
    <w:rsid w:val="0001067C"/>
    <w:rsid w:val="00010B48"/>
    <w:rsid w:val="0001115D"/>
    <w:rsid w:val="00011D70"/>
    <w:rsid w:val="00012053"/>
    <w:rsid w:val="00012E79"/>
    <w:rsid w:val="000132DD"/>
    <w:rsid w:val="00013576"/>
    <w:rsid w:val="00013E04"/>
    <w:rsid w:val="00014B15"/>
    <w:rsid w:val="00014CA4"/>
    <w:rsid w:val="00014ED0"/>
    <w:rsid w:val="00014ED4"/>
    <w:rsid w:val="0001501C"/>
    <w:rsid w:val="00015158"/>
    <w:rsid w:val="000165F6"/>
    <w:rsid w:val="000166A1"/>
    <w:rsid w:val="00016A00"/>
    <w:rsid w:val="00016CF1"/>
    <w:rsid w:val="000172C8"/>
    <w:rsid w:val="00017365"/>
    <w:rsid w:val="00017A19"/>
    <w:rsid w:val="00017D10"/>
    <w:rsid w:val="00017E61"/>
    <w:rsid w:val="0002053A"/>
    <w:rsid w:val="000205AD"/>
    <w:rsid w:val="0002074C"/>
    <w:rsid w:val="00020B90"/>
    <w:rsid w:val="00021391"/>
    <w:rsid w:val="000219C4"/>
    <w:rsid w:val="00021F08"/>
    <w:rsid w:val="00022837"/>
    <w:rsid w:val="0002360E"/>
    <w:rsid w:val="000237F0"/>
    <w:rsid w:val="00024508"/>
    <w:rsid w:val="0002457C"/>
    <w:rsid w:val="00024825"/>
    <w:rsid w:val="00024981"/>
    <w:rsid w:val="00024A0C"/>
    <w:rsid w:val="000259FD"/>
    <w:rsid w:val="0002615A"/>
    <w:rsid w:val="00027540"/>
    <w:rsid w:val="00027A97"/>
    <w:rsid w:val="00030006"/>
    <w:rsid w:val="000301E9"/>
    <w:rsid w:val="0003063D"/>
    <w:rsid w:val="000308AC"/>
    <w:rsid w:val="0003095D"/>
    <w:rsid w:val="000309CB"/>
    <w:rsid w:val="000311CE"/>
    <w:rsid w:val="000318BE"/>
    <w:rsid w:val="00031BC6"/>
    <w:rsid w:val="00031C92"/>
    <w:rsid w:val="00031E8A"/>
    <w:rsid w:val="0003205B"/>
    <w:rsid w:val="0003242B"/>
    <w:rsid w:val="00032514"/>
    <w:rsid w:val="000327C8"/>
    <w:rsid w:val="00032838"/>
    <w:rsid w:val="0003326E"/>
    <w:rsid w:val="000334E4"/>
    <w:rsid w:val="000338BC"/>
    <w:rsid w:val="00033D50"/>
    <w:rsid w:val="00034A23"/>
    <w:rsid w:val="00035209"/>
    <w:rsid w:val="00035750"/>
    <w:rsid w:val="00036205"/>
    <w:rsid w:val="00036C32"/>
    <w:rsid w:val="00036E28"/>
    <w:rsid w:val="000378B0"/>
    <w:rsid w:val="00037BA8"/>
    <w:rsid w:val="00037C84"/>
    <w:rsid w:val="00037C8C"/>
    <w:rsid w:val="000408DC"/>
    <w:rsid w:val="0004120A"/>
    <w:rsid w:val="000412D0"/>
    <w:rsid w:val="0004138F"/>
    <w:rsid w:val="0004222A"/>
    <w:rsid w:val="000423D8"/>
    <w:rsid w:val="00042C87"/>
    <w:rsid w:val="00043490"/>
    <w:rsid w:val="00043861"/>
    <w:rsid w:val="00043D4E"/>
    <w:rsid w:val="00043DE0"/>
    <w:rsid w:val="0004413E"/>
    <w:rsid w:val="00044225"/>
    <w:rsid w:val="0004453E"/>
    <w:rsid w:val="00044BD0"/>
    <w:rsid w:val="00044CB4"/>
    <w:rsid w:val="0004522E"/>
    <w:rsid w:val="000455AB"/>
    <w:rsid w:val="0004599A"/>
    <w:rsid w:val="00045B2A"/>
    <w:rsid w:val="00045C2A"/>
    <w:rsid w:val="00045C75"/>
    <w:rsid w:val="000460A1"/>
    <w:rsid w:val="0004685F"/>
    <w:rsid w:val="0004694B"/>
    <w:rsid w:val="00047837"/>
    <w:rsid w:val="00047B4A"/>
    <w:rsid w:val="00050824"/>
    <w:rsid w:val="000508C9"/>
    <w:rsid w:val="00050AE7"/>
    <w:rsid w:val="00050CE4"/>
    <w:rsid w:val="00050E6C"/>
    <w:rsid w:val="00051279"/>
    <w:rsid w:val="000519D5"/>
    <w:rsid w:val="00051C43"/>
    <w:rsid w:val="00051CCD"/>
    <w:rsid w:val="00051CD9"/>
    <w:rsid w:val="0005291B"/>
    <w:rsid w:val="00052D58"/>
    <w:rsid w:val="0005352F"/>
    <w:rsid w:val="00053817"/>
    <w:rsid w:val="00053876"/>
    <w:rsid w:val="0005430C"/>
    <w:rsid w:val="0005441F"/>
    <w:rsid w:val="00055444"/>
    <w:rsid w:val="00055541"/>
    <w:rsid w:val="0005591E"/>
    <w:rsid w:val="00055C97"/>
    <w:rsid w:val="00055F84"/>
    <w:rsid w:val="00056106"/>
    <w:rsid w:val="000561B7"/>
    <w:rsid w:val="000566DC"/>
    <w:rsid w:val="00056973"/>
    <w:rsid w:val="00056BB8"/>
    <w:rsid w:val="00056DA8"/>
    <w:rsid w:val="00057100"/>
    <w:rsid w:val="00057638"/>
    <w:rsid w:val="0005789E"/>
    <w:rsid w:val="00057B93"/>
    <w:rsid w:val="00057D86"/>
    <w:rsid w:val="0006072E"/>
    <w:rsid w:val="00060B6F"/>
    <w:rsid w:val="000615C1"/>
    <w:rsid w:val="00061D8D"/>
    <w:rsid w:val="0006287A"/>
    <w:rsid w:val="00063101"/>
    <w:rsid w:val="000634C7"/>
    <w:rsid w:val="00065275"/>
    <w:rsid w:val="00065CB3"/>
    <w:rsid w:val="00066142"/>
    <w:rsid w:val="00066B19"/>
    <w:rsid w:val="00066C12"/>
    <w:rsid w:val="00066E6D"/>
    <w:rsid w:val="00066F62"/>
    <w:rsid w:val="00067882"/>
    <w:rsid w:val="0006793C"/>
    <w:rsid w:val="00067B1B"/>
    <w:rsid w:val="00067D9A"/>
    <w:rsid w:val="000703ED"/>
    <w:rsid w:val="00071011"/>
    <w:rsid w:val="000715FA"/>
    <w:rsid w:val="0007187D"/>
    <w:rsid w:val="00071A4C"/>
    <w:rsid w:val="00072052"/>
    <w:rsid w:val="00072165"/>
    <w:rsid w:val="0007271F"/>
    <w:rsid w:val="00072A39"/>
    <w:rsid w:val="00072C23"/>
    <w:rsid w:val="00072E7A"/>
    <w:rsid w:val="00072F00"/>
    <w:rsid w:val="00072FA7"/>
    <w:rsid w:val="000730CD"/>
    <w:rsid w:val="000735CD"/>
    <w:rsid w:val="00073E13"/>
    <w:rsid w:val="000747CF"/>
    <w:rsid w:val="00074FF8"/>
    <w:rsid w:val="00075137"/>
    <w:rsid w:val="0007517B"/>
    <w:rsid w:val="0007562F"/>
    <w:rsid w:val="0007585A"/>
    <w:rsid w:val="00075967"/>
    <w:rsid w:val="00075BBE"/>
    <w:rsid w:val="000764E1"/>
    <w:rsid w:val="000765D1"/>
    <w:rsid w:val="00076732"/>
    <w:rsid w:val="00076FF6"/>
    <w:rsid w:val="0007700C"/>
    <w:rsid w:val="00081325"/>
    <w:rsid w:val="000816C9"/>
    <w:rsid w:val="00081A0C"/>
    <w:rsid w:val="00082445"/>
    <w:rsid w:val="000827D8"/>
    <w:rsid w:val="00082A84"/>
    <w:rsid w:val="00082F42"/>
    <w:rsid w:val="00082FB0"/>
    <w:rsid w:val="000841F4"/>
    <w:rsid w:val="00084A20"/>
    <w:rsid w:val="00084E14"/>
    <w:rsid w:val="0008503B"/>
    <w:rsid w:val="00085C5F"/>
    <w:rsid w:val="000862A1"/>
    <w:rsid w:val="0008652E"/>
    <w:rsid w:val="00086BD8"/>
    <w:rsid w:val="00087259"/>
    <w:rsid w:val="0008791E"/>
    <w:rsid w:val="00090047"/>
    <w:rsid w:val="000900D6"/>
    <w:rsid w:val="000901A5"/>
    <w:rsid w:val="0009061A"/>
    <w:rsid w:val="00090BD9"/>
    <w:rsid w:val="00090C23"/>
    <w:rsid w:val="000918EA"/>
    <w:rsid w:val="00091B08"/>
    <w:rsid w:val="0009241C"/>
    <w:rsid w:val="000927A6"/>
    <w:rsid w:val="00092BB7"/>
    <w:rsid w:val="00092EED"/>
    <w:rsid w:val="0009332B"/>
    <w:rsid w:val="00093B1A"/>
    <w:rsid w:val="0009415D"/>
    <w:rsid w:val="00094517"/>
    <w:rsid w:val="000954AF"/>
    <w:rsid w:val="000955A0"/>
    <w:rsid w:val="0009571E"/>
    <w:rsid w:val="0009574D"/>
    <w:rsid w:val="00096364"/>
    <w:rsid w:val="000964C7"/>
    <w:rsid w:val="00097113"/>
    <w:rsid w:val="000A008B"/>
    <w:rsid w:val="000A0761"/>
    <w:rsid w:val="000A198D"/>
    <w:rsid w:val="000A1BC0"/>
    <w:rsid w:val="000A1DE2"/>
    <w:rsid w:val="000A2A33"/>
    <w:rsid w:val="000A2B52"/>
    <w:rsid w:val="000A2BEC"/>
    <w:rsid w:val="000A32CA"/>
    <w:rsid w:val="000A3337"/>
    <w:rsid w:val="000A3C01"/>
    <w:rsid w:val="000A3C61"/>
    <w:rsid w:val="000A3DF5"/>
    <w:rsid w:val="000A498F"/>
    <w:rsid w:val="000A4C97"/>
    <w:rsid w:val="000A50DA"/>
    <w:rsid w:val="000A5291"/>
    <w:rsid w:val="000A5544"/>
    <w:rsid w:val="000A5706"/>
    <w:rsid w:val="000A6067"/>
    <w:rsid w:val="000A64FB"/>
    <w:rsid w:val="000A66CE"/>
    <w:rsid w:val="000A75A9"/>
    <w:rsid w:val="000A7750"/>
    <w:rsid w:val="000A7A4D"/>
    <w:rsid w:val="000A7D0E"/>
    <w:rsid w:val="000B0358"/>
    <w:rsid w:val="000B085C"/>
    <w:rsid w:val="000B0D9C"/>
    <w:rsid w:val="000B0F74"/>
    <w:rsid w:val="000B1B63"/>
    <w:rsid w:val="000B1D7E"/>
    <w:rsid w:val="000B3252"/>
    <w:rsid w:val="000B4533"/>
    <w:rsid w:val="000B4BBC"/>
    <w:rsid w:val="000B4BDD"/>
    <w:rsid w:val="000B4C0C"/>
    <w:rsid w:val="000B5202"/>
    <w:rsid w:val="000B5357"/>
    <w:rsid w:val="000B5893"/>
    <w:rsid w:val="000B58AE"/>
    <w:rsid w:val="000B6111"/>
    <w:rsid w:val="000B65BC"/>
    <w:rsid w:val="000B6BEC"/>
    <w:rsid w:val="000B6FC7"/>
    <w:rsid w:val="000B7680"/>
    <w:rsid w:val="000B7B56"/>
    <w:rsid w:val="000B7F2D"/>
    <w:rsid w:val="000C0EE8"/>
    <w:rsid w:val="000C1389"/>
    <w:rsid w:val="000C169E"/>
    <w:rsid w:val="000C1B44"/>
    <w:rsid w:val="000C1BA1"/>
    <w:rsid w:val="000C2DBF"/>
    <w:rsid w:val="000C3129"/>
    <w:rsid w:val="000C38CB"/>
    <w:rsid w:val="000C3BF3"/>
    <w:rsid w:val="000C3C4A"/>
    <w:rsid w:val="000C3E4A"/>
    <w:rsid w:val="000C4631"/>
    <w:rsid w:val="000C47DF"/>
    <w:rsid w:val="000C5226"/>
    <w:rsid w:val="000C564A"/>
    <w:rsid w:val="000C588B"/>
    <w:rsid w:val="000C5CBB"/>
    <w:rsid w:val="000C5EAB"/>
    <w:rsid w:val="000C62D7"/>
    <w:rsid w:val="000C650B"/>
    <w:rsid w:val="000C707F"/>
    <w:rsid w:val="000C741D"/>
    <w:rsid w:val="000C762A"/>
    <w:rsid w:val="000C7CAF"/>
    <w:rsid w:val="000D0447"/>
    <w:rsid w:val="000D0660"/>
    <w:rsid w:val="000D0C12"/>
    <w:rsid w:val="000D0E56"/>
    <w:rsid w:val="000D15F0"/>
    <w:rsid w:val="000D1B42"/>
    <w:rsid w:val="000D1F63"/>
    <w:rsid w:val="000D37E5"/>
    <w:rsid w:val="000D39F6"/>
    <w:rsid w:val="000D3A8B"/>
    <w:rsid w:val="000D4086"/>
    <w:rsid w:val="000D4ABA"/>
    <w:rsid w:val="000D4F2C"/>
    <w:rsid w:val="000D578E"/>
    <w:rsid w:val="000D5B4A"/>
    <w:rsid w:val="000D5BF8"/>
    <w:rsid w:val="000D5C5E"/>
    <w:rsid w:val="000D5C85"/>
    <w:rsid w:val="000D5FF0"/>
    <w:rsid w:val="000D6210"/>
    <w:rsid w:val="000D6825"/>
    <w:rsid w:val="000D7282"/>
    <w:rsid w:val="000D7B09"/>
    <w:rsid w:val="000D7B23"/>
    <w:rsid w:val="000E0133"/>
    <w:rsid w:val="000E0246"/>
    <w:rsid w:val="000E0434"/>
    <w:rsid w:val="000E0847"/>
    <w:rsid w:val="000E0D3B"/>
    <w:rsid w:val="000E10D1"/>
    <w:rsid w:val="000E1634"/>
    <w:rsid w:val="000E1B95"/>
    <w:rsid w:val="000E209F"/>
    <w:rsid w:val="000E20C5"/>
    <w:rsid w:val="000E39D5"/>
    <w:rsid w:val="000E3AE9"/>
    <w:rsid w:val="000E3DCE"/>
    <w:rsid w:val="000E491E"/>
    <w:rsid w:val="000E5383"/>
    <w:rsid w:val="000E544A"/>
    <w:rsid w:val="000E581F"/>
    <w:rsid w:val="000E6512"/>
    <w:rsid w:val="000E69D5"/>
    <w:rsid w:val="000E6C0C"/>
    <w:rsid w:val="000E6CCB"/>
    <w:rsid w:val="000E75AE"/>
    <w:rsid w:val="000E76C5"/>
    <w:rsid w:val="000E798D"/>
    <w:rsid w:val="000E7A18"/>
    <w:rsid w:val="000E7C8D"/>
    <w:rsid w:val="000F01FF"/>
    <w:rsid w:val="000F055D"/>
    <w:rsid w:val="000F092B"/>
    <w:rsid w:val="000F0966"/>
    <w:rsid w:val="000F17BA"/>
    <w:rsid w:val="000F1C85"/>
    <w:rsid w:val="000F1F06"/>
    <w:rsid w:val="000F22BC"/>
    <w:rsid w:val="000F2416"/>
    <w:rsid w:val="000F2437"/>
    <w:rsid w:val="000F2741"/>
    <w:rsid w:val="000F2DC8"/>
    <w:rsid w:val="000F2FCE"/>
    <w:rsid w:val="000F3129"/>
    <w:rsid w:val="000F4113"/>
    <w:rsid w:val="000F4359"/>
    <w:rsid w:val="000F437A"/>
    <w:rsid w:val="000F45ED"/>
    <w:rsid w:val="000F4798"/>
    <w:rsid w:val="000F493E"/>
    <w:rsid w:val="000F4B6B"/>
    <w:rsid w:val="000F4C4E"/>
    <w:rsid w:val="000F4F7A"/>
    <w:rsid w:val="000F6500"/>
    <w:rsid w:val="000F6B35"/>
    <w:rsid w:val="000F6DE5"/>
    <w:rsid w:val="000F7079"/>
    <w:rsid w:val="000F727B"/>
    <w:rsid w:val="000F7949"/>
    <w:rsid w:val="000F7F74"/>
    <w:rsid w:val="000F7F84"/>
    <w:rsid w:val="00100769"/>
    <w:rsid w:val="00100AD7"/>
    <w:rsid w:val="00100F60"/>
    <w:rsid w:val="001010C6"/>
    <w:rsid w:val="0010156D"/>
    <w:rsid w:val="001016E8"/>
    <w:rsid w:val="00101871"/>
    <w:rsid w:val="001024D3"/>
    <w:rsid w:val="0010260E"/>
    <w:rsid w:val="0010267A"/>
    <w:rsid w:val="00102683"/>
    <w:rsid w:val="0010279D"/>
    <w:rsid w:val="00102845"/>
    <w:rsid w:val="00103365"/>
    <w:rsid w:val="0010348E"/>
    <w:rsid w:val="00103616"/>
    <w:rsid w:val="001038DD"/>
    <w:rsid w:val="00103EA2"/>
    <w:rsid w:val="0010474C"/>
    <w:rsid w:val="001048B1"/>
    <w:rsid w:val="00104963"/>
    <w:rsid w:val="00104B71"/>
    <w:rsid w:val="00104BCD"/>
    <w:rsid w:val="00105213"/>
    <w:rsid w:val="001055E0"/>
    <w:rsid w:val="00105815"/>
    <w:rsid w:val="00106F18"/>
    <w:rsid w:val="00106F19"/>
    <w:rsid w:val="0010713B"/>
    <w:rsid w:val="0010729E"/>
    <w:rsid w:val="00107A1A"/>
    <w:rsid w:val="00110CB4"/>
    <w:rsid w:val="00110CF7"/>
    <w:rsid w:val="00110D19"/>
    <w:rsid w:val="00111178"/>
    <w:rsid w:val="0011208F"/>
    <w:rsid w:val="001122CB"/>
    <w:rsid w:val="0011292B"/>
    <w:rsid w:val="00113D72"/>
    <w:rsid w:val="00114068"/>
    <w:rsid w:val="00114F20"/>
    <w:rsid w:val="00114FB3"/>
    <w:rsid w:val="00115821"/>
    <w:rsid w:val="00116016"/>
    <w:rsid w:val="0011606A"/>
    <w:rsid w:val="00116100"/>
    <w:rsid w:val="0011683D"/>
    <w:rsid w:val="00116B04"/>
    <w:rsid w:val="00116D7A"/>
    <w:rsid w:val="00120026"/>
    <w:rsid w:val="00120522"/>
    <w:rsid w:val="00120F20"/>
    <w:rsid w:val="001215D5"/>
    <w:rsid w:val="00121B0A"/>
    <w:rsid w:val="00121D1D"/>
    <w:rsid w:val="001220D8"/>
    <w:rsid w:val="001222D0"/>
    <w:rsid w:val="0012232E"/>
    <w:rsid w:val="0012273F"/>
    <w:rsid w:val="00123995"/>
    <w:rsid w:val="00123F1B"/>
    <w:rsid w:val="00124569"/>
    <w:rsid w:val="00125036"/>
    <w:rsid w:val="00125526"/>
    <w:rsid w:val="00125615"/>
    <w:rsid w:val="001257DA"/>
    <w:rsid w:val="001258ED"/>
    <w:rsid w:val="00125B05"/>
    <w:rsid w:val="001260E8"/>
    <w:rsid w:val="00126327"/>
    <w:rsid w:val="001265AF"/>
    <w:rsid w:val="00126AF9"/>
    <w:rsid w:val="00126C1A"/>
    <w:rsid w:val="00126F8E"/>
    <w:rsid w:val="00127205"/>
    <w:rsid w:val="0012762E"/>
    <w:rsid w:val="00127A93"/>
    <w:rsid w:val="00127C2B"/>
    <w:rsid w:val="00127ED4"/>
    <w:rsid w:val="001305DC"/>
    <w:rsid w:val="00130DBE"/>
    <w:rsid w:val="0013144C"/>
    <w:rsid w:val="00131711"/>
    <w:rsid w:val="001317AB"/>
    <w:rsid w:val="00131943"/>
    <w:rsid w:val="001319EE"/>
    <w:rsid w:val="00131BD4"/>
    <w:rsid w:val="00132664"/>
    <w:rsid w:val="00132703"/>
    <w:rsid w:val="00132A8B"/>
    <w:rsid w:val="00133509"/>
    <w:rsid w:val="00133B47"/>
    <w:rsid w:val="00133B5A"/>
    <w:rsid w:val="00133D55"/>
    <w:rsid w:val="00133FF2"/>
    <w:rsid w:val="00134B00"/>
    <w:rsid w:val="00134E98"/>
    <w:rsid w:val="0013531B"/>
    <w:rsid w:val="001357BA"/>
    <w:rsid w:val="00135965"/>
    <w:rsid w:val="00135BE9"/>
    <w:rsid w:val="00136712"/>
    <w:rsid w:val="00136C63"/>
    <w:rsid w:val="00137ECF"/>
    <w:rsid w:val="00137F28"/>
    <w:rsid w:val="00140330"/>
    <w:rsid w:val="00140CBE"/>
    <w:rsid w:val="00140D0B"/>
    <w:rsid w:val="00140EB3"/>
    <w:rsid w:val="00141092"/>
    <w:rsid w:val="001414E7"/>
    <w:rsid w:val="001428B0"/>
    <w:rsid w:val="00142C0E"/>
    <w:rsid w:val="001430B9"/>
    <w:rsid w:val="00143435"/>
    <w:rsid w:val="001436B1"/>
    <w:rsid w:val="00144451"/>
    <w:rsid w:val="0014479A"/>
    <w:rsid w:val="00145B7F"/>
    <w:rsid w:val="00145CBC"/>
    <w:rsid w:val="00145ED1"/>
    <w:rsid w:val="001462D0"/>
    <w:rsid w:val="00146463"/>
    <w:rsid w:val="00146ECC"/>
    <w:rsid w:val="001470B1"/>
    <w:rsid w:val="001470FE"/>
    <w:rsid w:val="00147431"/>
    <w:rsid w:val="0014749E"/>
    <w:rsid w:val="001479C6"/>
    <w:rsid w:val="00147D75"/>
    <w:rsid w:val="00147F1D"/>
    <w:rsid w:val="001505B6"/>
    <w:rsid w:val="00150CDA"/>
    <w:rsid w:val="00150DA2"/>
    <w:rsid w:val="00150FE7"/>
    <w:rsid w:val="0015161D"/>
    <w:rsid w:val="00151869"/>
    <w:rsid w:val="0015187D"/>
    <w:rsid w:val="00151D7B"/>
    <w:rsid w:val="001526E9"/>
    <w:rsid w:val="00152992"/>
    <w:rsid w:val="00152C5E"/>
    <w:rsid w:val="00152CB5"/>
    <w:rsid w:val="001530F5"/>
    <w:rsid w:val="00153615"/>
    <w:rsid w:val="0015379A"/>
    <w:rsid w:val="00153ECD"/>
    <w:rsid w:val="0015413B"/>
    <w:rsid w:val="001541BA"/>
    <w:rsid w:val="0015536E"/>
    <w:rsid w:val="0015597E"/>
    <w:rsid w:val="00155D40"/>
    <w:rsid w:val="00156589"/>
    <w:rsid w:val="00156B8A"/>
    <w:rsid w:val="001577A3"/>
    <w:rsid w:val="00157969"/>
    <w:rsid w:val="00157CDC"/>
    <w:rsid w:val="001606B7"/>
    <w:rsid w:val="00160EE0"/>
    <w:rsid w:val="001614CD"/>
    <w:rsid w:val="0016177F"/>
    <w:rsid w:val="00161F37"/>
    <w:rsid w:val="001622E1"/>
    <w:rsid w:val="00162406"/>
    <w:rsid w:val="0016284A"/>
    <w:rsid w:val="00162968"/>
    <w:rsid w:val="00162F82"/>
    <w:rsid w:val="001638B9"/>
    <w:rsid w:val="0016407D"/>
    <w:rsid w:val="001655CE"/>
    <w:rsid w:val="00165932"/>
    <w:rsid w:val="00165DE6"/>
    <w:rsid w:val="00166E5C"/>
    <w:rsid w:val="00167377"/>
    <w:rsid w:val="00167593"/>
    <w:rsid w:val="00167715"/>
    <w:rsid w:val="00167906"/>
    <w:rsid w:val="001703B2"/>
    <w:rsid w:val="00170AC4"/>
    <w:rsid w:val="00170F64"/>
    <w:rsid w:val="0017106C"/>
    <w:rsid w:val="001712C9"/>
    <w:rsid w:val="00171E46"/>
    <w:rsid w:val="0017201F"/>
    <w:rsid w:val="00172272"/>
    <w:rsid w:val="001727F8"/>
    <w:rsid w:val="0017282B"/>
    <w:rsid w:val="00172975"/>
    <w:rsid w:val="00172A0A"/>
    <w:rsid w:val="00172A4D"/>
    <w:rsid w:val="00172CCA"/>
    <w:rsid w:val="00172E9E"/>
    <w:rsid w:val="00173037"/>
    <w:rsid w:val="001736F3"/>
    <w:rsid w:val="001739BC"/>
    <w:rsid w:val="00175233"/>
    <w:rsid w:val="0017570C"/>
    <w:rsid w:val="00175844"/>
    <w:rsid w:val="00175A5C"/>
    <w:rsid w:val="001762D8"/>
    <w:rsid w:val="001768CB"/>
    <w:rsid w:val="001768EA"/>
    <w:rsid w:val="0017690B"/>
    <w:rsid w:val="00176A32"/>
    <w:rsid w:val="00177193"/>
    <w:rsid w:val="001771E6"/>
    <w:rsid w:val="00180294"/>
    <w:rsid w:val="001808C8"/>
    <w:rsid w:val="00180A54"/>
    <w:rsid w:val="00180C1B"/>
    <w:rsid w:val="00181A11"/>
    <w:rsid w:val="00182134"/>
    <w:rsid w:val="00182D22"/>
    <w:rsid w:val="00183226"/>
    <w:rsid w:val="00183993"/>
    <w:rsid w:val="00183D13"/>
    <w:rsid w:val="00183E01"/>
    <w:rsid w:val="00183E78"/>
    <w:rsid w:val="00183FB1"/>
    <w:rsid w:val="00184495"/>
    <w:rsid w:val="001849BC"/>
    <w:rsid w:val="00184A93"/>
    <w:rsid w:val="0018534A"/>
    <w:rsid w:val="001853B1"/>
    <w:rsid w:val="00185748"/>
    <w:rsid w:val="00185B63"/>
    <w:rsid w:val="001862AC"/>
    <w:rsid w:val="0018684E"/>
    <w:rsid w:val="00186F75"/>
    <w:rsid w:val="00187102"/>
    <w:rsid w:val="00187181"/>
    <w:rsid w:val="00187197"/>
    <w:rsid w:val="00187B7F"/>
    <w:rsid w:val="00187D7D"/>
    <w:rsid w:val="001903A9"/>
    <w:rsid w:val="001907CE"/>
    <w:rsid w:val="00190966"/>
    <w:rsid w:val="001909A3"/>
    <w:rsid w:val="00191268"/>
    <w:rsid w:val="0019152D"/>
    <w:rsid w:val="00192C63"/>
    <w:rsid w:val="00193242"/>
    <w:rsid w:val="00193570"/>
    <w:rsid w:val="001938F6"/>
    <w:rsid w:val="00193930"/>
    <w:rsid w:val="00193958"/>
    <w:rsid w:val="0019447D"/>
    <w:rsid w:val="00194D4A"/>
    <w:rsid w:val="00194FA2"/>
    <w:rsid w:val="00196BBA"/>
    <w:rsid w:val="001977B2"/>
    <w:rsid w:val="001A0237"/>
    <w:rsid w:val="001A11B2"/>
    <w:rsid w:val="001A1B79"/>
    <w:rsid w:val="001A1CFB"/>
    <w:rsid w:val="001A1DC4"/>
    <w:rsid w:val="001A1EC8"/>
    <w:rsid w:val="001A29A7"/>
    <w:rsid w:val="001A3102"/>
    <w:rsid w:val="001A38D2"/>
    <w:rsid w:val="001A3962"/>
    <w:rsid w:val="001A4DB4"/>
    <w:rsid w:val="001A5253"/>
    <w:rsid w:val="001A54A6"/>
    <w:rsid w:val="001A5726"/>
    <w:rsid w:val="001A7007"/>
    <w:rsid w:val="001A70DC"/>
    <w:rsid w:val="001A73F2"/>
    <w:rsid w:val="001A7C15"/>
    <w:rsid w:val="001B0241"/>
    <w:rsid w:val="001B04FA"/>
    <w:rsid w:val="001B09A7"/>
    <w:rsid w:val="001B0BDA"/>
    <w:rsid w:val="001B164C"/>
    <w:rsid w:val="001B216A"/>
    <w:rsid w:val="001B306C"/>
    <w:rsid w:val="001B3696"/>
    <w:rsid w:val="001B40F0"/>
    <w:rsid w:val="001B4F1B"/>
    <w:rsid w:val="001B5F23"/>
    <w:rsid w:val="001B63E4"/>
    <w:rsid w:val="001B6675"/>
    <w:rsid w:val="001B6D6C"/>
    <w:rsid w:val="001B6DE6"/>
    <w:rsid w:val="001B73DC"/>
    <w:rsid w:val="001B7431"/>
    <w:rsid w:val="001B768B"/>
    <w:rsid w:val="001B7838"/>
    <w:rsid w:val="001B79CE"/>
    <w:rsid w:val="001B7B67"/>
    <w:rsid w:val="001C05FF"/>
    <w:rsid w:val="001C0A9C"/>
    <w:rsid w:val="001C16D8"/>
    <w:rsid w:val="001C193F"/>
    <w:rsid w:val="001C2467"/>
    <w:rsid w:val="001C25F6"/>
    <w:rsid w:val="001C28DA"/>
    <w:rsid w:val="001C3A5B"/>
    <w:rsid w:val="001C4817"/>
    <w:rsid w:val="001C48A1"/>
    <w:rsid w:val="001C4D76"/>
    <w:rsid w:val="001C4E3F"/>
    <w:rsid w:val="001C54A7"/>
    <w:rsid w:val="001C55AA"/>
    <w:rsid w:val="001C5902"/>
    <w:rsid w:val="001C60E6"/>
    <w:rsid w:val="001C6205"/>
    <w:rsid w:val="001C65BB"/>
    <w:rsid w:val="001C6744"/>
    <w:rsid w:val="001C6853"/>
    <w:rsid w:val="001C6D9C"/>
    <w:rsid w:val="001C70B0"/>
    <w:rsid w:val="001C7473"/>
    <w:rsid w:val="001C7592"/>
    <w:rsid w:val="001C7FDE"/>
    <w:rsid w:val="001C7FEA"/>
    <w:rsid w:val="001D02D6"/>
    <w:rsid w:val="001D1121"/>
    <w:rsid w:val="001D14AA"/>
    <w:rsid w:val="001D15FC"/>
    <w:rsid w:val="001D16E7"/>
    <w:rsid w:val="001D1894"/>
    <w:rsid w:val="001D1CA3"/>
    <w:rsid w:val="001D20F0"/>
    <w:rsid w:val="001D24B3"/>
    <w:rsid w:val="001D24C7"/>
    <w:rsid w:val="001D25CF"/>
    <w:rsid w:val="001D268C"/>
    <w:rsid w:val="001D27FF"/>
    <w:rsid w:val="001D2BD1"/>
    <w:rsid w:val="001D376D"/>
    <w:rsid w:val="001D397C"/>
    <w:rsid w:val="001D3B3A"/>
    <w:rsid w:val="001D4437"/>
    <w:rsid w:val="001D456D"/>
    <w:rsid w:val="001D4F97"/>
    <w:rsid w:val="001D50DA"/>
    <w:rsid w:val="001D57D9"/>
    <w:rsid w:val="001D6272"/>
    <w:rsid w:val="001D6A51"/>
    <w:rsid w:val="001D6A8F"/>
    <w:rsid w:val="001D72B4"/>
    <w:rsid w:val="001D72D9"/>
    <w:rsid w:val="001D747D"/>
    <w:rsid w:val="001D7628"/>
    <w:rsid w:val="001D7C08"/>
    <w:rsid w:val="001E036B"/>
    <w:rsid w:val="001E05F8"/>
    <w:rsid w:val="001E0D0D"/>
    <w:rsid w:val="001E19AC"/>
    <w:rsid w:val="001E22D2"/>
    <w:rsid w:val="001E23CC"/>
    <w:rsid w:val="001E2C43"/>
    <w:rsid w:val="001E32E8"/>
    <w:rsid w:val="001E41C6"/>
    <w:rsid w:val="001E4ABA"/>
    <w:rsid w:val="001E4CAE"/>
    <w:rsid w:val="001E4EC6"/>
    <w:rsid w:val="001E5171"/>
    <w:rsid w:val="001E56A2"/>
    <w:rsid w:val="001E62AB"/>
    <w:rsid w:val="001E6D53"/>
    <w:rsid w:val="001E7387"/>
    <w:rsid w:val="001E7E4B"/>
    <w:rsid w:val="001E7EA5"/>
    <w:rsid w:val="001F0247"/>
    <w:rsid w:val="001F0CC3"/>
    <w:rsid w:val="001F1097"/>
    <w:rsid w:val="001F117A"/>
    <w:rsid w:val="001F11C2"/>
    <w:rsid w:val="001F1221"/>
    <w:rsid w:val="001F217B"/>
    <w:rsid w:val="001F2180"/>
    <w:rsid w:val="001F249D"/>
    <w:rsid w:val="001F2C62"/>
    <w:rsid w:val="001F2E0C"/>
    <w:rsid w:val="001F3BF5"/>
    <w:rsid w:val="001F3C47"/>
    <w:rsid w:val="001F4EF6"/>
    <w:rsid w:val="001F52FC"/>
    <w:rsid w:val="001F5906"/>
    <w:rsid w:val="001F5BA6"/>
    <w:rsid w:val="001F676F"/>
    <w:rsid w:val="001F6B0C"/>
    <w:rsid w:val="001F6E50"/>
    <w:rsid w:val="001F6FC1"/>
    <w:rsid w:val="001F6FD6"/>
    <w:rsid w:val="001F7371"/>
    <w:rsid w:val="001F76CD"/>
    <w:rsid w:val="001F7916"/>
    <w:rsid w:val="001F7FFC"/>
    <w:rsid w:val="00200153"/>
    <w:rsid w:val="00201459"/>
    <w:rsid w:val="00201D42"/>
    <w:rsid w:val="002021DA"/>
    <w:rsid w:val="00202657"/>
    <w:rsid w:val="00202B68"/>
    <w:rsid w:val="00202F0E"/>
    <w:rsid w:val="00202F5B"/>
    <w:rsid w:val="002031CC"/>
    <w:rsid w:val="00203312"/>
    <w:rsid w:val="00203838"/>
    <w:rsid w:val="002045C4"/>
    <w:rsid w:val="002046F9"/>
    <w:rsid w:val="002048BF"/>
    <w:rsid w:val="00205732"/>
    <w:rsid w:val="00206667"/>
    <w:rsid w:val="0020697E"/>
    <w:rsid w:val="00207A29"/>
    <w:rsid w:val="00207E0A"/>
    <w:rsid w:val="002106A5"/>
    <w:rsid w:val="00210AD7"/>
    <w:rsid w:val="00210BEA"/>
    <w:rsid w:val="00211667"/>
    <w:rsid w:val="0021189D"/>
    <w:rsid w:val="00211E1B"/>
    <w:rsid w:val="00212000"/>
    <w:rsid w:val="00212459"/>
    <w:rsid w:val="0021398E"/>
    <w:rsid w:val="00213CE8"/>
    <w:rsid w:val="00213E63"/>
    <w:rsid w:val="00213F90"/>
    <w:rsid w:val="00214979"/>
    <w:rsid w:val="00215048"/>
    <w:rsid w:val="002151CE"/>
    <w:rsid w:val="002151D3"/>
    <w:rsid w:val="0021521A"/>
    <w:rsid w:val="00215533"/>
    <w:rsid w:val="00215CBD"/>
    <w:rsid w:val="00215CCD"/>
    <w:rsid w:val="00215DDE"/>
    <w:rsid w:val="0021751F"/>
    <w:rsid w:val="002175AC"/>
    <w:rsid w:val="00217746"/>
    <w:rsid w:val="002205A2"/>
    <w:rsid w:val="00220AC4"/>
    <w:rsid w:val="00220BA7"/>
    <w:rsid w:val="00220FCA"/>
    <w:rsid w:val="0022143E"/>
    <w:rsid w:val="00221811"/>
    <w:rsid w:val="00221C0D"/>
    <w:rsid w:val="00222494"/>
    <w:rsid w:val="002224FE"/>
    <w:rsid w:val="0022267E"/>
    <w:rsid w:val="00222711"/>
    <w:rsid w:val="00222A1A"/>
    <w:rsid w:val="00223BCD"/>
    <w:rsid w:val="00224A60"/>
    <w:rsid w:val="00224AE7"/>
    <w:rsid w:val="00224CB8"/>
    <w:rsid w:val="00225634"/>
    <w:rsid w:val="0022572D"/>
    <w:rsid w:val="0022573B"/>
    <w:rsid w:val="00225E90"/>
    <w:rsid w:val="0022680F"/>
    <w:rsid w:val="00226BF6"/>
    <w:rsid w:val="0022764C"/>
    <w:rsid w:val="00227DCE"/>
    <w:rsid w:val="00227DF6"/>
    <w:rsid w:val="00230166"/>
    <w:rsid w:val="0023033B"/>
    <w:rsid w:val="00230418"/>
    <w:rsid w:val="002307E9"/>
    <w:rsid w:val="00231F1C"/>
    <w:rsid w:val="00231F4D"/>
    <w:rsid w:val="00232760"/>
    <w:rsid w:val="00232FDB"/>
    <w:rsid w:val="00233ACC"/>
    <w:rsid w:val="00234F81"/>
    <w:rsid w:val="00235102"/>
    <w:rsid w:val="002351BC"/>
    <w:rsid w:val="0023698F"/>
    <w:rsid w:val="00236F1A"/>
    <w:rsid w:val="00237178"/>
    <w:rsid w:val="00237340"/>
    <w:rsid w:val="0023749A"/>
    <w:rsid w:val="00237557"/>
    <w:rsid w:val="00237817"/>
    <w:rsid w:val="00237BA5"/>
    <w:rsid w:val="002400C9"/>
    <w:rsid w:val="00240824"/>
    <w:rsid w:val="00242397"/>
    <w:rsid w:val="00242B79"/>
    <w:rsid w:val="002439B2"/>
    <w:rsid w:val="00243B57"/>
    <w:rsid w:val="00243CF9"/>
    <w:rsid w:val="002443D0"/>
    <w:rsid w:val="002448EE"/>
    <w:rsid w:val="00245870"/>
    <w:rsid w:val="0024608D"/>
    <w:rsid w:val="0024620B"/>
    <w:rsid w:val="00246646"/>
    <w:rsid w:val="00246998"/>
    <w:rsid w:val="002475BC"/>
    <w:rsid w:val="0025040E"/>
    <w:rsid w:val="002506B4"/>
    <w:rsid w:val="0025120C"/>
    <w:rsid w:val="0025125D"/>
    <w:rsid w:val="00251B65"/>
    <w:rsid w:val="00251C1E"/>
    <w:rsid w:val="00251E3D"/>
    <w:rsid w:val="0025230C"/>
    <w:rsid w:val="002523F9"/>
    <w:rsid w:val="00252FA2"/>
    <w:rsid w:val="00253321"/>
    <w:rsid w:val="0025467B"/>
    <w:rsid w:val="002546E3"/>
    <w:rsid w:val="00254D94"/>
    <w:rsid w:val="00255BEC"/>
    <w:rsid w:val="002560DA"/>
    <w:rsid w:val="00256FCA"/>
    <w:rsid w:val="0025732D"/>
    <w:rsid w:val="002579DC"/>
    <w:rsid w:val="00257A2F"/>
    <w:rsid w:val="00257CA5"/>
    <w:rsid w:val="0026059E"/>
    <w:rsid w:val="00260C99"/>
    <w:rsid w:val="00260ED4"/>
    <w:rsid w:val="002612A5"/>
    <w:rsid w:val="002619AE"/>
    <w:rsid w:val="00261A4B"/>
    <w:rsid w:val="00262445"/>
    <w:rsid w:val="002630D3"/>
    <w:rsid w:val="00263198"/>
    <w:rsid w:val="002633DB"/>
    <w:rsid w:val="00263A65"/>
    <w:rsid w:val="00263F9C"/>
    <w:rsid w:val="00263FE4"/>
    <w:rsid w:val="002644D8"/>
    <w:rsid w:val="00264C27"/>
    <w:rsid w:val="00264D38"/>
    <w:rsid w:val="002658F8"/>
    <w:rsid w:val="00266552"/>
    <w:rsid w:val="002669BC"/>
    <w:rsid w:val="00266A59"/>
    <w:rsid w:val="00266B19"/>
    <w:rsid w:val="00266D68"/>
    <w:rsid w:val="00266DC4"/>
    <w:rsid w:val="00266DCB"/>
    <w:rsid w:val="0026703D"/>
    <w:rsid w:val="002670E8"/>
    <w:rsid w:val="002674BB"/>
    <w:rsid w:val="002700F7"/>
    <w:rsid w:val="00270236"/>
    <w:rsid w:val="00270CDC"/>
    <w:rsid w:val="00270D55"/>
    <w:rsid w:val="00272990"/>
    <w:rsid w:val="00273724"/>
    <w:rsid w:val="00273A61"/>
    <w:rsid w:val="00273F5B"/>
    <w:rsid w:val="00274AC8"/>
    <w:rsid w:val="00274E31"/>
    <w:rsid w:val="00275AF8"/>
    <w:rsid w:val="00275B2C"/>
    <w:rsid w:val="00275B53"/>
    <w:rsid w:val="00275D65"/>
    <w:rsid w:val="00275E95"/>
    <w:rsid w:val="0027642B"/>
    <w:rsid w:val="00276C70"/>
    <w:rsid w:val="002800C5"/>
    <w:rsid w:val="00280529"/>
    <w:rsid w:val="002805CB"/>
    <w:rsid w:val="002805D5"/>
    <w:rsid w:val="0028071C"/>
    <w:rsid w:val="002809B6"/>
    <w:rsid w:val="00280B38"/>
    <w:rsid w:val="00280B64"/>
    <w:rsid w:val="002813F4"/>
    <w:rsid w:val="00281558"/>
    <w:rsid w:val="0028166E"/>
    <w:rsid w:val="00281ED6"/>
    <w:rsid w:val="00282549"/>
    <w:rsid w:val="00282803"/>
    <w:rsid w:val="00283043"/>
    <w:rsid w:val="002836E3"/>
    <w:rsid w:val="002838E8"/>
    <w:rsid w:val="00283C9D"/>
    <w:rsid w:val="00283D98"/>
    <w:rsid w:val="00283F6D"/>
    <w:rsid w:val="002854E6"/>
    <w:rsid w:val="00285A7D"/>
    <w:rsid w:val="00285AF1"/>
    <w:rsid w:val="00285B64"/>
    <w:rsid w:val="00285E39"/>
    <w:rsid w:val="002866E7"/>
    <w:rsid w:val="00287289"/>
    <w:rsid w:val="00287E0A"/>
    <w:rsid w:val="002900FD"/>
    <w:rsid w:val="00290538"/>
    <w:rsid w:val="002907CA"/>
    <w:rsid w:val="00290D5A"/>
    <w:rsid w:val="00290F7C"/>
    <w:rsid w:val="00291386"/>
    <w:rsid w:val="00291C29"/>
    <w:rsid w:val="00292791"/>
    <w:rsid w:val="00292856"/>
    <w:rsid w:val="00293EA9"/>
    <w:rsid w:val="00294065"/>
    <w:rsid w:val="0029444C"/>
    <w:rsid w:val="0029446D"/>
    <w:rsid w:val="002944EB"/>
    <w:rsid w:val="00294F83"/>
    <w:rsid w:val="00295AEC"/>
    <w:rsid w:val="00295BF0"/>
    <w:rsid w:val="00295E31"/>
    <w:rsid w:val="0029680C"/>
    <w:rsid w:val="00296D8F"/>
    <w:rsid w:val="0029743E"/>
    <w:rsid w:val="002A0361"/>
    <w:rsid w:val="002A0406"/>
    <w:rsid w:val="002A04E5"/>
    <w:rsid w:val="002A0723"/>
    <w:rsid w:val="002A0757"/>
    <w:rsid w:val="002A0F0A"/>
    <w:rsid w:val="002A1163"/>
    <w:rsid w:val="002A134B"/>
    <w:rsid w:val="002A1985"/>
    <w:rsid w:val="002A1E0B"/>
    <w:rsid w:val="002A248E"/>
    <w:rsid w:val="002A3454"/>
    <w:rsid w:val="002A34CE"/>
    <w:rsid w:val="002A358C"/>
    <w:rsid w:val="002A37A0"/>
    <w:rsid w:val="002A4267"/>
    <w:rsid w:val="002A442E"/>
    <w:rsid w:val="002A45D3"/>
    <w:rsid w:val="002A5758"/>
    <w:rsid w:val="002A6029"/>
    <w:rsid w:val="002A606F"/>
    <w:rsid w:val="002A6090"/>
    <w:rsid w:val="002A6665"/>
    <w:rsid w:val="002A66EB"/>
    <w:rsid w:val="002A6EEB"/>
    <w:rsid w:val="002A7638"/>
    <w:rsid w:val="002A7721"/>
    <w:rsid w:val="002A779D"/>
    <w:rsid w:val="002A788B"/>
    <w:rsid w:val="002A7A20"/>
    <w:rsid w:val="002B045F"/>
    <w:rsid w:val="002B0A2B"/>
    <w:rsid w:val="002B0EC6"/>
    <w:rsid w:val="002B13D3"/>
    <w:rsid w:val="002B13E5"/>
    <w:rsid w:val="002B1465"/>
    <w:rsid w:val="002B1710"/>
    <w:rsid w:val="002B1C5A"/>
    <w:rsid w:val="002B21B2"/>
    <w:rsid w:val="002B281A"/>
    <w:rsid w:val="002B2B8E"/>
    <w:rsid w:val="002B37E0"/>
    <w:rsid w:val="002B3821"/>
    <w:rsid w:val="002B3E51"/>
    <w:rsid w:val="002B43A1"/>
    <w:rsid w:val="002B4447"/>
    <w:rsid w:val="002B4A67"/>
    <w:rsid w:val="002B4F5A"/>
    <w:rsid w:val="002B4FC1"/>
    <w:rsid w:val="002B523B"/>
    <w:rsid w:val="002B5625"/>
    <w:rsid w:val="002B5A6D"/>
    <w:rsid w:val="002B5B05"/>
    <w:rsid w:val="002B5BD9"/>
    <w:rsid w:val="002B5FC7"/>
    <w:rsid w:val="002B6133"/>
    <w:rsid w:val="002B645B"/>
    <w:rsid w:val="002B6528"/>
    <w:rsid w:val="002B6689"/>
    <w:rsid w:val="002B69C3"/>
    <w:rsid w:val="002B6B5E"/>
    <w:rsid w:val="002B6E6A"/>
    <w:rsid w:val="002B741B"/>
    <w:rsid w:val="002B74FC"/>
    <w:rsid w:val="002B78D4"/>
    <w:rsid w:val="002B790F"/>
    <w:rsid w:val="002B7B83"/>
    <w:rsid w:val="002B7FD0"/>
    <w:rsid w:val="002C0048"/>
    <w:rsid w:val="002C07D5"/>
    <w:rsid w:val="002C0A2C"/>
    <w:rsid w:val="002C12E8"/>
    <w:rsid w:val="002C1E2E"/>
    <w:rsid w:val="002C233C"/>
    <w:rsid w:val="002C2E56"/>
    <w:rsid w:val="002C3B63"/>
    <w:rsid w:val="002C4E02"/>
    <w:rsid w:val="002C4E04"/>
    <w:rsid w:val="002C54F3"/>
    <w:rsid w:val="002C5947"/>
    <w:rsid w:val="002C603E"/>
    <w:rsid w:val="002C643D"/>
    <w:rsid w:val="002C65B7"/>
    <w:rsid w:val="002C676D"/>
    <w:rsid w:val="002C7336"/>
    <w:rsid w:val="002C7422"/>
    <w:rsid w:val="002C7657"/>
    <w:rsid w:val="002C781B"/>
    <w:rsid w:val="002C78BE"/>
    <w:rsid w:val="002C7D44"/>
    <w:rsid w:val="002D0097"/>
    <w:rsid w:val="002D0DA3"/>
    <w:rsid w:val="002D0DB8"/>
    <w:rsid w:val="002D0FE1"/>
    <w:rsid w:val="002D1763"/>
    <w:rsid w:val="002D1D7B"/>
    <w:rsid w:val="002D28BE"/>
    <w:rsid w:val="002D2B20"/>
    <w:rsid w:val="002D2D7A"/>
    <w:rsid w:val="002D2F02"/>
    <w:rsid w:val="002D30D6"/>
    <w:rsid w:val="002D41D6"/>
    <w:rsid w:val="002D4C42"/>
    <w:rsid w:val="002D4E41"/>
    <w:rsid w:val="002D628E"/>
    <w:rsid w:val="002D63D9"/>
    <w:rsid w:val="002D641C"/>
    <w:rsid w:val="002D6A5B"/>
    <w:rsid w:val="002D78EC"/>
    <w:rsid w:val="002D7C89"/>
    <w:rsid w:val="002D7D7E"/>
    <w:rsid w:val="002E03D2"/>
    <w:rsid w:val="002E1185"/>
    <w:rsid w:val="002E136E"/>
    <w:rsid w:val="002E15BE"/>
    <w:rsid w:val="002E1652"/>
    <w:rsid w:val="002E1F62"/>
    <w:rsid w:val="002E26D4"/>
    <w:rsid w:val="002E281A"/>
    <w:rsid w:val="002E2EDF"/>
    <w:rsid w:val="002E3E1A"/>
    <w:rsid w:val="002E3E6A"/>
    <w:rsid w:val="002E41A8"/>
    <w:rsid w:val="002E42D8"/>
    <w:rsid w:val="002E454E"/>
    <w:rsid w:val="002E45F1"/>
    <w:rsid w:val="002E463E"/>
    <w:rsid w:val="002E5590"/>
    <w:rsid w:val="002E5E1C"/>
    <w:rsid w:val="002E6DF0"/>
    <w:rsid w:val="002E6F13"/>
    <w:rsid w:val="002E7719"/>
    <w:rsid w:val="002E7931"/>
    <w:rsid w:val="002E7A2F"/>
    <w:rsid w:val="002E7C16"/>
    <w:rsid w:val="002E7C63"/>
    <w:rsid w:val="002E7EEF"/>
    <w:rsid w:val="002F007D"/>
    <w:rsid w:val="002F039F"/>
    <w:rsid w:val="002F0604"/>
    <w:rsid w:val="002F0774"/>
    <w:rsid w:val="002F0847"/>
    <w:rsid w:val="002F0DC8"/>
    <w:rsid w:val="002F1302"/>
    <w:rsid w:val="002F19DA"/>
    <w:rsid w:val="002F1A0A"/>
    <w:rsid w:val="002F20FE"/>
    <w:rsid w:val="002F24C5"/>
    <w:rsid w:val="002F2819"/>
    <w:rsid w:val="002F288C"/>
    <w:rsid w:val="002F2BE9"/>
    <w:rsid w:val="002F2D42"/>
    <w:rsid w:val="002F3A8A"/>
    <w:rsid w:val="002F3DEA"/>
    <w:rsid w:val="002F4409"/>
    <w:rsid w:val="002F4C42"/>
    <w:rsid w:val="002F5A89"/>
    <w:rsid w:val="002F5ECF"/>
    <w:rsid w:val="002F607C"/>
    <w:rsid w:val="002F707A"/>
    <w:rsid w:val="002F7267"/>
    <w:rsid w:val="002F742E"/>
    <w:rsid w:val="002F74D1"/>
    <w:rsid w:val="002F7758"/>
    <w:rsid w:val="003002D2"/>
    <w:rsid w:val="003005B8"/>
    <w:rsid w:val="00300850"/>
    <w:rsid w:val="00300B7F"/>
    <w:rsid w:val="0030153F"/>
    <w:rsid w:val="00301A60"/>
    <w:rsid w:val="003020B8"/>
    <w:rsid w:val="00302179"/>
    <w:rsid w:val="00303540"/>
    <w:rsid w:val="003036FE"/>
    <w:rsid w:val="00304A6A"/>
    <w:rsid w:val="0030509C"/>
    <w:rsid w:val="003055D3"/>
    <w:rsid w:val="003059F5"/>
    <w:rsid w:val="00306275"/>
    <w:rsid w:val="003063B2"/>
    <w:rsid w:val="0030719C"/>
    <w:rsid w:val="0030779B"/>
    <w:rsid w:val="003078D4"/>
    <w:rsid w:val="003079A5"/>
    <w:rsid w:val="003079BB"/>
    <w:rsid w:val="00307CE4"/>
    <w:rsid w:val="0031000E"/>
    <w:rsid w:val="0031035F"/>
    <w:rsid w:val="00310678"/>
    <w:rsid w:val="00310A0A"/>
    <w:rsid w:val="00311316"/>
    <w:rsid w:val="003132E0"/>
    <w:rsid w:val="003133C6"/>
    <w:rsid w:val="0031399A"/>
    <w:rsid w:val="00313A0B"/>
    <w:rsid w:val="003145CC"/>
    <w:rsid w:val="00314A48"/>
    <w:rsid w:val="00314CDA"/>
    <w:rsid w:val="00315668"/>
    <w:rsid w:val="00315B1D"/>
    <w:rsid w:val="003162DF"/>
    <w:rsid w:val="0031656D"/>
    <w:rsid w:val="00316772"/>
    <w:rsid w:val="00316CFA"/>
    <w:rsid w:val="00317081"/>
    <w:rsid w:val="00317BD0"/>
    <w:rsid w:val="00320C5A"/>
    <w:rsid w:val="00320CED"/>
    <w:rsid w:val="003213D6"/>
    <w:rsid w:val="003214A2"/>
    <w:rsid w:val="00321C39"/>
    <w:rsid w:val="00322223"/>
    <w:rsid w:val="003223B2"/>
    <w:rsid w:val="003227B2"/>
    <w:rsid w:val="00322DFB"/>
    <w:rsid w:val="00322EE6"/>
    <w:rsid w:val="00323046"/>
    <w:rsid w:val="003237A8"/>
    <w:rsid w:val="00323B56"/>
    <w:rsid w:val="00323C9E"/>
    <w:rsid w:val="00323E5B"/>
    <w:rsid w:val="00324822"/>
    <w:rsid w:val="00325270"/>
    <w:rsid w:val="003253D5"/>
    <w:rsid w:val="00325AEC"/>
    <w:rsid w:val="00325C8D"/>
    <w:rsid w:val="0032621E"/>
    <w:rsid w:val="0032622D"/>
    <w:rsid w:val="00326AB5"/>
    <w:rsid w:val="00326D3D"/>
    <w:rsid w:val="00326FA1"/>
    <w:rsid w:val="003271B5"/>
    <w:rsid w:val="003279C3"/>
    <w:rsid w:val="00327A5F"/>
    <w:rsid w:val="00330E3C"/>
    <w:rsid w:val="0033148D"/>
    <w:rsid w:val="00331665"/>
    <w:rsid w:val="00331CEA"/>
    <w:rsid w:val="0033213F"/>
    <w:rsid w:val="00332268"/>
    <w:rsid w:val="0033253B"/>
    <w:rsid w:val="0033259A"/>
    <w:rsid w:val="00333329"/>
    <w:rsid w:val="00333DCC"/>
    <w:rsid w:val="00334B85"/>
    <w:rsid w:val="00334E84"/>
    <w:rsid w:val="0033547C"/>
    <w:rsid w:val="003356B9"/>
    <w:rsid w:val="00335C69"/>
    <w:rsid w:val="00336044"/>
    <w:rsid w:val="00336382"/>
    <w:rsid w:val="003369EB"/>
    <w:rsid w:val="00336B01"/>
    <w:rsid w:val="00336BD6"/>
    <w:rsid w:val="00336D50"/>
    <w:rsid w:val="00336F87"/>
    <w:rsid w:val="00336FEC"/>
    <w:rsid w:val="00337142"/>
    <w:rsid w:val="00337383"/>
    <w:rsid w:val="00337406"/>
    <w:rsid w:val="00340300"/>
    <w:rsid w:val="003408DF"/>
    <w:rsid w:val="00340A1D"/>
    <w:rsid w:val="00340C7C"/>
    <w:rsid w:val="00340D14"/>
    <w:rsid w:val="00340E82"/>
    <w:rsid w:val="00341080"/>
    <w:rsid w:val="00341122"/>
    <w:rsid w:val="003415FE"/>
    <w:rsid w:val="0034306D"/>
    <w:rsid w:val="003436BF"/>
    <w:rsid w:val="003440BC"/>
    <w:rsid w:val="00344375"/>
    <w:rsid w:val="00344B3E"/>
    <w:rsid w:val="00344CFD"/>
    <w:rsid w:val="00344D9C"/>
    <w:rsid w:val="003450B9"/>
    <w:rsid w:val="003455F7"/>
    <w:rsid w:val="003459B3"/>
    <w:rsid w:val="00345BFE"/>
    <w:rsid w:val="00345CD0"/>
    <w:rsid w:val="00345E0A"/>
    <w:rsid w:val="00345F64"/>
    <w:rsid w:val="00346296"/>
    <w:rsid w:val="00346A43"/>
    <w:rsid w:val="00346E13"/>
    <w:rsid w:val="00346F3B"/>
    <w:rsid w:val="00347A26"/>
    <w:rsid w:val="00350099"/>
    <w:rsid w:val="0035059E"/>
    <w:rsid w:val="00350752"/>
    <w:rsid w:val="00350BD6"/>
    <w:rsid w:val="00350FCC"/>
    <w:rsid w:val="003513AC"/>
    <w:rsid w:val="00351D2E"/>
    <w:rsid w:val="0035204B"/>
    <w:rsid w:val="003526F0"/>
    <w:rsid w:val="00353CD8"/>
    <w:rsid w:val="00353F79"/>
    <w:rsid w:val="003540F6"/>
    <w:rsid w:val="00354442"/>
    <w:rsid w:val="003544BF"/>
    <w:rsid w:val="00355298"/>
    <w:rsid w:val="003552AE"/>
    <w:rsid w:val="00355A05"/>
    <w:rsid w:val="00355E59"/>
    <w:rsid w:val="0035600D"/>
    <w:rsid w:val="00356688"/>
    <w:rsid w:val="0035670B"/>
    <w:rsid w:val="003569D4"/>
    <w:rsid w:val="00356AA3"/>
    <w:rsid w:val="00356B37"/>
    <w:rsid w:val="00356C71"/>
    <w:rsid w:val="003571DC"/>
    <w:rsid w:val="003576B2"/>
    <w:rsid w:val="00357CDE"/>
    <w:rsid w:val="003600C9"/>
    <w:rsid w:val="0036032A"/>
    <w:rsid w:val="003603C4"/>
    <w:rsid w:val="0036057F"/>
    <w:rsid w:val="0036088D"/>
    <w:rsid w:val="003608C2"/>
    <w:rsid w:val="0036167A"/>
    <w:rsid w:val="00361739"/>
    <w:rsid w:val="00361A15"/>
    <w:rsid w:val="00361D8A"/>
    <w:rsid w:val="003625BE"/>
    <w:rsid w:val="00363F95"/>
    <w:rsid w:val="00364318"/>
    <w:rsid w:val="003644F0"/>
    <w:rsid w:val="0036495E"/>
    <w:rsid w:val="003650DA"/>
    <w:rsid w:val="0036557D"/>
    <w:rsid w:val="00365890"/>
    <w:rsid w:val="00365E72"/>
    <w:rsid w:val="00366143"/>
    <w:rsid w:val="00366695"/>
    <w:rsid w:val="00366834"/>
    <w:rsid w:val="00367554"/>
    <w:rsid w:val="00367B71"/>
    <w:rsid w:val="00367F0D"/>
    <w:rsid w:val="003705BD"/>
    <w:rsid w:val="00370668"/>
    <w:rsid w:val="003707A1"/>
    <w:rsid w:val="00370B69"/>
    <w:rsid w:val="00370D16"/>
    <w:rsid w:val="00371819"/>
    <w:rsid w:val="00371E63"/>
    <w:rsid w:val="00371F5B"/>
    <w:rsid w:val="0037219E"/>
    <w:rsid w:val="00373033"/>
    <w:rsid w:val="003731FF"/>
    <w:rsid w:val="00374A65"/>
    <w:rsid w:val="0037526E"/>
    <w:rsid w:val="00375955"/>
    <w:rsid w:val="00376CEA"/>
    <w:rsid w:val="00376D0C"/>
    <w:rsid w:val="00377730"/>
    <w:rsid w:val="00377898"/>
    <w:rsid w:val="003778FB"/>
    <w:rsid w:val="00377DDA"/>
    <w:rsid w:val="00377E84"/>
    <w:rsid w:val="00377E8F"/>
    <w:rsid w:val="00380128"/>
    <w:rsid w:val="0038059B"/>
    <w:rsid w:val="003805C8"/>
    <w:rsid w:val="0038104D"/>
    <w:rsid w:val="00381AA7"/>
    <w:rsid w:val="0038213D"/>
    <w:rsid w:val="003824AC"/>
    <w:rsid w:val="00382869"/>
    <w:rsid w:val="00382F88"/>
    <w:rsid w:val="00383303"/>
    <w:rsid w:val="00383EF0"/>
    <w:rsid w:val="003840DB"/>
    <w:rsid w:val="00384300"/>
    <w:rsid w:val="00384380"/>
    <w:rsid w:val="00384452"/>
    <w:rsid w:val="003847E1"/>
    <w:rsid w:val="00384EC1"/>
    <w:rsid w:val="00384EF7"/>
    <w:rsid w:val="00385176"/>
    <w:rsid w:val="003851CB"/>
    <w:rsid w:val="0038563C"/>
    <w:rsid w:val="00385821"/>
    <w:rsid w:val="00385DA9"/>
    <w:rsid w:val="00385E7C"/>
    <w:rsid w:val="00385F7C"/>
    <w:rsid w:val="003863F7"/>
    <w:rsid w:val="003864DA"/>
    <w:rsid w:val="0038690D"/>
    <w:rsid w:val="00386BC4"/>
    <w:rsid w:val="00387666"/>
    <w:rsid w:val="003879A3"/>
    <w:rsid w:val="003879D1"/>
    <w:rsid w:val="003906CC"/>
    <w:rsid w:val="00390F11"/>
    <w:rsid w:val="003914B9"/>
    <w:rsid w:val="00391D69"/>
    <w:rsid w:val="003928DC"/>
    <w:rsid w:val="00392D9B"/>
    <w:rsid w:val="003933DD"/>
    <w:rsid w:val="00393BE1"/>
    <w:rsid w:val="00393D1C"/>
    <w:rsid w:val="0039407F"/>
    <w:rsid w:val="00394150"/>
    <w:rsid w:val="003942B6"/>
    <w:rsid w:val="003942CA"/>
    <w:rsid w:val="0039550D"/>
    <w:rsid w:val="00395725"/>
    <w:rsid w:val="00395DDF"/>
    <w:rsid w:val="0039666F"/>
    <w:rsid w:val="00396AA3"/>
    <w:rsid w:val="00397564"/>
    <w:rsid w:val="003A02E5"/>
    <w:rsid w:val="003A0A05"/>
    <w:rsid w:val="003A1638"/>
    <w:rsid w:val="003A1F47"/>
    <w:rsid w:val="003A2006"/>
    <w:rsid w:val="003A22D4"/>
    <w:rsid w:val="003A2AA3"/>
    <w:rsid w:val="003A2DE3"/>
    <w:rsid w:val="003A2FC7"/>
    <w:rsid w:val="003A309E"/>
    <w:rsid w:val="003A329C"/>
    <w:rsid w:val="003A3AE4"/>
    <w:rsid w:val="003A3EE9"/>
    <w:rsid w:val="003A448D"/>
    <w:rsid w:val="003A49AB"/>
    <w:rsid w:val="003A5B92"/>
    <w:rsid w:val="003A6079"/>
    <w:rsid w:val="003A6355"/>
    <w:rsid w:val="003A6640"/>
    <w:rsid w:val="003A6AD3"/>
    <w:rsid w:val="003A7AFC"/>
    <w:rsid w:val="003A7CB4"/>
    <w:rsid w:val="003A7F3C"/>
    <w:rsid w:val="003B005C"/>
    <w:rsid w:val="003B0307"/>
    <w:rsid w:val="003B0984"/>
    <w:rsid w:val="003B0A08"/>
    <w:rsid w:val="003B26FA"/>
    <w:rsid w:val="003B2C00"/>
    <w:rsid w:val="003B3027"/>
    <w:rsid w:val="003B3385"/>
    <w:rsid w:val="003B3CB0"/>
    <w:rsid w:val="003B4228"/>
    <w:rsid w:val="003B4968"/>
    <w:rsid w:val="003B558C"/>
    <w:rsid w:val="003B56AF"/>
    <w:rsid w:val="003B59BB"/>
    <w:rsid w:val="003B6880"/>
    <w:rsid w:val="003B68C6"/>
    <w:rsid w:val="003B6B37"/>
    <w:rsid w:val="003B6CD7"/>
    <w:rsid w:val="003B7016"/>
    <w:rsid w:val="003B756D"/>
    <w:rsid w:val="003C04C0"/>
    <w:rsid w:val="003C0FC4"/>
    <w:rsid w:val="003C10EA"/>
    <w:rsid w:val="003C1266"/>
    <w:rsid w:val="003C1708"/>
    <w:rsid w:val="003C176E"/>
    <w:rsid w:val="003C1B07"/>
    <w:rsid w:val="003C23A8"/>
    <w:rsid w:val="003C2E8F"/>
    <w:rsid w:val="003C33E6"/>
    <w:rsid w:val="003C3CDD"/>
    <w:rsid w:val="003C3F0D"/>
    <w:rsid w:val="003C40A6"/>
    <w:rsid w:val="003C44FA"/>
    <w:rsid w:val="003C4689"/>
    <w:rsid w:val="003C4F44"/>
    <w:rsid w:val="003C4F4A"/>
    <w:rsid w:val="003C5221"/>
    <w:rsid w:val="003C555F"/>
    <w:rsid w:val="003C6814"/>
    <w:rsid w:val="003C6863"/>
    <w:rsid w:val="003C6916"/>
    <w:rsid w:val="003C6F01"/>
    <w:rsid w:val="003C73C2"/>
    <w:rsid w:val="003C78A1"/>
    <w:rsid w:val="003C7D5A"/>
    <w:rsid w:val="003D0177"/>
    <w:rsid w:val="003D05CB"/>
    <w:rsid w:val="003D063F"/>
    <w:rsid w:val="003D0690"/>
    <w:rsid w:val="003D09DF"/>
    <w:rsid w:val="003D0B25"/>
    <w:rsid w:val="003D111E"/>
    <w:rsid w:val="003D188A"/>
    <w:rsid w:val="003D1F62"/>
    <w:rsid w:val="003D2214"/>
    <w:rsid w:val="003D2537"/>
    <w:rsid w:val="003D2BB2"/>
    <w:rsid w:val="003D2E5A"/>
    <w:rsid w:val="003D347A"/>
    <w:rsid w:val="003D387B"/>
    <w:rsid w:val="003D49FC"/>
    <w:rsid w:val="003D5272"/>
    <w:rsid w:val="003D545E"/>
    <w:rsid w:val="003D5491"/>
    <w:rsid w:val="003D5612"/>
    <w:rsid w:val="003D5BA2"/>
    <w:rsid w:val="003D5EE3"/>
    <w:rsid w:val="003D658A"/>
    <w:rsid w:val="003D68D0"/>
    <w:rsid w:val="003D69FA"/>
    <w:rsid w:val="003D6A4C"/>
    <w:rsid w:val="003D6CF5"/>
    <w:rsid w:val="003D72A4"/>
    <w:rsid w:val="003D77B0"/>
    <w:rsid w:val="003D7BB8"/>
    <w:rsid w:val="003D7C57"/>
    <w:rsid w:val="003D7C6B"/>
    <w:rsid w:val="003D7C77"/>
    <w:rsid w:val="003D7F20"/>
    <w:rsid w:val="003D7F2B"/>
    <w:rsid w:val="003E060B"/>
    <w:rsid w:val="003E0C2C"/>
    <w:rsid w:val="003E0C3F"/>
    <w:rsid w:val="003E0EA2"/>
    <w:rsid w:val="003E145B"/>
    <w:rsid w:val="003E1656"/>
    <w:rsid w:val="003E1C7A"/>
    <w:rsid w:val="003E1D07"/>
    <w:rsid w:val="003E1DA4"/>
    <w:rsid w:val="003E25D4"/>
    <w:rsid w:val="003E27CC"/>
    <w:rsid w:val="003E2C05"/>
    <w:rsid w:val="003E36CE"/>
    <w:rsid w:val="003E4054"/>
    <w:rsid w:val="003E59C5"/>
    <w:rsid w:val="003E5B84"/>
    <w:rsid w:val="003E605D"/>
    <w:rsid w:val="003E6917"/>
    <w:rsid w:val="003E6C1F"/>
    <w:rsid w:val="003E726C"/>
    <w:rsid w:val="003E76FB"/>
    <w:rsid w:val="003E7B37"/>
    <w:rsid w:val="003E7F64"/>
    <w:rsid w:val="003F011B"/>
    <w:rsid w:val="003F032C"/>
    <w:rsid w:val="003F042D"/>
    <w:rsid w:val="003F0497"/>
    <w:rsid w:val="003F0826"/>
    <w:rsid w:val="003F0986"/>
    <w:rsid w:val="003F0CC3"/>
    <w:rsid w:val="003F1137"/>
    <w:rsid w:val="003F140C"/>
    <w:rsid w:val="003F194C"/>
    <w:rsid w:val="003F222C"/>
    <w:rsid w:val="003F25F3"/>
    <w:rsid w:val="003F289E"/>
    <w:rsid w:val="003F2F97"/>
    <w:rsid w:val="003F2F9B"/>
    <w:rsid w:val="003F3709"/>
    <w:rsid w:val="003F3E18"/>
    <w:rsid w:val="003F44E0"/>
    <w:rsid w:val="003F478C"/>
    <w:rsid w:val="003F4A29"/>
    <w:rsid w:val="003F52AD"/>
    <w:rsid w:val="003F648C"/>
    <w:rsid w:val="003F6878"/>
    <w:rsid w:val="003F6DC6"/>
    <w:rsid w:val="003F6F33"/>
    <w:rsid w:val="003F74A3"/>
    <w:rsid w:val="003F74F3"/>
    <w:rsid w:val="003F76B7"/>
    <w:rsid w:val="003F7A2A"/>
    <w:rsid w:val="003F7F1E"/>
    <w:rsid w:val="004005B1"/>
    <w:rsid w:val="00400871"/>
    <w:rsid w:val="00400924"/>
    <w:rsid w:val="00400ABC"/>
    <w:rsid w:val="00400EA5"/>
    <w:rsid w:val="00401E2D"/>
    <w:rsid w:val="00401E8A"/>
    <w:rsid w:val="00402482"/>
    <w:rsid w:val="00402562"/>
    <w:rsid w:val="00402675"/>
    <w:rsid w:val="00402A32"/>
    <w:rsid w:val="00402E60"/>
    <w:rsid w:val="00403096"/>
    <w:rsid w:val="004032C5"/>
    <w:rsid w:val="00403C19"/>
    <w:rsid w:val="004059C7"/>
    <w:rsid w:val="0040759A"/>
    <w:rsid w:val="00407B1B"/>
    <w:rsid w:val="004100CD"/>
    <w:rsid w:val="0041078B"/>
    <w:rsid w:val="00411441"/>
    <w:rsid w:val="00411867"/>
    <w:rsid w:val="004119AE"/>
    <w:rsid w:val="00411CC0"/>
    <w:rsid w:val="00411FE9"/>
    <w:rsid w:val="004121BB"/>
    <w:rsid w:val="004121D6"/>
    <w:rsid w:val="00412C6E"/>
    <w:rsid w:val="00413002"/>
    <w:rsid w:val="00413380"/>
    <w:rsid w:val="0041379D"/>
    <w:rsid w:val="00413DB6"/>
    <w:rsid w:val="004148B1"/>
    <w:rsid w:val="00415194"/>
    <w:rsid w:val="00415FDC"/>
    <w:rsid w:val="004167A1"/>
    <w:rsid w:val="00417578"/>
    <w:rsid w:val="00417C9B"/>
    <w:rsid w:val="0042041C"/>
    <w:rsid w:val="00420695"/>
    <w:rsid w:val="00420945"/>
    <w:rsid w:val="00420AE4"/>
    <w:rsid w:val="00421BAD"/>
    <w:rsid w:val="00422642"/>
    <w:rsid w:val="004233C5"/>
    <w:rsid w:val="00423792"/>
    <w:rsid w:val="00423E89"/>
    <w:rsid w:val="00424845"/>
    <w:rsid w:val="00424CB9"/>
    <w:rsid w:val="00424D2F"/>
    <w:rsid w:val="00424ECD"/>
    <w:rsid w:val="0042510F"/>
    <w:rsid w:val="00425637"/>
    <w:rsid w:val="00425696"/>
    <w:rsid w:val="00426652"/>
    <w:rsid w:val="00426B73"/>
    <w:rsid w:val="00426FF8"/>
    <w:rsid w:val="0042700E"/>
    <w:rsid w:val="00427043"/>
    <w:rsid w:val="004272FF"/>
    <w:rsid w:val="004273DB"/>
    <w:rsid w:val="0042769C"/>
    <w:rsid w:val="00427A8D"/>
    <w:rsid w:val="004300A8"/>
    <w:rsid w:val="004300F3"/>
    <w:rsid w:val="00430DA4"/>
    <w:rsid w:val="004310F7"/>
    <w:rsid w:val="00431107"/>
    <w:rsid w:val="00431170"/>
    <w:rsid w:val="00431442"/>
    <w:rsid w:val="00431702"/>
    <w:rsid w:val="00431BE4"/>
    <w:rsid w:val="00431F07"/>
    <w:rsid w:val="004338B6"/>
    <w:rsid w:val="00433F0D"/>
    <w:rsid w:val="004340D2"/>
    <w:rsid w:val="004342FA"/>
    <w:rsid w:val="0043433F"/>
    <w:rsid w:val="0043450C"/>
    <w:rsid w:val="004349B7"/>
    <w:rsid w:val="004349D9"/>
    <w:rsid w:val="00434A0F"/>
    <w:rsid w:val="004350FD"/>
    <w:rsid w:val="00436122"/>
    <w:rsid w:val="00436B16"/>
    <w:rsid w:val="00436D42"/>
    <w:rsid w:val="00437287"/>
    <w:rsid w:val="00437EB2"/>
    <w:rsid w:val="00440B6B"/>
    <w:rsid w:val="00440F02"/>
    <w:rsid w:val="00441F4B"/>
    <w:rsid w:val="00442A49"/>
    <w:rsid w:val="00442D78"/>
    <w:rsid w:val="004433A7"/>
    <w:rsid w:val="00443410"/>
    <w:rsid w:val="004446DD"/>
    <w:rsid w:val="00444A6D"/>
    <w:rsid w:val="00444E07"/>
    <w:rsid w:val="004451E4"/>
    <w:rsid w:val="00445384"/>
    <w:rsid w:val="00445562"/>
    <w:rsid w:val="0044576D"/>
    <w:rsid w:val="004458D3"/>
    <w:rsid w:val="004459C1"/>
    <w:rsid w:val="00445B13"/>
    <w:rsid w:val="00445B9A"/>
    <w:rsid w:val="00445D44"/>
    <w:rsid w:val="00446855"/>
    <w:rsid w:val="00446874"/>
    <w:rsid w:val="00446DCD"/>
    <w:rsid w:val="00446E2F"/>
    <w:rsid w:val="0044743D"/>
    <w:rsid w:val="0044745D"/>
    <w:rsid w:val="004476C1"/>
    <w:rsid w:val="004476DF"/>
    <w:rsid w:val="00447982"/>
    <w:rsid w:val="00447EDA"/>
    <w:rsid w:val="00450504"/>
    <w:rsid w:val="00451A0F"/>
    <w:rsid w:val="00451EA9"/>
    <w:rsid w:val="004521E9"/>
    <w:rsid w:val="0045259E"/>
    <w:rsid w:val="0045297C"/>
    <w:rsid w:val="00452A51"/>
    <w:rsid w:val="004536E5"/>
    <w:rsid w:val="004537D4"/>
    <w:rsid w:val="00454065"/>
    <w:rsid w:val="0045421B"/>
    <w:rsid w:val="0045461E"/>
    <w:rsid w:val="004548D7"/>
    <w:rsid w:val="00454FAD"/>
    <w:rsid w:val="00454FC4"/>
    <w:rsid w:val="00455047"/>
    <w:rsid w:val="0045584D"/>
    <w:rsid w:val="0045592E"/>
    <w:rsid w:val="004566F8"/>
    <w:rsid w:val="00457533"/>
    <w:rsid w:val="004579D7"/>
    <w:rsid w:val="00457F25"/>
    <w:rsid w:val="00460790"/>
    <w:rsid w:val="00460B6E"/>
    <w:rsid w:val="00460C06"/>
    <w:rsid w:val="00460FC6"/>
    <w:rsid w:val="0046122A"/>
    <w:rsid w:val="004616F1"/>
    <w:rsid w:val="0046172C"/>
    <w:rsid w:val="00462196"/>
    <w:rsid w:val="004623CA"/>
    <w:rsid w:val="00463A37"/>
    <w:rsid w:val="00463C76"/>
    <w:rsid w:val="00463C9B"/>
    <w:rsid w:val="00463DDB"/>
    <w:rsid w:val="004645B1"/>
    <w:rsid w:val="0046483C"/>
    <w:rsid w:val="00464E1F"/>
    <w:rsid w:val="004654D8"/>
    <w:rsid w:val="004655FC"/>
    <w:rsid w:val="00465615"/>
    <w:rsid w:val="00465939"/>
    <w:rsid w:val="00465E2C"/>
    <w:rsid w:val="00465F9A"/>
    <w:rsid w:val="004662BD"/>
    <w:rsid w:val="004664CE"/>
    <w:rsid w:val="004670A4"/>
    <w:rsid w:val="004670A7"/>
    <w:rsid w:val="0046745E"/>
    <w:rsid w:val="004675A7"/>
    <w:rsid w:val="00467609"/>
    <w:rsid w:val="00470491"/>
    <w:rsid w:val="0047086D"/>
    <w:rsid w:val="004708B0"/>
    <w:rsid w:val="004709D0"/>
    <w:rsid w:val="004709FE"/>
    <w:rsid w:val="00470CCD"/>
    <w:rsid w:val="00470ECA"/>
    <w:rsid w:val="0047217D"/>
    <w:rsid w:val="004726CB"/>
    <w:rsid w:val="00472B5E"/>
    <w:rsid w:val="004735EF"/>
    <w:rsid w:val="00474D8F"/>
    <w:rsid w:val="0047561C"/>
    <w:rsid w:val="004757A3"/>
    <w:rsid w:val="0047580E"/>
    <w:rsid w:val="00475960"/>
    <w:rsid w:val="00475F94"/>
    <w:rsid w:val="00476202"/>
    <w:rsid w:val="00476BCD"/>
    <w:rsid w:val="004770D0"/>
    <w:rsid w:val="004773FF"/>
    <w:rsid w:val="00477850"/>
    <w:rsid w:val="00477BF3"/>
    <w:rsid w:val="004803FF"/>
    <w:rsid w:val="004805F2"/>
    <w:rsid w:val="0048076E"/>
    <w:rsid w:val="00480F5A"/>
    <w:rsid w:val="00481250"/>
    <w:rsid w:val="004814CA"/>
    <w:rsid w:val="00481A0D"/>
    <w:rsid w:val="00481DA0"/>
    <w:rsid w:val="0048241F"/>
    <w:rsid w:val="004824C0"/>
    <w:rsid w:val="00482657"/>
    <w:rsid w:val="00482F29"/>
    <w:rsid w:val="0048321B"/>
    <w:rsid w:val="004837CC"/>
    <w:rsid w:val="00484725"/>
    <w:rsid w:val="004849A8"/>
    <w:rsid w:val="004849FD"/>
    <w:rsid w:val="0048510A"/>
    <w:rsid w:val="0048548F"/>
    <w:rsid w:val="00485638"/>
    <w:rsid w:val="00485910"/>
    <w:rsid w:val="00485F40"/>
    <w:rsid w:val="00486127"/>
    <w:rsid w:val="004863E1"/>
    <w:rsid w:val="0048649A"/>
    <w:rsid w:val="0048695E"/>
    <w:rsid w:val="00486CAE"/>
    <w:rsid w:val="004870A0"/>
    <w:rsid w:val="004870EF"/>
    <w:rsid w:val="004874B3"/>
    <w:rsid w:val="00487E7D"/>
    <w:rsid w:val="0049014D"/>
    <w:rsid w:val="004901A2"/>
    <w:rsid w:val="00490395"/>
    <w:rsid w:val="0049041D"/>
    <w:rsid w:val="004904B4"/>
    <w:rsid w:val="0049062E"/>
    <w:rsid w:val="00490996"/>
    <w:rsid w:val="00490A29"/>
    <w:rsid w:val="00491EFB"/>
    <w:rsid w:val="004925DC"/>
    <w:rsid w:val="00492617"/>
    <w:rsid w:val="00492CA9"/>
    <w:rsid w:val="00492D5A"/>
    <w:rsid w:val="00493464"/>
    <w:rsid w:val="00493758"/>
    <w:rsid w:val="00493B1E"/>
    <w:rsid w:val="00493D57"/>
    <w:rsid w:val="00494020"/>
    <w:rsid w:val="00494D68"/>
    <w:rsid w:val="0049597B"/>
    <w:rsid w:val="00495C82"/>
    <w:rsid w:val="004961CB"/>
    <w:rsid w:val="00496500"/>
    <w:rsid w:val="00496592"/>
    <w:rsid w:val="0049668A"/>
    <w:rsid w:val="0049674D"/>
    <w:rsid w:val="00496846"/>
    <w:rsid w:val="00496897"/>
    <w:rsid w:val="004968B0"/>
    <w:rsid w:val="004970C0"/>
    <w:rsid w:val="004971C4"/>
    <w:rsid w:val="004973EA"/>
    <w:rsid w:val="00497E68"/>
    <w:rsid w:val="004A002A"/>
    <w:rsid w:val="004A0574"/>
    <w:rsid w:val="004A0A8A"/>
    <w:rsid w:val="004A0EB1"/>
    <w:rsid w:val="004A0F68"/>
    <w:rsid w:val="004A110A"/>
    <w:rsid w:val="004A156B"/>
    <w:rsid w:val="004A1704"/>
    <w:rsid w:val="004A1DAB"/>
    <w:rsid w:val="004A1E69"/>
    <w:rsid w:val="004A1F0E"/>
    <w:rsid w:val="004A2097"/>
    <w:rsid w:val="004A2323"/>
    <w:rsid w:val="004A31C5"/>
    <w:rsid w:val="004A3A1D"/>
    <w:rsid w:val="004A3E0E"/>
    <w:rsid w:val="004A3E41"/>
    <w:rsid w:val="004A4214"/>
    <w:rsid w:val="004A471D"/>
    <w:rsid w:val="004A4E8E"/>
    <w:rsid w:val="004A50F7"/>
    <w:rsid w:val="004A5100"/>
    <w:rsid w:val="004A536E"/>
    <w:rsid w:val="004A5747"/>
    <w:rsid w:val="004A6228"/>
    <w:rsid w:val="004A6593"/>
    <w:rsid w:val="004A69A5"/>
    <w:rsid w:val="004A6DB0"/>
    <w:rsid w:val="004A7287"/>
    <w:rsid w:val="004A73E5"/>
    <w:rsid w:val="004A755F"/>
    <w:rsid w:val="004B02B5"/>
    <w:rsid w:val="004B0522"/>
    <w:rsid w:val="004B1377"/>
    <w:rsid w:val="004B1628"/>
    <w:rsid w:val="004B1663"/>
    <w:rsid w:val="004B1766"/>
    <w:rsid w:val="004B1960"/>
    <w:rsid w:val="004B1AA3"/>
    <w:rsid w:val="004B201F"/>
    <w:rsid w:val="004B2761"/>
    <w:rsid w:val="004B2CD0"/>
    <w:rsid w:val="004B2D0A"/>
    <w:rsid w:val="004B302C"/>
    <w:rsid w:val="004B34C0"/>
    <w:rsid w:val="004B3984"/>
    <w:rsid w:val="004B39A4"/>
    <w:rsid w:val="004B3C62"/>
    <w:rsid w:val="004B4170"/>
    <w:rsid w:val="004B4252"/>
    <w:rsid w:val="004B4293"/>
    <w:rsid w:val="004B42CC"/>
    <w:rsid w:val="004B537B"/>
    <w:rsid w:val="004B579E"/>
    <w:rsid w:val="004B6663"/>
    <w:rsid w:val="004B67E6"/>
    <w:rsid w:val="004B71D0"/>
    <w:rsid w:val="004B72A8"/>
    <w:rsid w:val="004C00E3"/>
    <w:rsid w:val="004C020A"/>
    <w:rsid w:val="004C0390"/>
    <w:rsid w:val="004C03D0"/>
    <w:rsid w:val="004C0BE2"/>
    <w:rsid w:val="004C0DDD"/>
    <w:rsid w:val="004C11FC"/>
    <w:rsid w:val="004C14D4"/>
    <w:rsid w:val="004C3603"/>
    <w:rsid w:val="004C37A6"/>
    <w:rsid w:val="004C3ACA"/>
    <w:rsid w:val="004C3B81"/>
    <w:rsid w:val="004C3E46"/>
    <w:rsid w:val="004C3E95"/>
    <w:rsid w:val="004C4302"/>
    <w:rsid w:val="004C48D7"/>
    <w:rsid w:val="004C48EA"/>
    <w:rsid w:val="004C512D"/>
    <w:rsid w:val="004C5396"/>
    <w:rsid w:val="004C5545"/>
    <w:rsid w:val="004C58D2"/>
    <w:rsid w:val="004C5BAC"/>
    <w:rsid w:val="004C5D4C"/>
    <w:rsid w:val="004C6068"/>
    <w:rsid w:val="004C63CE"/>
    <w:rsid w:val="004C66F2"/>
    <w:rsid w:val="004C670D"/>
    <w:rsid w:val="004C6B05"/>
    <w:rsid w:val="004C7C88"/>
    <w:rsid w:val="004D0516"/>
    <w:rsid w:val="004D05F0"/>
    <w:rsid w:val="004D139A"/>
    <w:rsid w:val="004D2103"/>
    <w:rsid w:val="004D211C"/>
    <w:rsid w:val="004D225A"/>
    <w:rsid w:val="004D244F"/>
    <w:rsid w:val="004D2850"/>
    <w:rsid w:val="004D2914"/>
    <w:rsid w:val="004D2BB2"/>
    <w:rsid w:val="004D2CCF"/>
    <w:rsid w:val="004D2E8D"/>
    <w:rsid w:val="004D2FA7"/>
    <w:rsid w:val="004D3002"/>
    <w:rsid w:val="004D303B"/>
    <w:rsid w:val="004D4F5C"/>
    <w:rsid w:val="004D549F"/>
    <w:rsid w:val="004D54CC"/>
    <w:rsid w:val="004D5D3A"/>
    <w:rsid w:val="004D6609"/>
    <w:rsid w:val="004D670E"/>
    <w:rsid w:val="004D6C54"/>
    <w:rsid w:val="004D7371"/>
    <w:rsid w:val="004D79C9"/>
    <w:rsid w:val="004D7A74"/>
    <w:rsid w:val="004D7CBD"/>
    <w:rsid w:val="004E0504"/>
    <w:rsid w:val="004E07CA"/>
    <w:rsid w:val="004E0EED"/>
    <w:rsid w:val="004E124A"/>
    <w:rsid w:val="004E1983"/>
    <w:rsid w:val="004E1E39"/>
    <w:rsid w:val="004E1EC6"/>
    <w:rsid w:val="004E1F46"/>
    <w:rsid w:val="004E21E3"/>
    <w:rsid w:val="004E2321"/>
    <w:rsid w:val="004E235C"/>
    <w:rsid w:val="004E274D"/>
    <w:rsid w:val="004E2A29"/>
    <w:rsid w:val="004E3BC0"/>
    <w:rsid w:val="004E49D4"/>
    <w:rsid w:val="004E5B28"/>
    <w:rsid w:val="004E605E"/>
    <w:rsid w:val="004E6168"/>
    <w:rsid w:val="004E6EEC"/>
    <w:rsid w:val="004E751F"/>
    <w:rsid w:val="004E798D"/>
    <w:rsid w:val="004F044C"/>
    <w:rsid w:val="004F0534"/>
    <w:rsid w:val="004F0707"/>
    <w:rsid w:val="004F0991"/>
    <w:rsid w:val="004F0A07"/>
    <w:rsid w:val="004F138A"/>
    <w:rsid w:val="004F16A6"/>
    <w:rsid w:val="004F25BE"/>
    <w:rsid w:val="004F275A"/>
    <w:rsid w:val="004F2826"/>
    <w:rsid w:val="004F36BD"/>
    <w:rsid w:val="004F3B2D"/>
    <w:rsid w:val="004F3EF1"/>
    <w:rsid w:val="004F5285"/>
    <w:rsid w:val="004F54AA"/>
    <w:rsid w:val="004F5516"/>
    <w:rsid w:val="004F566E"/>
    <w:rsid w:val="004F5E99"/>
    <w:rsid w:val="004F61DD"/>
    <w:rsid w:val="004F63B8"/>
    <w:rsid w:val="004F6706"/>
    <w:rsid w:val="004F6A0C"/>
    <w:rsid w:val="004F6B64"/>
    <w:rsid w:val="004F6B81"/>
    <w:rsid w:val="004F765B"/>
    <w:rsid w:val="004F787B"/>
    <w:rsid w:val="004F7926"/>
    <w:rsid w:val="0050033D"/>
    <w:rsid w:val="005005DD"/>
    <w:rsid w:val="00500DB9"/>
    <w:rsid w:val="0050156F"/>
    <w:rsid w:val="00502040"/>
    <w:rsid w:val="005020AC"/>
    <w:rsid w:val="00502DCD"/>
    <w:rsid w:val="00502E2D"/>
    <w:rsid w:val="00503177"/>
    <w:rsid w:val="005033E5"/>
    <w:rsid w:val="005042E8"/>
    <w:rsid w:val="005043DC"/>
    <w:rsid w:val="005048EB"/>
    <w:rsid w:val="00504A29"/>
    <w:rsid w:val="00505A0A"/>
    <w:rsid w:val="00505D85"/>
    <w:rsid w:val="00505EAF"/>
    <w:rsid w:val="0050680F"/>
    <w:rsid w:val="00506BE3"/>
    <w:rsid w:val="00507516"/>
    <w:rsid w:val="00507F8D"/>
    <w:rsid w:val="005103E5"/>
    <w:rsid w:val="00510522"/>
    <w:rsid w:val="005106A9"/>
    <w:rsid w:val="00510780"/>
    <w:rsid w:val="0051117E"/>
    <w:rsid w:val="005116A0"/>
    <w:rsid w:val="005116DD"/>
    <w:rsid w:val="00511EDB"/>
    <w:rsid w:val="005122FB"/>
    <w:rsid w:val="00513175"/>
    <w:rsid w:val="00513397"/>
    <w:rsid w:val="005133AC"/>
    <w:rsid w:val="00513458"/>
    <w:rsid w:val="005134F9"/>
    <w:rsid w:val="0051354A"/>
    <w:rsid w:val="005136A1"/>
    <w:rsid w:val="0051421C"/>
    <w:rsid w:val="00514ED6"/>
    <w:rsid w:val="00515607"/>
    <w:rsid w:val="0051570B"/>
    <w:rsid w:val="00515E13"/>
    <w:rsid w:val="00515F6D"/>
    <w:rsid w:val="005173DA"/>
    <w:rsid w:val="00517424"/>
    <w:rsid w:val="00517C3D"/>
    <w:rsid w:val="005201DF"/>
    <w:rsid w:val="00520CF3"/>
    <w:rsid w:val="005213B5"/>
    <w:rsid w:val="00521471"/>
    <w:rsid w:val="00521592"/>
    <w:rsid w:val="00521872"/>
    <w:rsid w:val="005219F6"/>
    <w:rsid w:val="0052210D"/>
    <w:rsid w:val="00522131"/>
    <w:rsid w:val="0052219E"/>
    <w:rsid w:val="005233C0"/>
    <w:rsid w:val="00523741"/>
    <w:rsid w:val="0052382F"/>
    <w:rsid w:val="00523C32"/>
    <w:rsid w:val="00523ECB"/>
    <w:rsid w:val="00524336"/>
    <w:rsid w:val="005245E0"/>
    <w:rsid w:val="00524C96"/>
    <w:rsid w:val="00524CAD"/>
    <w:rsid w:val="00525110"/>
    <w:rsid w:val="00525166"/>
    <w:rsid w:val="0052520B"/>
    <w:rsid w:val="00525669"/>
    <w:rsid w:val="00525703"/>
    <w:rsid w:val="0052664F"/>
    <w:rsid w:val="0052671F"/>
    <w:rsid w:val="00526963"/>
    <w:rsid w:val="00527A62"/>
    <w:rsid w:val="00527AAB"/>
    <w:rsid w:val="00527E4D"/>
    <w:rsid w:val="00530669"/>
    <w:rsid w:val="00530CBD"/>
    <w:rsid w:val="00530EE9"/>
    <w:rsid w:val="005311EB"/>
    <w:rsid w:val="0053153D"/>
    <w:rsid w:val="00531BD2"/>
    <w:rsid w:val="0053292A"/>
    <w:rsid w:val="00532939"/>
    <w:rsid w:val="00533488"/>
    <w:rsid w:val="00533529"/>
    <w:rsid w:val="00533D8B"/>
    <w:rsid w:val="00534210"/>
    <w:rsid w:val="00536071"/>
    <w:rsid w:val="00536A7F"/>
    <w:rsid w:val="00536BC6"/>
    <w:rsid w:val="00536CE9"/>
    <w:rsid w:val="005371B5"/>
    <w:rsid w:val="00537316"/>
    <w:rsid w:val="00537493"/>
    <w:rsid w:val="00540357"/>
    <w:rsid w:val="00540467"/>
    <w:rsid w:val="005407D0"/>
    <w:rsid w:val="005408A5"/>
    <w:rsid w:val="00540C8D"/>
    <w:rsid w:val="005410BD"/>
    <w:rsid w:val="005412EE"/>
    <w:rsid w:val="005415B7"/>
    <w:rsid w:val="00542146"/>
    <w:rsid w:val="00542690"/>
    <w:rsid w:val="0054273A"/>
    <w:rsid w:val="0054315D"/>
    <w:rsid w:val="005433A2"/>
    <w:rsid w:val="005436A7"/>
    <w:rsid w:val="00543804"/>
    <w:rsid w:val="0054386B"/>
    <w:rsid w:val="00543DA2"/>
    <w:rsid w:val="00543F88"/>
    <w:rsid w:val="00544A07"/>
    <w:rsid w:val="00545077"/>
    <w:rsid w:val="00545A4F"/>
    <w:rsid w:val="00545B40"/>
    <w:rsid w:val="00546723"/>
    <w:rsid w:val="0054691F"/>
    <w:rsid w:val="005474F0"/>
    <w:rsid w:val="00550259"/>
    <w:rsid w:val="00550741"/>
    <w:rsid w:val="00550E9E"/>
    <w:rsid w:val="00551086"/>
    <w:rsid w:val="00551135"/>
    <w:rsid w:val="00552888"/>
    <w:rsid w:val="00552900"/>
    <w:rsid w:val="00552941"/>
    <w:rsid w:val="00552A65"/>
    <w:rsid w:val="00552DE6"/>
    <w:rsid w:val="00552EA9"/>
    <w:rsid w:val="00554672"/>
    <w:rsid w:val="00554D51"/>
    <w:rsid w:val="0055546C"/>
    <w:rsid w:val="0055554C"/>
    <w:rsid w:val="0055593A"/>
    <w:rsid w:val="00555ACE"/>
    <w:rsid w:val="00555BA4"/>
    <w:rsid w:val="00555EA3"/>
    <w:rsid w:val="00556156"/>
    <w:rsid w:val="0055635C"/>
    <w:rsid w:val="00556985"/>
    <w:rsid w:val="00556CED"/>
    <w:rsid w:val="005572EF"/>
    <w:rsid w:val="00560A28"/>
    <w:rsid w:val="005616E8"/>
    <w:rsid w:val="00561860"/>
    <w:rsid w:val="00561948"/>
    <w:rsid w:val="005623F9"/>
    <w:rsid w:val="00562AEE"/>
    <w:rsid w:val="00562F75"/>
    <w:rsid w:val="00563056"/>
    <w:rsid w:val="0056355F"/>
    <w:rsid w:val="0056356C"/>
    <w:rsid w:val="0056358E"/>
    <w:rsid w:val="005638FA"/>
    <w:rsid w:val="00563DF9"/>
    <w:rsid w:val="005643D6"/>
    <w:rsid w:val="0056490C"/>
    <w:rsid w:val="00564938"/>
    <w:rsid w:val="00564968"/>
    <w:rsid w:val="00564E39"/>
    <w:rsid w:val="00564FD0"/>
    <w:rsid w:val="00565126"/>
    <w:rsid w:val="005653DC"/>
    <w:rsid w:val="005657E5"/>
    <w:rsid w:val="005659D4"/>
    <w:rsid w:val="00565CCB"/>
    <w:rsid w:val="0056612D"/>
    <w:rsid w:val="005663AA"/>
    <w:rsid w:val="00566609"/>
    <w:rsid w:val="0056664B"/>
    <w:rsid w:val="00566BA2"/>
    <w:rsid w:val="005677C9"/>
    <w:rsid w:val="00567E08"/>
    <w:rsid w:val="0057047A"/>
    <w:rsid w:val="00570DC7"/>
    <w:rsid w:val="00571198"/>
    <w:rsid w:val="0057190F"/>
    <w:rsid w:val="00572CDA"/>
    <w:rsid w:val="00572D27"/>
    <w:rsid w:val="0057327F"/>
    <w:rsid w:val="005735C2"/>
    <w:rsid w:val="00573B2F"/>
    <w:rsid w:val="00574763"/>
    <w:rsid w:val="00574985"/>
    <w:rsid w:val="00574BC6"/>
    <w:rsid w:val="00574DAE"/>
    <w:rsid w:val="00574ED3"/>
    <w:rsid w:val="0057531C"/>
    <w:rsid w:val="00575520"/>
    <w:rsid w:val="0057561A"/>
    <w:rsid w:val="00576024"/>
    <w:rsid w:val="005762B1"/>
    <w:rsid w:val="00576326"/>
    <w:rsid w:val="005765CE"/>
    <w:rsid w:val="00576BF4"/>
    <w:rsid w:val="0057710F"/>
    <w:rsid w:val="00580D63"/>
    <w:rsid w:val="00580DDD"/>
    <w:rsid w:val="00580EEE"/>
    <w:rsid w:val="00581021"/>
    <w:rsid w:val="00581320"/>
    <w:rsid w:val="005817C5"/>
    <w:rsid w:val="005818D3"/>
    <w:rsid w:val="00581A64"/>
    <w:rsid w:val="00581C68"/>
    <w:rsid w:val="00581C8F"/>
    <w:rsid w:val="00581F00"/>
    <w:rsid w:val="0058277F"/>
    <w:rsid w:val="00582D82"/>
    <w:rsid w:val="00582F03"/>
    <w:rsid w:val="0058339D"/>
    <w:rsid w:val="00583D09"/>
    <w:rsid w:val="00583E12"/>
    <w:rsid w:val="0058491A"/>
    <w:rsid w:val="00584E5C"/>
    <w:rsid w:val="005850EE"/>
    <w:rsid w:val="00585388"/>
    <w:rsid w:val="0058568D"/>
    <w:rsid w:val="005857E9"/>
    <w:rsid w:val="00585F1A"/>
    <w:rsid w:val="00586410"/>
    <w:rsid w:val="0058683D"/>
    <w:rsid w:val="005868BA"/>
    <w:rsid w:val="00587CB9"/>
    <w:rsid w:val="0059134B"/>
    <w:rsid w:val="00591A41"/>
    <w:rsid w:val="00591B39"/>
    <w:rsid w:val="00591FFB"/>
    <w:rsid w:val="005921DB"/>
    <w:rsid w:val="0059264D"/>
    <w:rsid w:val="00592BE6"/>
    <w:rsid w:val="00593110"/>
    <w:rsid w:val="005938CE"/>
    <w:rsid w:val="00593A85"/>
    <w:rsid w:val="00593E8B"/>
    <w:rsid w:val="00593F16"/>
    <w:rsid w:val="00594E8E"/>
    <w:rsid w:val="0059611C"/>
    <w:rsid w:val="0059623C"/>
    <w:rsid w:val="0059639A"/>
    <w:rsid w:val="005963A5"/>
    <w:rsid w:val="005964AE"/>
    <w:rsid w:val="00597244"/>
    <w:rsid w:val="00597C5C"/>
    <w:rsid w:val="00597E6C"/>
    <w:rsid w:val="00597F6D"/>
    <w:rsid w:val="005A06E0"/>
    <w:rsid w:val="005A0DA6"/>
    <w:rsid w:val="005A12B2"/>
    <w:rsid w:val="005A1835"/>
    <w:rsid w:val="005A1882"/>
    <w:rsid w:val="005A1A85"/>
    <w:rsid w:val="005A2648"/>
    <w:rsid w:val="005A3205"/>
    <w:rsid w:val="005A35B2"/>
    <w:rsid w:val="005A41F2"/>
    <w:rsid w:val="005A43E5"/>
    <w:rsid w:val="005A448D"/>
    <w:rsid w:val="005A476B"/>
    <w:rsid w:val="005A4805"/>
    <w:rsid w:val="005A59CD"/>
    <w:rsid w:val="005A5E33"/>
    <w:rsid w:val="005A5FB2"/>
    <w:rsid w:val="005A6088"/>
    <w:rsid w:val="005A72AD"/>
    <w:rsid w:val="005A7A0B"/>
    <w:rsid w:val="005B00FA"/>
    <w:rsid w:val="005B0426"/>
    <w:rsid w:val="005B0A7A"/>
    <w:rsid w:val="005B11FF"/>
    <w:rsid w:val="005B1FFD"/>
    <w:rsid w:val="005B2235"/>
    <w:rsid w:val="005B26EC"/>
    <w:rsid w:val="005B2C28"/>
    <w:rsid w:val="005B3036"/>
    <w:rsid w:val="005B3291"/>
    <w:rsid w:val="005B4301"/>
    <w:rsid w:val="005B442B"/>
    <w:rsid w:val="005B450D"/>
    <w:rsid w:val="005B464A"/>
    <w:rsid w:val="005B55C8"/>
    <w:rsid w:val="005B6431"/>
    <w:rsid w:val="005B6509"/>
    <w:rsid w:val="005B658F"/>
    <w:rsid w:val="005B6985"/>
    <w:rsid w:val="005B6B2B"/>
    <w:rsid w:val="005B6CBB"/>
    <w:rsid w:val="005B6CF1"/>
    <w:rsid w:val="005B7553"/>
    <w:rsid w:val="005B7839"/>
    <w:rsid w:val="005B7982"/>
    <w:rsid w:val="005B7C45"/>
    <w:rsid w:val="005B7FC4"/>
    <w:rsid w:val="005C01CC"/>
    <w:rsid w:val="005C04DC"/>
    <w:rsid w:val="005C0B87"/>
    <w:rsid w:val="005C139E"/>
    <w:rsid w:val="005C1969"/>
    <w:rsid w:val="005C1BA2"/>
    <w:rsid w:val="005C2523"/>
    <w:rsid w:val="005C2621"/>
    <w:rsid w:val="005C2B2E"/>
    <w:rsid w:val="005C2C4D"/>
    <w:rsid w:val="005C3183"/>
    <w:rsid w:val="005C328A"/>
    <w:rsid w:val="005C355A"/>
    <w:rsid w:val="005C3695"/>
    <w:rsid w:val="005C3A7A"/>
    <w:rsid w:val="005C3C06"/>
    <w:rsid w:val="005C3E60"/>
    <w:rsid w:val="005C428D"/>
    <w:rsid w:val="005C4676"/>
    <w:rsid w:val="005C597C"/>
    <w:rsid w:val="005C5AE8"/>
    <w:rsid w:val="005C5B6A"/>
    <w:rsid w:val="005C6079"/>
    <w:rsid w:val="005C71AF"/>
    <w:rsid w:val="005C79D2"/>
    <w:rsid w:val="005C7B58"/>
    <w:rsid w:val="005C7EDE"/>
    <w:rsid w:val="005D0B1E"/>
    <w:rsid w:val="005D0C9D"/>
    <w:rsid w:val="005D0D24"/>
    <w:rsid w:val="005D0E33"/>
    <w:rsid w:val="005D1317"/>
    <w:rsid w:val="005D1EE8"/>
    <w:rsid w:val="005D249B"/>
    <w:rsid w:val="005D2632"/>
    <w:rsid w:val="005D2D73"/>
    <w:rsid w:val="005D388B"/>
    <w:rsid w:val="005D38A0"/>
    <w:rsid w:val="005D44D3"/>
    <w:rsid w:val="005D4548"/>
    <w:rsid w:val="005D46DF"/>
    <w:rsid w:val="005D49EF"/>
    <w:rsid w:val="005D4FD8"/>
    <w:rsid w:val="005D5927"/>
    <w:rsid w:val="005D700D"/>
    <w:rsid w:val="005D74CD"/>
    <w:rsid w:val="005D7716"/>
    <w:rsid w:val="005E0212"/>
    <w:rsid w:val="005E0BB4"/>
    <w:rsid w:val="005E1A0C"/>
    <w:rsid w:val="005E2158"/>
    <w:rsid w:val="005E21DF"/>
    <w:rsid w:val="005E233D"/>
    <w:rsid w:val="005E24CC"/>
    <w:rsid w:val="005E285A"/>
    <w:rsid w:val="005E2BB3"/>
    <w:rsid w:val="005E2BF0"/>
    <w:rsid w:val="005E2BFC"/>
    <w:rsid w:val="005E3365"/>
    <w:rsid w:val="005E40CB"/>
    <w:rsid w:val="005E4140"/>
    <w:rsid w:val="005E5286"/>
    <w:rsid w:val="005E558B"/>
    <w:rsid w:val="005E5C21"/>
    <w:rsid w:val="005E5F53"/>
    <w:rsid w:val="005E64BE"/>
    <w:rsid w:val="005E6BC5"/>
    <w:rsid w:val="005E6C4A"/>
    <w:rsid w:val="005E6C65"/>
    <w:rsid w:val="005E7119"/>
    <w:rsid w:val="005E73F6"/>
    <w:rsid w:val="005E75D0"/>
    <w:rsid w:val="005E7CF7"/>
    <w:rsid w:val="005F0045"/>
    <w:rsid w:val="005F05D4"/>
    <w:rsid w:val="005F124C"/>
    <w:rsid w:val="005F1C84"/>
    <w:rsid w:val="005F2CC5"/>
    <w:rsid w:val="005F2D28"/>
    <w:rsid w:val="005F2D3B"/>
    <w:rsid w:val="005F30AE"/>
    <w:rsid w:val="005F3168"/>
    <w:rsid w:val="005F3B57"/>
    <w:rsid w:val="005F3ED8"/>
    <w:rsid w:val="005F406F"/>
    <w:rsid w:val="005F40F2"/>
    <w:rsid w:val="005F43E3"/>
    <w:rsid w:val="005F4402"/>
    <w:rsid w:val="005F4DA9"/>
    <w:rsid w:val="005F50B2"/>
    <w:rsid w:val="005F55EA"/>
    <w:rsid w:val="005F601E"/>
    <w:rsid w:val="005F6929"/>
    <w:rsid w:val="005F6E61"/>
    <w:rsid w:val="005F70BD"/>
    <w:rsid w:val="005F757F"/>
    <w:rsid w:val="005F7662"/>
    <w:rsid w:val="005F7C6E"/>
    <w:rsid w:val="005F7D48"/>
    <w:rsid w:val="006001FC"/>
    <w:rsid w:val="00600323"/>
    <w:rsid w:val="00600CEE"/>
    <w:rsid w:val="00601164"/>
    <w:rsid w:val="00601E4D"/>
    <w:rsid w:val="00601EDD"/>
    <w:rsid w:val="0060240E"/>
    <w:rsid w:val="006027D7"/>
    <w:rsid w:val="00602F9E"/>
    <w:rsid w:val="00603305"/>
    <w:rsid w:val="00603BE0"/>
    <w:rsid w:val="006042EB"/>
    <w:rsid w:val="006052D8"/>
    <w:rsid w:val="00605AE9"/>
    <w:rsid w:val="00606007"/>
    <w:rsid w:val="00606712"/>
    <w:rsid w:val="00606B28"/>
    <w:rsid w:val="00606C3F"/>
    <w:rsid w:val="00606D2A"/>
    <w:rsid w:val="00607432"/>
    <w:rsid w:val="00607E2F"/>
    <w:rsid w:val="0061014A"/>
    <w:rsid w:val="00610888"/>
    <w:rsid w:val="00610B51"/>
    <w:rsid w:val="00610B6E"/>
    <w:rsid w:val="00610DA2"/>
    <w:rsid w:val="00610DF5"/>
    <w:rsid w:val="00611006"/>
    <w:rsid w:val="00612698"/>
    <w:rsid w:val="00612799"/>
    <w:rsid w:val="00612FB4"/>
    <w:rsid w:val="00613487"/>
    <w:rsid w:val="0061463D"/>
    <w:rsid w:val="00614F70"/>
    <w:rsid w:val="00615016"/>
    <w:rsid w:val="0061513D"/>
    <w:rsid w:val="00615983"/>
    <w:rsid w:val="00615BAD"/>
    <w:rsid w:val="00615C05"/>
    <w:rsid w:val="00616106"/>
    <w:rsid w:val="00616740"/>
    <w:rsid w:val="00616BB0"/>
    <w:rsid w:val="00616E0E"/>
    <w:rsid w:val="00616E10"/>
    <w:rsid w:val="00617145"/>
    <w:rsid w:val="0061731E"/>
    <w:rsid w:val="006177B8"/>
    <w:rsid w:val="006179D0"/>
    <w:rsid w:val="00617BA1"/>
    <w:rsid w:val="00617C38"/>
    <w:rsid w:val="00620A07"/>
    <w:rsid w:val="00620F3D"/>
    <w:rsid w:val="0062100D"/>
    <w:rsid w:val="0062182D"/>
    <w:rsid w:val="00621B6F"/>
    <w:rsid w:val="00621BAC"/>
    <w:rsid w:val="006222A8"/>
    <w:rsid w:val="00622506"/>
    <w:rsid w:val="00622744"/>
    <w:rsid w:val="006227CB"/>
    <w:rsid w:val="00622B09"/>
    <w:rsid w:val="00622CD7"/>
    <w:rsid w:val="0062378F"/>
    <w:rsid w:val="00623AF0"/>
    <w:rsid w:val="00623CC7"/>
    <w:rsid w:val="00623F06"/>
    <w:rsid w:val="006242D2"/>
    <w:rsid w:val="00624B90"/>
    <w:rsid w:val="00624C24"/>
    <w:rsid w:val="00624C3B"/>
    <w:rsid w:val="00625D60"/>
    <w:rsid w:val="00626192"/>
    <w:rsid w:val="00626197"/>
    <w:rsid w:val="00626475"/>
    <w:rsid w:val="00626C00"/>
    <w:rsid w:val="00626D14"/>
    <w:rsid w:val="00627128"/>
    <w:rsid w:val="00627220"/>
    <w:rsid w:val="00627EA3"/>
    <w:rsid w:val="00630884"/>
    <w:rsid w:val="006313DE"/>
    <w:rsid w:val="00631632"/>
    <w:rsid w:val="00631AAF"/>
    <w:rsid w:val="00632951"/>
    <w:rsid w:val="00632994"/>
    <w:rsid w:val="00632BB2"/>
    <w:rsid w:val="00632E8F"/>
    <w:rsid w:val="00632FB0"/>
    <w:rsid w:val="00633805"/>
    <w:rsid w:val="0063435E"/>
    <w:rsid w:val="0063466A"/>
    <w:rsid w:val="00635399"/>
    <w:rsid w:val="00635ADE"/>
    <w:rsid w:val="006360F8"/>
    <w:rsid w:val="0063620A"/>
    <w:rsid w:val="0063722A"/>
    <w:rsid w:val="0063776B"/>
    <w:rsid w:val="00637ACD"/>
    <w:rsid w:val="00637F16"/>
    <w:rsid w:val="00640344"/>
    <w:rsid w:val="0064071F"/>
    <w:rsid w:val="00640B95"/>
    <w:rsid w:val="00640C07"/>
    <w:rsid w:val="00640C65"/>
    <w:rsid w:val="00640E67"/>
    <w:rsid w:val="00640F50"/>
    <w:rsid w:val="00641052"/>
    <w:rsid w:val="0064157F"/>
    <w:rsid w:val="00641BA2"/>
    <w:rsid w:val="00642F64"/>
    <w:rsid w:val="00643119"/>
    <w:rsid w:val="00643462"/>
    <w:rsid w:val="0064358C"/>
    <w:rsid w:val="00644033"/>
    <w:rsid w:val="006441EE"/>
    <w:rsid w:val="00644404"/>
    <w:rsid w:val="00644629"/>
    <w:rsid w:val="00644AAE"/>
    <w:rsid w:val="00644D3A"/>
    <w:rsid w:val="00645187"/>
    <w:rsid w:val="00645334"/>
    <w:rsid w:val="006454E0"/>
    <w:rsid w:val="00645C4C"/>
    <w:rsid w:val="006465E3"/>
    <w:rsid w:val="00646603"/>
    <w:rsid w:val="006469AD"/>
    <w:rsid w:val="006469EB"/>
    <w:rsid w:val="00647992"/>
    <w:rsid w:val="00647C14"/>
    <w:rsid w:val="00647E2A"/>
    <w:rsid w:val="0065020C"/>
    <w:rsid w:val="00650A53"/>
    <w:rsid w:val="00650C20"/>
    <w:rsid w:val="00650F4A"/>
    <w:rsid w:val="00651158"/>
    <w:rsid w:val="00651412"/>
    <w:rsid w:val="00652C4D"/>
    <w:rsid w:val="00652D9C"/>
    <w:rsid w:val="00653243"/>
    <w:rsid w:val="006533FB"/>
    <w:rsid w:val="00653480"/>
    <w:rsid w:val="00653555"/>
    <w:rsid w:val="0065487C"/>
    <w:rsid w:val="00654C13"/>
    <w:rsid w:val="00655285"/>
    <w:rsid w:val="00655CA3"/>
    <w:rsid w:val="006566FF"/>
    <w:rsid w:val="00656ECC"/>
    <w:rsid w:val="00656EFC"/>
    <w:rsid w:val="0065741B"/>
    <w:rsid w:val="006577ED"/>
    <w:rsid w:val="0066019A"/>
    <w:rsid w:val="0066088D"/>
    <w:rsid w:val="00660E4D"/>
    <w:rsid w:val="0066100B"/>
    <w:rsid w:val="00661F80"/>
    <w:rsid w:val="006624CF"/>
    <w:rsid w:val="00662782"/>
    <w:rsid w:val="00662EB8"/>
    <w:rsid w:val="006630FF"/>
    <w:rsid w:val="00663456"/>
    <w:rsid w:val="006639D7"/>
    <w:rsid w:val="006640B4"/>
    <w:rsid w:val="00664AFE"/>
    <w:rsid w:val="00664BE2"/>
    <w:rsid w:val="00664F9F"/>
    <w:rsid w:val="00665396"/>
    <w:rsid w:val="0066587B"/>
    <w:rsid w:val="00666451"/>
    <w:rsid w:val="0066758C"/>
    <w:rsid w:val="00667FD5"/>
    <w:rsid w:val="0067068A"/>
    <w:rsid w:val="00670DA2"/>
    <w:rsid w:val="00670E15"/>
    <w:rsid w:val="00670E48"/>
    <w:rsid w:val="00671147"/>
    <w:rsid w:val="0067141B"/>
    <w:rsid w:val="00671C5C"/>
    <w:rsid w:val="0067272D"/>
    <w:rsid w:val="00672733"/>
    <w:rsid w:val="00672D7E"/>
    <w:rsid w:val="0067311E"/>
    <w:rsid w:val="0067348F"/>
    <w:rsid w:val="00673B2A"/>
    <w:rsid w:val="00674090"/>
    <w:rsid w:val="00674216"/>
    <w:rsid w:val="00674477"/>
    <w:rsid w:val="006758A4"/>
    <w:rsid w:val="00675E7E"/>
    <w:rsid w:val="0067600A"/>
    <w:rsid w:val="006766CB"/>
    <w:rsid w:val="0067701A"/>
    <w:rsid w:val="0067727D"/>
    <w:rsid w:val="0067756D"/>
    <w:rsid w:val="00677E7B"/>
    <w:rsid w:val="00680220"/>
    <w:rsid w:val="0068089F"/>
    <w:rsid w:val="00680955"/>
    <w:rsid w:val="00680AED"/>
    <w:rsid w:val="006814C5"/>
    <w:rsid w:val="006815C1"/>
    <w:rsid w:val="00681CD9"/>
    <w:rsid w:val="00681DF9"/>
    <w:rsid w:val="00682440"/>
    <w:rsid w:val="006828D0"/>
    <w:rsid w:val="00682B3C"/>
    <w:rsid w:val="0068323D"/>
    <w:rsid w:val="0068392F"/>
    <w:rsid w:val="00683F68"/>
    <w:rsid w:val="006841C9"/>
    <w:rsid w:val="0068420C"/>
    <w:rsid w:val="00684347"/>
    <w:rsid w:val="00684441"/>
    <w:rsid w:val="00684AF6"/>
    <w:rsid w:val="0068511D"/>
    <w:rsid w:val="00685EC1"/>
    <w:rsid w:val="00686734"/>
    <w:rsid w:val="0068691C"/>
    <w:rsid w:val="00686BD9"/>
    <w:rsid w:val="00686C94"/>
    <w:rsid w:val="00687BDF"/>
    <w:rsid w:val="00687FEC"/>
    <w:rsid w:val="0069008A"/>
    <w:rsid w:val="00690209"/>
    <w:rsid w:val="0069028F"/>
    <w:rsid w:val="0069076C"/>
    <w:rsid w:val="0069130F"/>
    <w:rsid w:val="00691404"/>
    <w:rsid w:val="00691CDD"/>
    <w:rsid w:val="0069224F"/>
    <w:rsid w:val="00693502"/>
    <w:rsid w:val="006935FB"/>
    <w:rsid w:val="00694250"/>
    <w:rsid w:val="00694540"/>
    <w:rsid w:val="006956A1"/>
    <w:rsid w:val="00695912"/>
    <w:rsid w:val="00695DBA"/>
    <w:rsid w:val="00696309"/>
    <w:rsid w:val="00696346"/>
    <w:rsid w:val="0069681D"/>
    <w:rsid w:val="00696B5A"/>
    <w:rsid w:val="00696BC0"/>
    <w:rsid w:val="00697776"/>
    <w:rsid w:val="00697CC7"/>
    <w:rsid w:val="006A001D"/>
    <w:rsid w:val="006A0035"/>
    <w:rsid w:val="006A0D5E"/>
    <w:rsid w:val="006A11EB"/>
    <w:rsid w:val="006A1DEE"/>
    <w:rsid w:val="006A280F"/>
    <w:rsid w:val="006A2A1B"/>
    <w:rsid w:val="006A3C73"/>
    <w:rsid w:val="006A4579"/>
    <w:rsid w:val="006A4719"/>
    <w:rsid w:val="006A49E9"/>
    <w:rsid w:val="006A4DC0"/>
    <w:rsid w:val="006A52AF"/>
    <w:rsid w:val="006A57D9"/>
    <w:rsid w:val="006A5DAF"/>
    <w:rsid w:val="006A628A"/>
    <w:rsid w:val="006A6298"/>
    <w:rsid w:val="006A7453"/>
    <w:rsid w:val="006A74A6"/>
    <w:rsid w:val="006A75C3"/>
    <w:rsid w:val="006A7F2B"/>
    <w:rsid w:val="006A7F31"/>
    <w:rsid w:val="006B0700"/>
    <w:rsid w:val="006B0CDC"/>
    <w:rsid w:val="006B0D8B"/>
    <w:rsid w:val="006B2A5D"/>
    <w:rsid w:val="006B3F4B"/>
    <w:rsid w:val="006B46C4"/>
    <w:rsid w:val="006B46DA"/>
    <w:rsid w:val="006B4C48"/>
    <w:rsid w:val="006B4D45"/>
    <w:rsid w:val="006B51E5"/>
    <w:rsid w:val="006B5D77"/>
    <w:rsid w:val="006B62B9"/>
    <w:rsid w:val="006B6A15"/>
    <w:rsid w:val="006B6BAA"/>
    <w:rsid w:val="006B72D0"/>
    <w:rsid w:val="006B77D1"/>
    <w:rsid w:val="006B7B7F"/>
    <w:rsid w:val="006C0784"/>
    <w:rsid w:val="006C10A8"/>
    <w:rsid w:val="006C1419"/>
    <w:rsid w:val="006C227D"/>
    <w:rsid w:val="006C2650"/>
    <w:rsid w:val="006C2BE1"/>
    <w:rsid w:val="006C2EA7"/>
    <w:rsid w:val="006C34C2"/>
    <w:rsid w:val="006C356A"/>
    <w:rsid w:val="006C372E"/>
    <w:rsid w:val="006C3D8C"/>
    <w:rsid w:val="006C3E2A"/>
    <w:rsid w:val="006C3F49"/>
    <w:rsid w:val="006C4E2C"/>
    <w:rsid w:val="006C4F28"/>
    <w:rsid w:val="006C543A"/>
    <w:rsid w:val="006C591F"/>
    <w:rsid w:val="006C5B7B"/>
    <w:rsid w:val="006C6617"/>
    <w:rsid w:val="006C6997"/>
    <w:rsid w:val="006C6D8C"/>
    <w:rsid w:val="006C6F87"/>
    <w:rsid w:val="006C72D7"/>
    <w:rsid w:val="006C7D8B"/>
    <w:rsid w:val="006C7E4B"/>
    <w:rsid w:val="006D0656"/>
    <w:rsid w:val="006D0CF8"/>
    <w:rsid w:val="006D0D19"/>
    <w:rsid w:val="006D104C"/>
    <w:rsid w:val="006D1458"/>
    <w:rsid w:val="006D1494"/>
    <w:rsid w:val="006D180E"/>
    <w:rsid w:val="006D1837"/>
    <w:rsid w:val="006D1BE6"/>
    <w:rsid w:val="006D2686"/>
    <w:rsid w:val="006D2AEB"/>
    <w:rsid w:val="006D2C47"/>
    <w:rsid w:val="006D33A5"/>
    <w:rsid w:val="006D39B1"/>
    <w:rsid w:val="006D39B5"/>
    <w:rsid w:val="006D4A80"/>
    <w:rsid w:val="006D4B11"/>
    <w:rsid w:val="006D5B2E"/>
    <w:rsid w:val="006D6425"/>
    <w:rsid w:val="006D648E"/>
    <w:rsid w:val="006D6C59"/>
    <w:rsid w:val="006D6DAA"/>
    <w:rsid w:val="006D7912"/>
    <w:rsid w:val="006D7ECB"/>
    <w:rsid w:val="006E00FD"/>
    <w:rsid w:val="006E0552"/>
    <w:rsid w:val="006E091E"/>
    <w:rsid w:val="006E16AC"/>
    <w:rsid w:val="006E225C"/>
    <w:rsid w:val="006E283A"/>
    <w:rsid w:val="006E291E"/>
    <w:rsid w:val="006E2979"/>
    <w:rsid w:val="006E2BB5"/>
    <w:rsid w:val="006E3E96"/>
    <w:rsid w:val="006E421A"/>
    <w:rsid w:val="006E441F"/>
    <w:rsid w:val="006E4AF9"/>
    <w:rsid w:val="006E557F"/>
    <w:rsid w:val="006E6C6D"/>
    <w:rsid w:val="006E6E0A"/>
    <w:rsid w:val="006E6FE0"/>
    <w:rsid w:val="006E7180"/>
    <w:rsid w:val="006E74E6"/>
    <w:rsid w:val="006E765F"/>
    <w:rsid w:val="006E7755"/>
    <w:rsid w:val="006F00D8"/>
    <w:rsid w:val="006F2222"/>
    <w:rsid w:val="006F24BE"/>
    <w:rsid w:val="006F2B3F"/>
    <w:rsid w:val="006F2EEA"/>
    <w:rsid w:val="006F35A5"/>
    <w:rsid w:val="006F3640"/>
    <w:rsid w:val="006F3978"/>
    <w:rsid w:val="006F3C5F"/>
    <w:rsid w:val="006F4022"/>
    <w:rsid w:val="006F4627"/>
    <w:rsid w:val="006F4DA4"/>
    <w:rsid w:val="006F4DFC"/>
    <w:rsid w:val="006F5979"/>
    <w:rsid w:val="006F7961"/>
    <w:rsid w:val="006F7C2B"/>
    <w:rsid w:val="006F7EC7"/>
    <w:rsid w:val="00700CF8"/>
    <w:rsid w:val="0070150A"/>
    <w:rsid w:val="00701F2A"/>
    <w:rsid w:val="00701F3A"/>
    <w:rsid w:val="007021F4"/>
    <w:rsid w:val="00702ADA"/>
    <w:rsid w:val="00702BF6"/>
    <w:rsid w:val="00702FD6"/>
    <w:rsid w:val="007031C4"/>
    <w:rsid w:val="00703727"/>
    <w:rsid w:val="00703826"/>
    <w:rsid w:val="00704B8B"/>
    <w:rsid w:val="00704D7E"/>
    <w:rsid w:val="00705120"/>
    <w:rsid w:val="00705432"/>
    <w:rsid w:val="00705E07"/>
    <w:rsid w:val="00705E17"/>
    <w:rsid w:val="0070614C"/>
    <w:rsid w:val="0070663A"/>
    <w:rsid w:val="00706CB0"/>
    <w:rsid w:val="00706EB3"/>
    <w:rsid w:val="00707671"/>
    <w:rsid w:val="00707F52"/>
    <w:rsid w:val="00710839"/>
    <w:rsid w:val="00710E91"/>
    <w:rsid w:val="0071117F"/>
    <w:rsid w:val="0071134F"/>
    <w:rsid w:val="0071216F"/>
    <w:rsid w:val="00712817"/>
    <w:rsid w:val="00712A32"/>
    <w:rsid w:val="00713AD0"/>
    <w:rsid w:val="0071428C"/>
    <w:rsid w:val="007142E6"/>
    <w:rsid w:val="007143AD"/>
    <w:rsid w:val="00714A50"/>
    <w:rsid w:val="00714C2E"/>
    <w:rsid w:val="007154F8"/>
    <w:rsid w:val="00715657"/>
    <w:rsid w:val="00715CEA"/>
    <w:rsid w:val="00716180"/>
    <w:rsid w:val="00716872"/>
    <w:rsid w:val="007169D0"/>
    <w:rsid w:val="00716FE6"/>
    <w:rsid w:val="00717D7F"/>
    <w:rsid w:val="00717DD3"/>
    <w:rsid w:val="00717DD5"/>
    <w:rsid w:val="00720A56"/>
    <w:rsid w:val="00720AB1"/>
    <w:rsid w:val="00720C19"/>
    <w:rsid w:val="00720DD7"/>
    <w:rsid w:val="00720F03"/>
    <w:rsid w:val="00722266"/>
    <w:rsid w:val="00722721"/>
    <w:rsid w:val="007227C8"/>
    <w:rsid w:val="00722BAE"/>
    <w:rsid w:val="00723E41"/>
    <w:rsid w:val="0072419B"/>
    <w:rsid w:val="007244AC"/>
    <w:rsid w:val="00725A1E"/>
    <w:rsid w:val="0072638D"/>
    <w:rsid w:val="007264EB"/>
    <w:rsid w:val="0072677A"/>
    <w:rsid w:val="00726ADA"/>
    <w:rsid w:val="00726C33"/>
    <w:rsid w:val="00726C67"/>
    <w:rsid w:val="0072756C"/>
    <w:rsid w:val="00727AD3"/>
    <w:rsid w:val="00727BD9"/>
    <w:rsid w:val="00727E5D"/>
    <w:rsid w:val="00727E98"/>
    <w:rsid w:val="00727FD5"/>
    <w:rsid w:val="00727FE8"/>
    <w:rsid w:val="007311D9"/>
    <w:rsid w:val="0073189C"/>
    <w:rsid w:val="00731B4B"/>
    <w:rsid w:val="00731B63"/>
    <w:rsid w:val="00732625"/>
    <w:rsid w:val="00732C34"/>
    <w:rsid w:val="007331D8"/>
    <w:rsid w:val="00733345"/>
    <w:rsid w:val="007347CD"/>
    <w:rsid w:val="00734BE2"/>
    <w:rsid w:val="00734C24"/>
    <w:rsid w:val="0073546F"/>
    <w:rsid w:val="00735732"/>
    <w:rsid w:val="00735D2F"/>
    <w:rsid w:val="00735F0C"/>
    <w:rsid w:val="007364BB"/>
    <w:rsid w:val="0073673A"/>
    <w:rsid w:val="007369B4"/>
    <w:rsid w:val="00736DED"/>
    <w:rsid w:val="00737264"/>
    <w:rsid w:val="00737B89"/>
    <w:rsid w:val="0074086E"/>
    <w:rsid w:val="00740E4F"/>
    <w:rsid w:val="0074135A"/>
    <w:rsid w:val="007415CA"/>
    <w:rsid w:val="0074208D"/>
    <w:rsid w:val="007423A5"/>
    <w:rsid w:val="0074265D"/>
    <w:rsid w:val="00743C06"/>
    <w:rsid w:val="00743C9D"/>
    <w:rsid w:val="00743F8C"/>
    <w:rsid w:val="00744CA1"/>
    <w:rsid w:val="0074523E"/>
    <w:rsid w:val="00745EA9"/>
    <w:rsid w:val="007460B9"/>
    <w:rsid w:val="007465CA"/>
    <w:rsid w:val="00746651"/>
    <w:rsid w:val="00746B73"/>
    <w:rsid w:val="00746BB2"/>
    <w:rsid w:val="00747629"/>
    <w:rsid w:val="00747EAE"/>
    <w:rsid w:val="0075011C"/>
    <w:rsid w:val="007506FE"/>
    <w:rsid w:val="0075076F"/>
    <w:rsid w:val="00750E3F"/>
    <w:rsid w:val="00751A76"/>
    <w:rsid w:val="00751C7C"/>
    <w:rsid w:val="00752448"/>
    <w:rsid w:val="007525C3"/>
    <w:rsid w:val="0075298C"/>
    <w:rsid w:val="00752B9F"/>
    <w:rsid w:val="00752D7A"/>
    <w:rsid w:val="007535CA"/>
    <w:rsid w:val="00753ACC"/>
    <w:rsid w:val="00753DF3"/>
    <w:rsid w:val="00753E23"/>
    <w:rsid w:val="00754236"/>
    <w:rsid w:val="00754684"/>
    <w:rsid w:val="00754815"/>
    <w:rsid w:val="00754F56"/>
    <w:rsid w:val="00754F76"/>
    <w:rsid w:val="0075587D"/>
    <w:rsid w:val="007559B1"/>
    <w:rsid w:val="00755D35"/>
    <w:rsid w:val="007566F6"/>
    <w:rsid w:val="00756A42"/>
    <w:rsid w:val="00756EC0"/>
    <w:rsid w:val="00756F63"/>
    <w:rsid w:val="00757661"/>
    <w:rsid w:val="0075778F"/>
    <w:rsid w:val="00757D3F"/>
    <w:rsid w:val="00757F2A"/>
    <w:rsid w:val="00760355"/>
    <w:rsid w:val="0076055D"/>
    <w:rsid w:val="0076061D"/>
    <w:rsid w:val="00761059"/>
    <w:rsid w:val="0076162C"/>
    <w:rsid w:val="00761E18"/>
    <w:rsid w:val="00762005"/>
    <w:rsid w:val="00762DAB"/>
    <w:rsid w:val="00763013"/>
    <w:rsid w:val="007633A9"/>
    <w:rsid w:val="00763A7D"/>
    <w:rsid w:val="00763FE6"/>
    <w:rsid w:val="0076467B"/>
    <w:rsid w:val="0076478E"/>
    <w:rsid w:val="0076594E"/>
    <w:rsid w:val="007659DA"/>
    <w:rsid w:val="00765B32"/>
    <w:rsid w:val="00766163"/>
    <w:rsid w:val="0076656E"/>
    <w:rsid w:val="0076687C"/>
    <w:rsid w:val="007671FC"/>
    <w:rsid w:val="0076729B"/>
    <w:rsid w:val="00767513"/>
    <w:rsid w:val="007676C2"/>
    <w:rsid w:val="007676CA"/>
    <w:rsid w:val="007678FD"/>
    <w:rsid w:val="00767C52"/>
    <w:rsid w:val="00770581"/>
    <w:rsid w:val="007706DD"/>
    <w:rsid w:val="007708D5"/>
    <w:rsid w:val="00770A0D"/>
    <w:rsid w:val="00770D93"/>
    <w:rsid w:val="00770DFD"/>
    <w:rsid w:val="00771973"/>
    <w:rsid w:val="007721E1"/>
    <w:rsid w:val="00772365"/>
    <w:rsid w:val="007725EC"/>
    <w:rsid w:val="007731CA"/>
    <w:rsid w:val="007733ED"/>
    <w:rsid w:val="0077370A"/>
    <w:rsid w:val="007745C5"/>
    <w:rsid w:val="0077479F"/>
    <w:rsid w:val="007749F5"/>
    <w:rsid w:val="00774C97"/>
    <w:rsid w:val="00774E07"/>
    <w:rsid w:val="00775E86"/>
    <w:rsid w:val="00775E8F"/>
    <w:rsid w:val="00775F9C"/>
    <w:rsid w:val="007766BE"/>
    <w:rsid w:val="0077693D"/>
    <w:rsid w:val="007769FF"/>
    <w:rsid w:val="00776A3B"/>
    <w:rsid w:val="00776C0B"/>
    <w:rsid w:val="00777569"/>
    <w:rsid w:val="007775EA"/>
    <w:rsid w:val="0078016A"/>
    <w:rsid w:val="0078035B"/>
    <w:rsid w:val="00781529"/>
    <w:rsid w:val="0078169C"/>
    <w:rsid w:val="00781DB0"/>
    <w:rsid w:val="00781E31"/>
    <w:rsid w:val="007821D3"/>
    <w:rsid w:val="0078229E"/>
    <w:rsid w:val="0078236B"/>
    <w:rsid w:val="00782CDB"/>
    <w:rsid w:val="00783211"/>
    <w:rsid w:val="0078340B"/>
    <w:rsid w:val="00783482"/>
    <w:rsid w:val="00783646"/>
    <w:rsid w:val="00783BA8"/>
    <w:rsid w:val="00783D16"/>
    <w:rsid w:val="00783D81"/>
    <w:rsid w:val="00783F55"/>
    <w:rsid w:val="00784134"/>
    <w:rsid w:val="00784627"/>
    <w:rsid w:val="00784C2C"/>
    <w:rsid w:val="00784CE8"/>
    <w:rsid w:val="00784EF2"/>
    <w:rsid w:val="007853CB"/>
    <w:rsid w:val="0078559F"/>
    <w:rsid w:val="0078656D"/>
    <w:rsid w:val="00786B80"/>
    <w:rsid w:val="007873CD"/>
    <w:rsid w:val="007874AB"/>
    <w:rsid w:val="00787B30"/>
    <w:rsid w:val="00787EAD"/>
    <w:rsid w:val="007905B0"/>
    <w:rsid w:val="0079085A"/>
    <w:rsid w:val="00790C01"/>
    <w:rsid w:val="00791353"/>
    <w:rsid w:val="0079138E"/>
    <w:rsid w:val="0079145B"/>
    <w:rsid w:val="00791549"/>
    <w:rsid w:val="007934A8"/>
    <w:rsid w:val="007945E2"/>
    <w:rsid w:val="0079460D"/>
    <w:rsid w:val="00795543"/>
    <w:rsid w:val="00795547"/>
    <w:rsid w:val="0079571C"/>
    <w:rsid w:val="00795811"/>
    <w:rsid w:val="00795835"/>
    <w:rsid w:val="00795B34"/>
    <w:rsid w:val="007968EB"/>
    <w:rsid w:val="00796ABB"/>
    <w:rsid w:val="007970BF"/>
    <w:rsid w:val="007971DC"/>
    <w:rsid w:val="007A062A"/>
    <w:rsid w:val="007A0727"/>
    <w:rsid w:val="007A0AA9"/>
    <w:rsid w:val="007A103A"/>
    <w:rsid w:val="007A1591"/>
    <w:rsid w:val="007A17C4"/>
    <w:rsid w:val="007A1994"/>
    <w:rsid w:val="007A1C44"/>
    <w:rsid w:val="007A1E11"/>
    <w:rsid w:val="007A2839"/>
    <w:rsid w:val="007A36DC"/>
    <w:rsid w:val="007A3788"/>
    <w:rsid w:val="007A39FB"/>
    <w:rsid w:val="007A3C1D"/>
    <w:rsid w:val="007A400F"/>
    <w:rsid w:val="007A44EA"/>
    <w:rsid w:val="007A4CA3"/>
    <w:rsid w:val="007A4E44"/>
    <w:rsid w:val="007A53A9"/>
    <w:rsid w:val="007A53AF"/>
    <w:rsid w:val="007A5D74"/>
    <w:rsid w:val="007A5F0E"/>
    <w:rsid w:val="007A658E"/>
    <w:rsid w:val="007A7D9A"/>
    <w:rsid w:val="007B038A"/>
    <w:rsid w:val="007B07B2"/>
    <w:rsid w:val="007B086F"/>
    <w:rsid w:val="007B0889"/>
    <w:rsid w:val="007B1B03"/>
    <w:rsid w:val="007B26AF"/>
    <w:rsid w:val="007B390D"/>
    <w:rsid w:val="007B3B83"/>
    <w:rsid w:val="007B3F06"/>
    <w:rsid w:val="007B42EF"/>
    <w:rsid w:val="007B48A8"/>
    <w:rsid w:val="007B4DCC"/>
    <w:rsid w:val="007B4E4A"/>
    <w:rsid w:val="007B5672"/>
    <w:rsid w:val="007B5ED3"/>
    <w:rsid w:val="007B6005"/>
    <w:rsid w:val="007B65B0"/>
    <w:rsid w:val="007B6889"/>
    <w:rsid w:val="007B70C3"/>
    <w:rsid w:val="007B7974"/>
    <w:rsid w:val="007C02CD"/>
    <w:rsid w:val="007C0DF1"/>
    <w:rsid w:val="007C1693"/>
    <w:rsid w:val="007C18BF"/>
    <w:rsid w:val="007C1AD6"/>
    <w:rsid w:val="007C1D5F"/>
    <w:rsid w:val="007C21BA"/>
    <w:rsid w:val="007C2374"/>
    <w:rsid w:val="007C2391"/>
    <w:rsid w:val="007C2497"/>
    <w:rsid w:val="007C2710"/>
    <w:rsid w:val="007C2C32"/>
    <w:rsid w:val="007C3114"/>
    <w:rsid w:val="007C32C7"/>
    <w:rsid w:val="007C3364"/>
    <w:rsid w:val="007C3DD5"/>
    <w:rsid w:val="007C49FC"/>
    <w:rsid w:val="007C4B70"/>
    <w:rsid w:val="007C5BAC"/>
    <w:rsid w:val="007C5D3F"/>
    <w:rsid w:val="007C5D4C"/>
    <w:rsid w:val="007C64CD"/>
    <w:rsid w:val="007C65D6"/>
    <w:rsid w:val="007C74E5"/>
    <w:rsid w:val="007C7573"/>
    <w:rsid w:val="007C775F"/>
    <w:rsid w:val="007C782E"/>
    <w:rsid w:val="007C79A9"/>
    <w:rsid w:val="007D0160"/>
    <w:rsid w:val="007D025F"/>
    <w:rsid w:val="007D08DF"/>
    <w:rsid w:val="007D10A0"/>
    <w:rsid w:val="007D1311"/>
    <w:rsid w:val="007D14DC"/>
    <w:rsid w:val="007D18B4"/>
    <w:rsid w:val="007D1A66"/>
    <w:rsid w:val="007D1BD3"/>
    <w:rsid w:val="007D1E5C"/>
    <w:rsid w:val="007D27E6"/>
    <w:rsid w:val="007D2C68"/>
    <w:rsid w:val="007D2EEE"/>
    <w:rsid w:val="007D2F94"/>
    <w:rsid w:val="007D3282"/>
    <w:rsid w:val="007D39CC"/>
    <w:rsid w:val="007D3CAC"/>
    <w:rsid w:val="007D3D64"/>
    <w:rsid w:val="007D4C18"/>
    <w:rsid w:val="007D4F24"/>
    <w:rsid w:val="007D5540"/>
    <w:rsid w:val="007D5EF3"/>
    <w:rsid w:val="007D6060"/>
    <w:rsid w:val="007D6B2C"/>
    <w:rsid w:val="007D736E"/>
    <w:rsid w:val="007D7655"/>
    <w:rsid w:val="007D7B18"/>
    <w:rsid w:val="007E056F"/>
    <w:rsid w:val="007E08D7"/>
    <w:rsid w:val="007E0E9A"/>
    <w:rsid w:val="007E0EC9"/>
    <w:rsid w:val="007E135A"/>
    <w:rsid w:val="007E155F"/>
    <w:rsid w:val="007E167F"/>
    <w:rsid w:val="007E27D1"/>
    <w:rsid w:val="007E2B0A"/>
    <w:rsid w:val="007E3779"/>
    <w:rsid w:val="007E3BC5"/>
    <w:rsid w:val="007E4042"/>
    <w:rsid w:val="007E416F"/>
    <w:rsid w:val="007E441E"/>
    <w:rsid w:val="007E4DAD"/>
    <w:rsid w:val="007E4F34"/>
    <w:rsid w:val="007E4FD7"/>
    <w:rsid w:val="007E5B6B"/>
    <w:rsid w:val="007E6136"/>
    <w:rsid w:val="007E69F1"/>
    <w:rsid w:val="007E6C1C"/>
    <w:rsid w:val="007E78BA"/>
    <w:rsid w:val="007E7AFE"/>
    <w:rsid w:val="007E7D0E"/>
    <w:rsid w:val="007F0292"/>
    <w:rsid w:val="007F0531"/>
    <w:rsid w:val="007F059A"/>
    <w:rsid w:val="007F09C9"/>
    <w:rsid w:val="007F0A5B"/>
    <w:rsid w:val="007F0F70"/>
    <w:rsid w:val="007F2279"/>
    <w:rsid w:val="007F264C"/>
    <w:rsid w:val="007F2944"/>
    <w:rsid w:val="007F2C3E"/>
    <w:rsid w:val="007F31FB"/>
    <w:rsid w:val="007F3857"/>
    <w:rsid w:val="007F3D1E"/>
    <w:rsid w:val="007F4BEF"/>
    <w:rsid w:val="007F5129"/>
    <w:rsid w:val="007F5308"/>
    <w:rsid w:val="007F5929"/>
    <w:rsid w:val="007F5C99"/>
    <w:rsid w:val="007F5CF2"/>
    <w:rsid w:val="007F5E17"/>
    <w:rsid w:val="007F5F01"/>
    <w:rsid w:val="007F713B"/>
    <w:rsid w:val="007F7313"/>
    <w:rsid w:val="00800349"/>
    <w:rsid w:val="00800CC5"/>
    <w:rsid w:val="00800F26"/>
    <w:rsid w:val="00801A8A"/>
    <w:rsid w:val="0080225E"/>
    <w:rsid w:val="00802422"/>
    <w:rsid w:val="008024E7"/>
    <w:rsid w:val="00803EF9"/>
    <w:rsid w:val="00804B5C"/>
    <w:rsid w:val="00804E50"/>
    <w:rsid w:val="00805444"/>
    <w:rsid w:val="008055A4"/>
    <w:rsid w:val="008057E3"/>
    <w:rsid w:val="008059E8"/>
    <w:rsid w:val="00805AEA"/>
    <w:rsid w:val="00805E9C"/>
    <w:rsid w:val="008072BB"/>
    <w:rsid w:val="00807785"/>
    <w:rsid w:val="00810166"/>
    <w:rsid w:val="0081049F"/>
    <w:rsid w:val="00810EB6"/>
    <w:rsid w:val="008117D7"/>
    <w:rsid w:val="00812171"/>
    <w:rsid w:val="0081218C"/>
    <w:rsid w:val="0081222A"/>
    <w:rsid w:val="00812273"/>
    <w:rsid w:val="0081247C"/>
    <w:rsid w:val="00812AFF"/>
    <w:rsid w:val="0081361E"/>
    <w:rsid w:val="0081408D"/>
    <w:rsid w:val="0081430E"/>
    <w:rsid w:val="00814ABB"/>
    <w:rsid w:val="00815520"/>
    <w:rsid w:val="00815CDB"/>
    <w:rsid w:val="00817397"/>
    <w:rsid w:val="00817548"/>
    <w:rsid w:val="008208B0"/>
    <w:rsid w:val="00820DAA"/>
    <w:rsid w:val="00821418"/>
    <w:rsid w:val="008216C5"/>
    <w:rsid w:val="00821BC9"/>
    <w:rsid w:val="00822053"/>
    <w:rsid w:val="0082220A"/>
    <w:rsid w:val="00822E4E"/>
    <w:rsid w:val="00823095"/>
    <w:rsid w:val="00823872"/>
    <w:rsid w:val="00823AFA"/>
    <w:rsid w:val="0082416E"/>
    <w:rsid w:val="008241AB"/>
    <w:rsid w:val="00824927"/>
    <w:rsid w:val="00824B01"/>
    <w:rsid w:val="00824B78"/>
    <w:rsid w:val="00824D4E"/>
    <w:rsid w:val="00825227"/>
    <w:rsid w:val="0082535C"/>
    <w:rsid w:val="00825E32"/>
    <w:rsid w:val="00826111"/>
    <w:rsid w:val="00826268"/>
    <w:rsid w:val="00826910"/>
    <w:rsid w:val="00826D36"/>
    <w:rsid w:val="008271A8"/>
    <w:rsid w:val="008272F5"/>
    <w:rsid w:val="008275E7"/>
    <w:rsid w:val="00827643"/>
    <w:rsid w:val="00830BED"/>
    <w:rsid w:val="00830EA9"/>
    <w:rsid w:val="00830FAA"/>
    <w:rsid w:val="008312DF"/>
    <w:rsid w:val="00831332"/>
    <w:rsid w:val="00831381"/>
    <w:rsid w:val="008314E0"/>
    <w:rsid w:val="00831ABB"/>
    <w:rsid w:val="00831FFB"/>
    <w:rsid w:val="00833141"/>
    <w:rsid w:val="00833345"/>
    <w:rsid w:val="00833347"/>
    <w:rsid w:val="0083353E"/>
    <w:rsid w:val="00833972"/>
    <w:rsid w:val="00833A7D"/>
    <w:rsid w:val="00833CC5"/>
    <w:rsid w:val="00833DB2"/>
    <w:rsid w:val="008346EF"/>
    <w:rsid w:val="0083511D"/>
    <w:rsid w:val="0083517D"/>
    <w:rsid w:val="0083546A"/>
    <w:rsid w:val="00835566"/>
    <w:rsid w:val="00835959"/>
    <w:rsid w:val="00835EA3"/>
    <w:rsid w:val="00836191"/>
    <w:rsid w:val="00836382"/>
    <w:rsid w:val="00836532"/>
    <w:rsid w:val="008367BA"/>
    <w:rsid w:val="00836B80"/>
    <w:rsid w:val="00836F59"/>
    <w:rsid w:val="00840390"/>
    <w:rsid w:val="008409CF"/>
    <w:rsid w:val="00840BFB"/>
    <w:rsid w:val="00841381"/>
    <w:rsid w:val="008414E0"/>
    <w:rsid w:val="00841657"/>
    <w:rsid w:val="00841B9B"/>
    <w:rsid w:val="008423FC"/>
    <w:rsid w:val="00843234"/>
    <w:rsid w:val="00843256"/>
    <w:rsid w:val="00843D8D"/>
    <w:rsid w:val="00844238"/>
    <w:rsid w:val="0084460D"/>
    <w:rsid w:val="00844AA7"/>
    <w:rsid w:val="00845880"/>
    <w:rsid w:val="00845AC0"/>
    <w:rsid w:val="00845E24"/>
    <w:rsid w:val="00845EE0"/>
    <w:rsid w:val="008460D4"/>
    <w:rsid w:val="00846908"/>
    <w:rsid w:val="00846AE7"/>
    <w:rsid w:val="00846CB3"/>
    <w:rsid w:val="00846D0F"/>
    <w:rsid w:val="00846FFB"/>
    <w:rsid w:val="008470F6"/>
    <w:rsid w:val="00847951"/>
    <w:rsid w:val="008500F3"/>
    <w:rsid w:val="0085058F"/>
    <w:rsid w:val="0085066A"/>
    <w:rsid w:val="008507F7"/>
    <w:rsid w:val="00850992"/>
    <w:rsid w:val="00850E1B"/>
    <w:rsid w:val="008510CE"/>
    <w:rsid w:val="008513AD"/>
    <w:rsid w:val="0085166D"/>
    <w:rsid w:val="008528C4"/>
    <w:rsid w:val="0085338B"/>
    <w:rsid w:val="00853CC2"/>
    <w:rsid w:val="008543D6"/>
    <w:rsid w:val="008546D0"/>
    <w:rsid w:val="00854D1F"/>
    <w:rsid w:val="00854FB6"/>
    <w:rsid w:val="0085511F"/>
    <w:rsid w:val="008560E4"/>
    <w:rsid w:val="00856A13"/>
    <w:rsid w:val="00856F40"/>
    <w:rsid w:val="0085709B"/>
    <w:rsid w:val="008570CA"/>
    <w:rsid w:val="008571EB"/>
    <w:rsid w:val="0085748C"/>
    <w:rsid w:val="008576E1"/>
    <w:rsid w:val="00860021"/>
    <w:rsid w:val="008603D1"/>
    <w:rsid w:val="0086052C"/>
    <w:rsid w:val="00860E79"/>
    <w:rsid w:val="00861181"/>
    <w:rsid w:val="00861267"/>
    <w:rsid w:val="008617B3"/>
    <w:rsid w:val="008618EB"/>
    <w:rsid w:val="00862608"/>
    <w:rsid w:val="00862F49"/>
    <w:rsid w:val="008633BF"/>
    <w:rsid w:val="0086359D"/>
    <w:rsid w:val="00863744"/>
    <w:rsid w:val="008637A4"/>
    <w:rsid w:val="00864812"/>
    <w:rsid w:val="00864F9C"/>
    <w:rsid w:val="0086535E"/>
    <w:rsid w:val="008653BA"/>
    <w:rsid w:val="00865D93"/>
    <w:rsid w:val="00866468"/>
    <w:rsid w:val="008664C5"/>
    <w:rsid w:val="0086676C"/>
    <w:rsid w:val="00867610"/>
    <w:rsid w:val="00867EAB"/>
    <w:rsid w:val="0087078C"/>
    <w:rsid w:val="008716AD"/>
    <w:rsid w:val="008718CC"/>
    <w:rsid w:val="0087295D"/>
    <w:rsid w:val="00872CD5"/>
    <w:rsid w:val="00872E2A"/>
    <w:rsid w:val="00872F9A"/>
    <w:rsid w:val="00873575"/>
    <w:rsid w:val="00873AB8"/>
    <w:rsid w:val="008741A0"/>
    <w:rsid w:val="008742E3"/>
    <w:rsid w:val="008743E1"/>
    <w:rsid w:val="00874BCD"/>
    <w:rsid w:val="00874ED8"/>
    <w:rsid w:val="00874F36"/>
    <w:rsid w:val="0087585A"/>
    <w:rsid w:val="00876075"/>
    <w:rsid w:val="008760C9"/>
    <w:rsid w:val="00876170"/>
    <w:rsid w:val="00876EB3"/>
    <w:rsid w:val="008770DD"/>
    <w:rsid w:val="00877A09"/>
    <w:rsid w:val="00877F15"/>
    <w:rsid w:val="00881004"/>
    <w:rsid w:val="00881ADE"/>
    <w:rsid w:val="00881E40"/>
    <w:rsid w:val="00882B09"/>
    <w:rsid w:val="00882BE4"/>
    <w:rsid w:val="0088319E"/>
    <w:rsid w:val="00883815"/>
    <w:rsid w:val="008839E7"/>
    <w:rsid w:val="00884A3E"/>
    <w:rsid w:val="008852DC"/>
    <w:rsid w:val="0088573E"/>
    <w:rsid w:val="00885D3A"/>
    <w:rsid w:val="008861BA"/>
    <w:rsid w:val="0088641D"/>
    <w:rsid w:val="0088654B"/>
    <w:rsid w:val="0088660C"/>
    <w:rsid w:val="008867C6"/>
    <w:rsid w:val="00887088"/>
    <w:rsid w:val="00887597"/>
    <w:rsid w:val="0088769F"/>
    <w:rsid w:val="00887B3C"/>
    <w:rsid w:val="00887BC5"/>
    <w:rsid w:val="00887ED9"/>
    <w:rsid w:val="00890682"/>
    <w:rsid w:val="00890796"/>
    <w:rsid w:val="00890941"/>
    <w:rsid w:val="00891343"/>
    <w:rsid w:val="00891710"/>
    <w:rsid w:val="008919FB"/>
    <w:rsid w:val="00891C12"/>
    <w:rsid w:val="008925E4"/>
    <w:rsid w:val="00892799"/>
    <w:rsid w:val="00892847"/>
    <w:rsid w:val="008928CC"/>
    <w:rsid w:val="008931BA"/>
    <w:rsid w:val="0089331A"/>
    <w:rsid w:val="00893900"/>
    <w:rsid w:val="00894293"/>
    <w:rsid w:val="0089459A"/>
    <w:rsid w:val="008948CB"/>
    <w:rsid w:val="00894DA9"/>
    <w:rsid w:val="0089570D"/>
    <w:rsid w:val="00895D7C"/>
    <w:rsid w:val="008961B6"/>
    <w:rsid w:val="00896221"/>
    <w:rsid w:val="00896A59"/>
    <w:rsid w:val="00896DC8"/>
    <w:rsid w:val="0089706A"/>
    <w:rsid w:val="008972E7"/>
    <w:rsid w:val="00897657"/>
    <w:rsid w:val="00897AED"/>
    <w:rsid w:val="008A0231"/>
    <w:rsid w:val="008A0615"/>
    <w:rsid w:val="008A16AD"/>
    <w:rsid w:val="008A184D"/>
    <w:rsid w:val="008A18BC"/>
    <w:rsid w:val="008A1AFD"/>
    <w:rsid w:val="008A2B90"/>
    <w:rsid w:val="008A3004"/>
    <w:rsid w:val="008A347A"/>
    <w:rsid w:val="008A3E4F"/>
    <w:rsid w:val="008A4230"/>
    <w:rsid w:val="008A48D6"/>
    <w:rsid w:val="008A51D4"/>
    <w:rsid w:val="008A62FC"/>
    <w:rsid w:val="008A63D0"/>
    <w:rsid w:val="008A67EA"/>
    <w:rsid w:val="008A67FE"/>
    <w:rsid w:val="008A6A15"/>
    <w:rsid w:val="008A6EFB"/>
    <w:rsid w:val="008A7ABD"/>
    <w:rsid w:val="008A7BD8"/>
    <w:rsid w:val="008A7C9F"/>
    <w:rsid w:val="008B021C"/>
    <w:rsid w:val="008B024C"/>
    <w:rsid w:val="008B03A7"/>
    <w:rsid w:val="008B0472"/>
    <w:rsid w:val="008B066E"/>
    <w:rsid w:val="008B08C1"/>
    <w:rsid w:val="008B1389"/>
    <w:rsid w:val="008B1A2F"/>
    <w:rsid w:val="008B1A7D"/>
    <w:rsid w:val="008B243B"/>
    <w:rsid w:val="008B2631"/>
    <w:rsid w:val="008B2DE7"/>
    <w:rsid w:val="008B31BD"/>
    <w:rsid w:val="008B3347"/>
    <w:rsid w:val="008B39ED"/>
    <w:rsid w:val="008B3A67"/>
    <w:rsid w:val="008B3D85"/>
    <w:rsid w:val="008B4686"/>
    <w:rsid w:val="008B4A7C"/>
    <w:rsid w:val="008B4F12"/>
    <w:rsid w:val="008B5093"/>
    <w:rsid w:val="008B560A"/>
    <w:rsid w:val="008B56AD"/>
    <w:rsid w:val="008B5770"/>
    <w:rsid w:val="008B5D84"/>
    <w:rsid w:val="008B5DD2"/>
    <w:rsid w:val="008B6AB3"/>
    <w:rsid w:val="008B6CFC"/>
    <w:rsid w:val="008C0112"/>
    <w:rsid w:val="008C0757"/>
    <w:rsid w:val="008C0EA3"/>
    <w:rsid w:val="008C1D6A"/>
    <w:rsid w:val="008C1F3D"/>
    <w:rsid w:val="008C2A30"/>
    <w:rsid w:val="008C2A5A"/>
    <w:rsid w:val="008C2F86"/>
    <w:rsid w:val="008C3ACA"/>
    <w:rsid w:val="008C3E39"/>
    <w:rsid w:val="008C46F9"/>
    <w:rsid w:val="008C5249"/>
    <w:rsid w:val="008C55B8"/>
    <w:rsid w:val="008C5989"/>
    <w:rsid w:val="008C5AD4"/>
    <w:rsid w:val="008C5E0A"/>
    <w:rsid w:val="008C681E"/>
    <w:rsid w:val="008C6CB3"/>
    <w:rsid w:val="008C7085"/>
    <w:rsid w:val="008C775A"/>
    <w:rsid w:val="008C78B4"/>
    <w:rsid w:val="008C7B48"/>
    <w:rsid w:val="008D0344"/>
    <w:rsid w:val="008D0A37"/>
    <w:rsid w:val="008D1081"/>
    <w:rsid w:val="008D12D8"/>
    <w:rsid w:val="008D16CD"/>
    <w:rsid w:val="008D1C7C"/>
    <w:rsid w:val="008D21C8"/>
    <w:rsid w:val="008D2562"/>
    <w:rsid w:val="008D2D19"/>
    <w:rsid w:val="008D34B2"/>
    <w:rsid w:val="008D4481"/>
    <w:rsid w:val="008D4511"/>
    <w:rsid w:val="008D453E"/>
    <w:rsid w:val="008D4F3D"/>
    <w:rsid w:val="008D50FA"/>
    <w:rsid w:val="008D5912"/>
    <w:rsid w:val="008D6A13"/>
    <w:rsid w:val="008D6CFE"/>
    <w:rsid w:val="008D6D10"/>
    <w:rsid w:val="008D6E01"/>
    <w:rsid w:val="008D745B"/>
    <w:rsid w:val="008D7571"/>
    <w:rsid w:val="008E0408"/>
    <w:rsid w:val="008E0A1A"/>
    <w:rsid w:val="008E0D1F"/>
    <w:rsid w:val="008E139E"/>
    <w:rsid w:val="008E173A"/>
    <w:rsid w:val="008E18E0"/>
    <w:rsid w:val="008E1E9B"/>
    <w:rsid w:val="008E27F5"/>
    <w:rsid w:val="008E2A73"/>
    <w:rsid w:val="008E2E28"/>
    <w:rsid w:val="008E2F6B"/>
    <w:rsid w:val="008E34BD"/>
    <w:rsid w:val="008E4DC8"/>
    <w:rsid w:val="008E620F"/>
    <w:rsid w:val="008E62DF"/>
    <w:rsid w:val="008E6431"/>
    <w:rsid w:val="008E6476"/>
    <w:rsid w:val="008E67FA"/>
    <w:rsid w:val="008E68E4"/>
    <w:rsid w:val="008E7C5F"/>
    <w:rsid w:val="008E7D63"/>
    <w:rsid w:val="008F0AC0"/>
    <w:rsid w:val="008F0B9B"/>
    <w:rsid w:val="008F0D76"/>
    <w:rsid w:val="008F1332"/>
    <w:rsid w:val="008F1F6C"/>
    <w:rsid w:val="008F2155"/>
    <w:rsid w:val="008F2450"/>
    <w:rsid w:val="008F26D3"/>
    <w:rsid w:val="008F26E6"/>
    <w:rsid w:val="008F300E"/>
    <w:rsid w:val="008F301D"/>
    <w:rsid w:val="008F32DA"/>
    <w:rsid w:val="008F38AF"/>
    <w:rsid w:val="008F38C7"/>
    <w:rsid w:val="008F409A"/>
    <w:rsid w:val="008F441C"/>
    <w:rsid w:val="008F482E"/>
    <w:rsid w:val="008F495E"/>
    <w:rsid w:val="008F4F49"/>
    <w:rsid w:val="008F5712"/>
    <w:rsid w:val="008F5B43"/>
    <w:rsid w:val="008F5E1F"/>
    <w:rsid w:val="008F6225"/>
    <w:rsid w:val="008F6BD2"/>
    <w:rsid w:val="008F6F22"/>
    <w:rsid w:val="008F7085"/>
    <w:rsid w:val="008F7BD0"/>
    <w:rsid w:val="00900735"/>
    <w:rsid w:val="00900C64"/>
    <w:rsid w:val="00900FF2"/>
    <w:rsid w:val="0090107E"/>
    <w:rsid w:val="00901830"/>
    <w:rsid w:val="00901E38"/>
    <w:rsid w:val="00902661"/>
    <w:rsid w:val="0090378B"/>
    <w:rsid w:val="00903B8F"/>
    <w:rsid w:val="00904131"/>
    <w:rsid w:val="0090413A"/>
    <w:rsid w:val="00904393"/>
    <w:rsid w:val="00904580"/>
    <w:rsid w:val="009053BF"/>
    <w:rsid w:val="0090552C"/>
    <w:rsid w:val="00905EDD"/>
    <w:rsid w:val="00906138"/>
    <w:rsid w:val="00906296"/>
    <w:rsid w:val="009062D0"/>
    <w:rsid w:val="00906896"/>
    <w:rsid w:val="00906CE7"/>
    <w:rsid w:val="00906E25"/>
    <w:rsid w:val="00907763"/>
    <w:rsid w:val="009105D2"/>
    <w:rsid w:val="00910BD4"/>
    <w:rsid w:val="00911A57"/>
    <w:rsid w:val="00912B20"/>
    <w:rsid w:val="00912BCC"/>
    <w:rsid w:val="00913C24"/>
    <w:rsid w:val="00913C8B"/>
    <w:rsid w:val="00914380"/>
    <w:rsid w:val="00914741"/>
    <w:rsid w:val="00914F5E"/>
    <w:rsid w:val="00914F68"/>
    <w:rsid w:val="00915067"/>
    <w:rsid w:val="0091556A"/>
    <w:rsid w:val="0091599D"/>
    <w:rsid w:val="00915D82"/>
    <w:rsid w:val="00915E0A"/>
    <w:rsid w:val="0091611E"/>
    <w:rsid w:val="00916303"/>
    <w:rsid w:val="009164ED"/>
    <w:rsid w:val="009165EE"/>
    <w:rsid w:val="00916727"/>
    <w:rsid w:val="00916AFF"/>
    <w:rsid w:val="00916BA2"/>
    <w:rsid w:val="009172E0"/>
    <w:rsid w:val="009177A5"/>
    <w:rsid w:val="00917A74"/>
    <w:rsid w:val="00917AA7"/>
    <w:rsid w:val="00920116"/>
    <w:rsid w:val="00920B43"/>
    <w:rsid w:val="00920C72"/>
    <w:rsid w:val="00921296"/>
    <w:rsid w:val="0092131A"/>
    <w:rsid w:val="00921846"/>
    <w:rsid w:val="00922567"/>
    <w:rsid w:val="009235C3"/>
    <w:rsid w:val="00923CA0"/>
    <w:rsid w:val="00923CE5"/>
    <w:rsid w:val="00923EBE"/>
    <w:rsid w:val="00923FBD"/>
    <w:rsid w:val="00924190"/>
    <w:rsid w:val="00924250"/>
    <w:rsid w:val="00924B81"/>
    <w:rsid w:val="00924FB4"/>
    <w:rsid w:val="0092509A"/>
    <w:rsid w:val="009250A4"/>
    <w:rsid w:val="00925C6A"/>
    <w:rsid w:val="0092655D"/>
    <w:rsid w:val="00926617"/>
    <w:rsid w:val="00926A53"/>
    <w:rsid w:val="009276FF"/>
    <w:rsid w:val="00927944"/>
    <w:rsid w:val="00927D22"/>
    <w:rsid w:val="0093069A"/>
    <w:rsid w:val="009310E0"/>
    <w:rsid w:val="0093116B"/>
    <w:rsid w:val="009316D4"/>
    <w:rsid w:val="00931D95"/>
    <w:rsid w:val="00931FB5"/>
    <w:rsid w:val="009323FA"/>
    <w:rsid w:val="00932828"/>
    <w:rsid w:val="00933290"/>
    <w:rsid w:val="009332D3"/>
    <w:rsid w:val="0093360A"/>
    <w:rsid w:val="00933769"/>
    <w:rsid w:val="00933E52"/>
    <w:rsid w:val="00935BEA"/>
    <w:rsid w:val="00935E65"/>
    <w:rsid w:val="00935EEE"/>
    <w:rsid w:val="00936579"/>
    <w:rsid w:val="00936DC6"/>
    <w:rsid w:val="00936E0C"/>
    <w:rsid w:val="00937940"/>
    <w:rsid w:val="00937A35"/>
    <w:rsid w:val="00937D45"/>
    <w:rsid w:val="0094033E"/>
    <w:rsid w:val="009403E2"/>
    <w:rsid w:val="00940BCE"/>
    <w:rsid w:val="00940E62"/>
    <w:rsid w:val="0094137F"/>
    <w:rsid w:val="00941431"/>
    <w:rsid w:val="00941685"/>
    <w:rsid w:val="00941A6B"/>
    <w:rsid w:val="00941F2C"/>
    <w:rsid w:val="009420A9"/>
    <w:rsid w:val="00942411"/>
    <w:rsid w:val="0094268E"/>
    <w:rsid w:val="00942ABB"/>
    <w:rsid w:val="00943097"/>
    <w:rsid w:val="00943168"/>
    <w:rsid w:val="009436AC"/>
    <w:rsid w:val="0094386F"/>
    <w:rsid w:val="00943DBF"/>
    <w:rsid w:val="009440C8"/>
    <w:rsid w:val="0094464D"/>
    <w:rsid w:val="009449F9"/>
    <w:rsid w:val="00944AA8"/>
    <w:rsid w:val="00944ACB"/>
    <w:rsid w:val="00944CEB"/>
    <w:rsid w:val="00945903"/>
    <w:rsid w:val="00945C16"/>
    <w:rsid w:val="00945F1C"/>
    <w:rsid w:val="00945F73"/>
    <w:rsid w:val="00945FED"/>
    <w:rsid w:val="00947879"/>
    <w:rsid w:val="009478D8"/>
    <w:rsid w:val="00947A72"/>
    <w:rsid w:val="00947C1D"/>
    <w:rsid w:val="00947D51"/>
    <w:rsid w:val="00950515"/>
    <w:rsid w:val="0095091D"/>
    <w:rsid w:val="00950BC7"/>
    <w:rsid w:val="009512C9"/>
    <w:rsid w:val="0095178E"/>
    <w:rsid w:val="009522B3"/>
    <w:rsid w:val="00952575"/>
    <w:rsid w:val="00952906"/>
    <w:rsid w:val="009529F7"/>
    <w:rsid w:val="00953254"/>
    <w:rsid w:val="009536A8"/>
    <w:rsid w:val="00953A24"/>
    <w:rsid w:val="00954242"/>
    <w:rsid w:val="00954A47"/>
    <w:rsid w:val="00955140"/>
    <w:rsid w:val="00955289"/>
    <w:rsid w:val="009556E7"/>
    <w:rsid w:val="009559C6"/>
    <w:rsid w:val="00955B36"/>
    <w:rsid w:val="009567D6"/>
    <w:rsid w:val="00956BA6"/>
    <w:rsid w:val="00956EBB"/>
    <w:rsid w:val="00957486"/>
    <w:rsid w:val="00957E9D"/>
    <w:rsid w:val="00957EDA"/>
    <w:rsid w:val="00957EEC"/>
    <w:rsid w:val="0096012E"/>
    <w:rsid w:val="009604F6"/>
    <w:rsid w:val="00960969"/>
    <w:rsid w:val="009609A9"/>
    <w:rsid w:val="00960E03"/>
    <w:rsid w:val="009610F0"/>
    <w:rsid w:val="009610F5"/>
    <w:rsid w:val="009613E2"/>
    <w:rsid w:val="0096188C"/>
    <w:rsid w:val="00961DE4"/>
    <w:rsid w:val="009623EA"/>
    <w:rsid w:val="00962D5A"/>
    <w:rsid w:val="0096464F"/>
    <w:rsid w:val="00964E2A"/>
    <w:rsid w:val="0096529F"/>
    <w:rsid w:val="0096592C"/>
    <w:rsid w:val="00965D81"/>
    <w:rsid w:val="00965F11"/>
    <w:rsid w:val="00966240"/>
    <w:rsid w:val="00966A69"/>
    <w:rsid w:val="009673A2"/>
    <w:rsid w:val="0096747B"/>
    <w:rsid w:val="0096772C"/>
    <w:rsid w:val="00967DAD"/>
    <w:rsid w:val="00967F37"/>
    <w:rsid w:val="00970229"/>
    <w:rsid w:val="00970462"/>
    <w:rsid w:val="0097071B"/>
    <w:rsid w:val="00971586"/>
    <w:rsid w:val="00971CF5"/>
    <w:rsid w:val="00971FD4"/>
    <w:rsid w:val="00971FE0"/>
    <w:rsid w:val="00972153"/>
    <w:rsid w:val="00972EC9"/>
    <w:rsid w:val="00972EDE"/>
    <w:rsid w:val="00972FA6"/>
    <w:rsid w:val="00973352"/>
    <w:rsid w:val="00973C60"/>
    <w:rsid w:val="00973CBE"/>
    <w:rsid w:val="009742D2"/>
    <w:rsid w:val="009743A4"/>
    <w:rsid w:val="009744F3"/>
    <w:rsid w:val="00974A72"/>
    <w:rsid w:val="0097531A"/>
    <w:rsid w:val="00976A20"/>
    <w:rsid w:val="00976B49"/>
    <w:rsid w:val="00976B60"/>
    <w:rsid w:val="00976CD4"/>
    <w:rsid w:val="00977815"/>
    <w:rsid w:val="009778A6"/>
    <w:rsid w:val="00977946"/>
    <w:rsid w:val="00977EEE"/>
    <w:rsid w:val="00977FAC"/>
    <w:rsid w:val="0098001F"/>
    <w:rsid w:val="00980D41"/>
    <w:rsid w:val="00981522"/>
    <w:rsid w:val="0098185F"/>
    <w:rsid w:val="0098215E"/>
    <w:rsid w:val="0098268A"/>
    <w:rsid w:val="00982753"/>
    <w:rsid w:val="009829CB"/>
    <w:rsid w:val="00982D17"/>
    <w:rsid w:val="00983535"/>
    <w:rsid w:val="00983E21"/>
    <w:rsid w:val="00984595"/>
    <w:rsid w:val="009848CC"/>
    <w:rsid w:val="00985DEB"/>
    <w:rsid w:val="0098619B"/>
    <w:rsid w:val="00986C2D"/>
    <w:rsid w:val="0098713C"/>
    <w:rsid w:val="0098722B"/>
    <w:rsid w:val="0098740F"/>
    <w:rsid w:val="0098744C"/>
    <w:rsid w:val="009877B0"/>
    <w:rsid w:val="00987811"/>
    <w:rsid w:val="009903E8"/>
    <w:rsid w:val="0099088E"/>
    <w:rsid w:val="0099116E"/>
    <w:rsid w:val="0099137C"/>
    <w:rsid w:val="009913A2"/>
    <w:rsid w:val="009914CD"/>
    <w:rsid w:val="009919DC"/>
    <w:rsid w:val="00991B45"/>
    <w:rsid w:val="00991BA8"/>
    <w:rsid w:val="00991BEA"/>
    <w:rsid w:val="00992064"/>
    <w:rsid w:val="009920A2"/>
    <w:rsid w:val="009937B9"/>
    <w:rsid w:val="00993D0D"/>
    <w:rsid w:val="009949D0"/>
    <w:rsid w:val="00994A01"/>
    <w:rsid w:val="00994BED"/>
    <w:rsid w:val="00995A10"/>
    <w:rsid w:val="00996272"/>
    <w:rsid w:val="00996635"/>
    <w:rsid w:val="00996761"/>
    <w:rsid w:val="00996C2E"/>
    <w:rsid w:val="0099711C"/>
    <w:rsid w:val="009972FA"/>
    <w:rsid w:val="0099733D"/>
    <w:rsid w:val="009A0205"/>
    <w:rsid w:val="009A0C65"/>
    <w:rsid w:val="009A0CAF"/>
    <w:rsid w:val="009A0CBB"/>
    <w:rsid w:val="009A1184"/>
    <w:rsid w:val="009A19CE"/>
    <w:rsid w:val="009A1EB1"/>
    <w:rsid w:val="009A27B8"/>
    <w:rsid w:val="009A3567"/>
    <w:rsid w:val="009A42FA"/>
    <w:rsid w:val="009A4411"/>
    <w:rsid w:val="009A4D77"/>
    <w:rsid w:val="009A559C"/>
    <w:rsid w:val="009A6682"/>
    <w:rsid w:val="009A66B5"/>
    <w:rsid w:val="009A6ADB"/>
    <w:rsid w:val="009A6D7F"/>
    <w:rsid w:val="009A718D"/>
    <w:rsid w:val="009A7407"/>
    <w:rsid w:val="009A7DB5"/>
    <w:rsid w:val="009B0001"/>
    <w:rsid w:val="009B063F"/>
    <w:rsid w:val="009B0AB4"/>
    <w:rsid w:val="009B2466"/>
    <w:rsid w:val="009B2B2B"/>
    <w:rsid w:val="009B3028"/>
    <w:rsid w:val="009B3362"/>
    <w:rsid w:val="009B452B"/>
    <w:rsid w:val="009B46B5"/>
    <w:rsid w:val="009B4B93"/>
    <w:rsid w:val="009B4E0E"/>
    <w:rsid w:val="009B5583"/>
    <w:rsid w:val="009B5849"/>
    <w:rsid w:val="009B5A61"/>
    <w:rsid w:val="009B5CF8"/>
    <w:rsid w:val="009B6C1D"/>
    <w:rsid w:val="009B7253"/>
    <w:rsid w:val="009B725C"/>
    <w:rsid w:val="009B72CD"/>
    <w:rsid w:val="009B769D"/>
    <w:rsid w:val="009B7A65"/>
    <w:rsid w:val="009B7BE8"/>
    <w:rsid w:val="009C0553"/>
    <w:rsid w:val="009C077C"/>
    <w:rsid w:val="009C08C4"/>
    <w:rsid w:val="009C0B40"/>
    <w:rsid w:val="009C0FE2"/>
    <w:rsid w:val="009C1154"/>
    <w:rsid w:val="009C1520"/>
    <w:rsid w:val="009C17DA"/>
    <w:rsid w:val="009C1BF4"/>
    <w:rsid w:val="009C1C69"/>
    <w:rsid w:val="009C1D1E"/>
    <w:rsid w:val="009C23C4"/>
    <w:rsid w:val="009C31B0"/>
    <w:rsid w:val="009C4278"/>
    <w:rsid w:val="009C442B"/>
    <w:rsid w:val="009C46AA"/>
    <w:rsid w:val="009C4951"/>
    <w:rsid w:val="009C4B40"/>
    <w:rsid w:val="009C57F9"/>
    <w:rsid w:val="009C5806"/>
    <w:rsid w:val="009C5BC7"/>
    <w:rsid w:val="009C6004"/>
    <w:rsid w:val="009C6085"/>
    <w:rsid w:val="009C6135"/>
    <w:rsid w:val="009C6616"/>
    <w:rsid w:val="009C6737"/>
    <w:rsid w:val="009C69F3"/>
    <w:rsid w:val="009C7179"/>
    <w:rsid w:val="009C7239"/>
    <w:rsid w:val="009C7603"/>
    <w:rsid w:val="009C771E"/>
    <w:rsid w:val="009D0087"/>
    <w:rsid w:val="009D0341"/>
    <w:rsid w:val="009D0659"/>
    <w:rsid w:val="009D0C80"/>
    <w:rsid w:val="009D0FFC"/>
    <w:rsid w:val="009D186F"/>
    <w:rsid w:val="009D2597"/>
    <w:rsid w:val="009D2773"/>
    <w:rsid w:val="009D29BE"/>
    <w:rsid w:val="009D2E44"/>
    <w:rsid w:val="009D322F"/>
    <w:rsid w:val="009D33A0"/>
    <w:rsid w:val="009D33C0"/>
    <w:rsid w:val="009D3770"/>
    <w:rsid w:val="009D43B1"/>
    <w:rsid w:val="009D4AA2"/>
    <w:rsid w:val="009D518B"/>
    <w:rsid w:val="009D51B4"/>
    <w:rsid w:val="009D5265"/>
    <w:rsid w:val="009D53F5"/>
    <w:rsid w:val="009D544A"/>
    <w:rsid w:val="009D7727"/>
    <w:rsid w:val="009D7B9F"/>
    <w:rsid w:val="009D7D4A"/>
    <w:rsid w:val="009D7F6C"/>
    <w:rsid w:val="009E0692"/>
    <w:rsid w:val="009E0979"/>
    <w:rsid w:val="009E0CDA"/>
    <w:rsid w:val="009E0E35"/>
    <w:rsid w:val="009E0F55"/>
    <w:rsid w:val="009E1649"/>
    <w:rsid w:val="009E19F9"/>
    <w:rsid w:val="009E1B70"/>
    <w:rsid w:val="009E2228"/>
    <w:rsid w:val="009E2B1D"/>
    <w:rsid w:val="009E326D"/>
    <w:rsid w:val="009E33A8"/>
    <w:rsid w:val="009E3490"/>
    <w:rsid w:val="009E3BCD"/>
    <w:rsid w:val="009E465F"/>
    <w:rsid w:val="009E490D"/>
    <w:rsid w:val="009E4FDE"/>
    <w:rsid w:val="009E5540"/>
    <w:rsid w:val="009E5771"/>
    <w:rsid w:val="009E5C94"/>
    <w:rsid w:val="009E6384"/>
    <w:rsid w:val="009E6A7E"/>
    <w:rsid w:val="009E6CAD"/>
    <w:rsid w:val="009E6F81"/>
    <w:rsid w:val="009E7621"/>
    <w:rsid w:val="009E7625"/>
    <w:rsid w:val="009E78EF"/>
    <w:rsid w:val="009F058E"/>
    <w:rsid w:val="009F066D"/>
    <w:rsid w:val="009F0790"/>
    <w:rsid w:val="009F0BE3"/>
    <w:rsid w:val="009F0DDB"/>
    <w:rsid w:val="009F10AD"/>
    <w:rsid w:val="009F13B2"/>
    <w:rsid w:val="009F167D"/>
    <w:rsid w:val="009F16EF"/>
    <w:rsid w:val="009F1DCF"/>
    <w:rsid w:val="009F215A"/>
    <w:rsid w:val="009F2487"/>
    <w:rsid w:val="009F2D98"/>
    <w:rsid w:val="009F306B"/>
    <w:rsid w:val="009F30EE"/>
    <w:rsid w:val="009F333B"/>
    <w:rsid w:val="009F35B1"/>
    <w:rsid w:val="009F3B49"/>
    <w:rsid w:val="009F4CD5"/>
    <w:rsid w:val="009F4E6E"/>
    <w:rsid w:val="009F4EC2"/>
    <w:rsid w:val="009F5028"/>
    <w:rsid w:val="009F51F2"/>
    <w:rsid w:val="009F5735"/>
    <w:rsid w:val="009F57A3"/>
    <w:rsid w:val="009F5DD1"/>
    <w:rsid w:val="009F6D4D"/>
    <w:rsid w:val="009F7379"/>
    <w:rsid w:val="00A000CE"/>
    <w:rsid w:val="00A004F6"/>
    <w:rsid w:val="00A00609"/>
    <w:rsid w:val="00A0175B"/>
    <w:rsid w:val="00A019CF"/>
    <w:rsid w:val="00A020C3"/>
    <w:rsid w:val="00A0237C"/>
    <w:rsid w:val="00A026F9"/>
    <w:rsid w:val="00A03251"/>
    <w:rsid w:val="00A03CFC"/>
    <w:rsid w:val="00A0462F"/>
    <w:rsid w:val="00A0463E"/>
    <w:rsid w:val="00A053B3"/>
    <w:rsid w:val="00A05A7B"/>
    <w:rsid w:val="00A05AD0"/>
    <w:rsid w:val="00A05CBE"/>
    <w:rsid w:val="00A0615C"/>
    <w:rsid w:val="00A0620E"/>
    <w:rsid w:val="00A06BCC"/>
    <w:rsid w:val="00A070D0"/>
    <w:rsid w:val="00A07241"/>
    <w:rsid w:val="00A0740B"/>
    <w:rsid w:val="00A07B67"/>
    <w:rsid w:val="00A101CA"/>
    <w:rsid w:val="00A103AF"/>
    <w:rsid w:val="00A10622"/>
    <w:rsid w:val="00A112C0"/>
    <w:rsid w:val="00A11AFB"/>
    <w:rsid w:val="00A12C6B"/>
    <w:rsid w:val="00A1360B"/>
    <w:rsid w:val="00A136D0"/>
    <w:rsid w:val="00A13865"/>
    <w:rsid w:val="00A13B0C"/>
    <w:rsid w:val="00A1424F"/>
    <w:rsid w:val="00A142FB"/>
    <w:rsid w:val="00A14450"/>
    <w:rsid w:val="00A14589"/>
    <w:rsid w:val="00A1550D"/>
    <w:rsid w:val="00A16125"/>
    <w:rsid w:val="00A16383"/>
    <w:rsid w:val="00A169EC"/>
    <w:rsid w:val="00A16E7F"/>
    <w:rsid w:val="00A16FCB"/>
    <w:rsid w:val="00A17084"/>
    <w:rsid w:val="00A178F9"/>
    <w:rsid w:val="00A20DD0"/>
    <w:rsid w:val="00A20FA9"/>
    <w:rsid w:val="00A21D9C"/>
    <w:rsid w:val="00A221E6"/>
    <w:rsid w:val="00A234D2"/>
    <w:rsid w:val="00A2362D"/>
    <w:rsid w:val="00A236DE"/>
    <w:rsid w:val="00A23D1E"/>
    <w:rsid w:val="00A23EE2"/>
    <w:rsid w:val="00A243A3"/>
    <w:rsid w:val="00A24D6F"/>
    <w:rsid w:val="00A24FD6"/>
    <w:rsid w:val="00A2501F"/>
    <w:rsid w:val="00A258F9"/>
    <w:rsid w:val="00A26156"/>
    <w:rsid w:val="00A2652C"/>
    <w:rsid w:val="00A26BC8"/>
    <w:rsid w:val="00A26CCA"/>
    <w:rsid w:val="00A27522"/>
    <w:rsid w:val="00A275B9"/>
    <w:rsid w:val="00A27E76"/>
    <w:rsid w:val="00A30173"/>
    <w:rsid w:val="00A31469"/>
    <w:rsid w:val="00A32308"/>
    <w:rsid w:val="00A323C7"/>
    <w:rsid w:val="00A32686"/>
    <w:rsid w:val="00A328A9"/>
    <w:rsid w:val="00A329ED"/>
    <w:rsid w:val="00A32BE0"/>
    <w:rsid w:val="00A32DAF"/>
    <w:rsid w:val="00A332F2"/>
    <w:rsid w:val="00A338CD"/>
    <w:rsid w:val="00A33A63"/>
    <w:rsid w:val="00A33D65"/>
    <w:rsid w:val="00A34712"/>
    <w:rsid w:val="00A347DE"/>
    <w:rsid w:val="00A349C4"/>
    <w:rsid w:val="00A34C51"/>
    <w:rsid w:val="00A35503"/>
    <w:rsid w:val="00A3597D"/>
    <w:rsid w:val="00A35AAA"/>
    <w:rsid w:val="00A35E42"/>
    <w:rsid w:val="00A36D1B"/>
    <w:rsid w:val="00A36FEE"/>
    <w:rsid w:val="00A3702D"/>
    <w:rsid w:val="00A375FB"/>
    <w:rsid w:val="00A406B7"/>
    <w:rsid w:val="00A40D9F"/>
    <w:rsid w:val="00A40F4D"/>
    <w:rsid w:val="00A414C5"/>
    <w:rsid w:val="00A4170D"/>
    <w:rsid w:val="00A41D37"/>
    <w:rsid w:val="00A4205F"/>
    <w:rsid w:val="00A4247D"/>
    <w:rsid w:val="00A42F04"/>
    <w:rsid w:val="00A43451"/>
    <w:rsid w:val="00A43BB9"/>
    <w:rsid w:val="00A4423C"/>
    <w:rsid w:val="00A44387"/>
    <w:rsid w:val="00A44657"/>
    <w:rsid w:val="00A44B7F"/>
    <w:rsid w:val="00A44EC5"/>
    <w:rsid w:val="00A45069"/>
    <w:rsid w:val="00A45730"/>
    <w:rsid w:val="00A45858"/>
    <w:rsid w:val="00A45B2C"/>
    <w:rsid w:val="00A45C8E"/>
    <w:rsid w:val="00A463F4"/>
    <w:rsid w:val="00A46A85"/>
    <w:rsid w:val="00A46DB5"/>
    <w:rsid w:val="00A46EDD"/>
    <w:rsid w:val="00A46F0B"/>
    <w:rsid w:val="00A477EC"/>
    <w:rsid w:val="00A47981"/>
    <w:rsid w:val="00A47A5C"/>
    <w:rsid w:val="00A47A8F"/>
    <w:rsid w:val="00A50003"/>
    <w:rsid w:val="00A5020C"/>
    <w:rsid w:val="00A5028D"/>
    <w:rsid w:val="00A502A9"/>
    <w:rsid w:val="00A5035C"/>
    <w:rsid w:val="00A50672"/>
    <w:rsid w:val="00A51130"/>
    <w:rsid w:val="00A5127A"/>
    <w:rsid w:val="00A51544"/>
    <w:rsid w:val="00A51A16"/>
    <w:rsid w:val="00A51DBF"/>
    <w:rsid w:val="00A5285C"/>
    <w:rsid w:val="00A52922"/>
    <w:rsid w:val="00A52A11"/>
    <w:rsid w:val="00A52FA9"/>
    <w:rsid w:val="00A5493B"/>
    <w:rsid w:val="00A54DC6"/>
    <w:rsid w:val="00A55873"/>
    <w:rsid w:val="00A55F0F"/>
    <w:rsid w:val="00A561C4"/>
    <w:rsid w:val="00A56210"/>
    <w:rsid w:val="00A56784"/>
    <w:rsid w:val="00A56E32"/>
    <w:rsid w:val="00A5731E"/>
    <w:rsid w:val="00A5750D"/>
    <w:rsid w:val="00A576C2"/>
    <w:rsid w:val="00A600EA"/>
    <w:rsid w:val="00A603EE"/>
    <w:rsid w:val="00A605F2"/>
    <w:rsid w:val="00A608F5"/>
    <w:rsid w:val="00A61196"/>
    <w:rsid w:val="00A6180D"/>
    <w:rsid w:val="00A61E38"/>
    <w:rsid w:val="00A61EBA"/>
    <w:rsid w:val="00A6200D"/>
    <w:rsid w:val="00A620EE"/>
    <w:rsid w:val="00A63756"/>
    <w:rsid w:val="00A63EEF"/>
    <w:rsid w:val="00A64958"/>
    <w:rsid w:val="00A64A8C"/>
    <w:rsid w:val="00A64E61"/>
    <w:rsid w:val="00A6553F"/>
    <w:rsid w:val="00A65941"/>
    <w:rsid w:val="00A65CA4"/>
    <w:rsid w:val="00A665BC"/>
    <w:rsid w:val="00A66AF2"/>
    <w:rsid w:val="00A66B75"/>
    <w:rsid w:val="00A66BDF"/>
    <w:rsid w:val="00A66C2D"/>
    <w:rsid w:val="00A66C8C"/>
    <w:rsid w:val="00A66EC3"/>
    <w:rsid w:val="00A675E1"/>
    <w:rsid w:val="00A70D7B"/>
    <w:rsid w:val="00A70E31"/>
    <w:rsid w:val="00A71272"/>
    <w:rsid w:val="00A71676"/>
    <w:rsid w:val="00A719C8"/>
    <w:rsid w:val="00A71BEB"/>
    <w:rsid w:val="00A71BFF"/>
    <w:rsid w:val="00A720F9"/>
    <w:rsid w:val="00A7232B"/>
    <w:rsid w:val="00A72397"/>
    <w:rsid w:val="00A72541"/>
    <w:rsid w:val="00A72645"/>
    <w:rsid w:val="00A7291B"/>
    <w:rsid w:val="00A744D2"/>
    <w:rsid w:val="00A754BA"/>
    <w:rsid w:val="00A758D0"/>
    <w:rsid w:val="00A75BD4"/>
    <w:rsid w:val="00A75FF0"/>
    <w:rsid w:val="00A760C9"/>
    <w:rsid w:val="00A76E7F"/>
    <w:rsid w:val="00A77529"/>
    <w:rsid w:val="00A77776"/>
    <w:rsid w:val="00A779D9"/>
    <w:rsid w:val="00A800D6"/>
    <w:rsid w:val="00A8044C"/>
    <w:rsid w:val="00A807BA"/>
    <w:rsid w:val="00A80AC6"/>
    <w:rsid w:val="00A81A7F"/>
    <w:rsid w:val="00A82527"/>
    <w:rsid w:val="00A8254E"/>
    <w:rsid w:val="00A829D1"/>
    <w:rsid w:val="00A82AAA"/>
    <w:rsid w:val="00A83A81"/>
    <w:rsid w:val="00A83FA4"/>
    <w:rsid w:val="00A84A51"/>
    <w:rsid w:val="00A84F62"/>
    <w:rsid w:val="00A852C0"/>
    <w:rsid w:val="00A8576D"/>
    <w:rsid w:val="00A859DE"/>
    <w:rsid w:val="00A859F8"/>
    <w:rsid w:val="00A85A6A"/>
    <w:rsid w:val="00A860FF"/>
    <w:rsid w:val="00A86AC2"/>
    <w:rsid w:val="00A86FE7"/>
    <w:rsid w:val="00A87561"/>
    <w:rsid w:val="00A87A4F"/>
    <w:rsid w:val="00A87C33"/>
    <w:rsid w:val="00A90F9A"/>
    <w:rsid w:val="00A90FBE"/>
    <w:rsid w:val="00A913C4"/>
    <w:rsid w:val="00A917B7"/>
    <w:rsid w:val="00A92048"/>
    <w:rsid w:val="00A920FF"/>
    <w:rsid w:val="00A922B2"/>
    <w:rsid w:val="00A92F7E"/>
    <w:rsid w:val="00A92F92"/>
    <w:rsid w:val="00A92FA9"/>
    <w:rsid w:val="00A930A1"/>
    <w:rsid w:val="00A9316A"/>
    <w:rsid w:val="00A934DF"/>
    <w:rsid w:val="00A93B5D"/>
    <w:rsid w:val="00A93B9A"/>
    <w:rsid w:val="00A93D93"/>
    <w:rsid w:val="00A9412C"/>
    <w:rsid w:val="00A94375"/>
    <w:rsid w:val="00A94DA9"/>
    <w:rsid w:val="00A94DE9"/>
    <w:rsid w:val="00A94EBD"/>
    <w:rsid w:val="00A95F14"/>
    <w:rsid w:val="00A9601D"/>
    <w:rsid w:val="00A96E99"/>
    <w:rsid w:val="00A974EF"/>
    <w:rsid w:val="00A974F1"/>
    <w:rsid w:val="00A97544"/>
    <w:rsid w:val="00A97A2B"/>
    <w:rsid w:val="00A97A6C"/>
    <w:rsid w:val="00A97DA2"/>
    <w:rsid w:val="00A97FBA"/>
    <w:rsid w:val="00AA093C"/>
    <w:rsid w:val="00AA101F"/>
    <w:rsid w:val="00AA14CF"/>
    <w:rsid w:val="00AA16BF"/>
    <w:rsid w:val="00AA17AE"/>
    <w:rsid w:val="00AA1A1D"/>
    <w:rsid w:val="00AA1D10"/>
    <w:rsid w:val="00AA20A8"/>
    <w:rsid w:val="00AA2481"/>
    <w:rsid w:val="00AA2712"/>
    <w:rsid w:val="00AA28D9"/>
    <w:rsid w:val="00AA2A21"/>
    <w:rsid w:val="00AA2FAD"/>
    <w:rsid w:val="00AA2FD4"/>
    <w:rsid w:val="00AA35D3"/>
    <w:rsid w:val="00AA36FE"/>
    <w:rsid w:val="00AA39AD"/>
    <w:rsid w:val="00AA45A4"/>
    <w:rsid w:val="00AA490B"/>
    <w:rsid w:val="00AA4A54"/>
    <w:rsid w:val="00AA4C84"/>
    <w:rsid w:val="00AA4CB7"/>
    <w:rsid w:val="00AA573E"/>
    <w:rsid w:val="00AA6324"/>
    <w:rsid w:val="00AA6341"/>
    <w:rsid w:val="00AA6AB7"/>
    <w:rsid w:val="00AA6AF2"/>
    <w:rsid w:val="00AA6FA0"/>
    <w:rsid w:val="00AA7C6F"/>
    <w:rsid w:val="00AA7D7E"/>
    <w:rsid w:val="00AA7E51"/>
    <w:rsid w:val="00AB0630"/>
    <w:rsid w:val="00AB0886"/>
    <w:rsid w:val="00AB0CD0"/>
    <w:rsid w:val="00AB0E3F"/>
    <w:rsid w:val="00AB15B6"/>
    <w:rsid w:val="00AB1C95"/>
    <w:rsid w:val="00AB1D2D"/>
    <w:rsid w:val="00AB1D73"/>
    <w:rsid w:val="00AB1E2D"/>
    <w:rsid w:val="00AB1F04"/>
    <w:rsid w:val="00AB24D4"/>
    <w:rsid w:val="00AB273C"/>
    <w:rsid w:val="00AB2771"/>
    <w:rsid w:val="00AB27A8"/>
    <w:rsid w:val="00AB27F3"/>
    <w:rsid w:val="00AB2B4F"/>
    <w:rsid w:val="00AB3194"/>
    <w:rsid w:val="00AB31A7"/>
    <w:rsid w:val="00AB3262"/>
    <w:rsid w:val="00AB3293"/>
    <w:rsid w:val="00AB33EB"/>
    <w:rsid w:val="00AB37FF"/>
    <w:rsid w:val="00AB3D97"/>
    <w:rsid w:val="00AB3F4D"/>
    <w:rsid w:val="00AB3F5C"/>
    <w:rsid w:val="00AB40C5"/>
    <w:rsid w:val="00AB42B9"/>
    <w:rsid w:val="00AB44C1"/>
    <w:rsid w:val="00AB45B2"/>
    <w:rsid w:val="00AB497B"/>
    <w:rsid w:val="00AB5496"/>
    <w:rsid w:val="00AB5643"/>
    <w:rsid w:val="00AB5DBB"/>
    <w:rsid w:val="00AB5F60"/>
    <w:rsid w:val="00AB6176"/>
    <w:rsid w:val="00AB62A3"/>
    <w:rsid w:val="00AB63C8"/>
    <w:rsid w:val="00AB66F0"/>
    <w:rsid w:val="00AB672D"/>
    <w:rsid w:val="00AB685C"/>
    <w:rsid w:val="00AB7089"/>
    <w:rsid w:val="00AB71D3"/>
    <w:rsid w:val="00AB76AC"/>
    <w:rsid w:val="00AB7C94"/>
    <w:rsid w:val="00AC01A8"/>
    <w:rsid w:val="00AC027F"/>
    <w:rsid w:val="00AC0791"/>
    <w:rsid w:val="00AC08BC"/>
    <w:rsid w:val="00AC1062"/>
    <w:rsid w:val="00AC1139"/>
    <w:rsid w:val="00AC11B1"/>
    <w:rsid w:val="00AC1753"/>
    <w:rsid w:val="00AC1B18"/>
    <w:rsid w:val="00AC1C29"/>
    <w:rsid w:val="00AC1D99"/>
    <w:rsid w:val="00AC1F02"/>
    <w:rsid w:val="00AC2D87"/>
    <w:rsid w:val="00AC380E"/>
    <w:rsid w:val="00AC398C"/>
    <w:rsid w:val="00AC3CE3"/>
    <w:rsid w:val="00AC4BD8"/>
    <w:rsid w:val="00AC4F76"/>
    <w:rsid w:val="00AC4FDC"/>
    <w:rsid w:val="00AC501E"/>
    <w:rsid w:val="00AC5DF5"/>
    <w:rsid w:val="00AC60A1"/>
    <w:rsid w:val="00AC6ABE"/>
    <w:rsid w:val="00AC6DB0"/>
    <w:rsid w:val="00AC6EA9"/>
    <w:rsid w:val="00AC6F33"/>
    <w:rsid w:val="00AC7016"/>
    <w:rsid w:val="00AC727A"/>
    <w:rsid w:val="00AC7B93"/>
    <w:rsid w:val="00AC7CC0"/>
    <w:rsid w:val="00AD009C"/>
    <w:rsid w:val="00AD01E7"/>
    <w:rsid w:val="00AD09BC"/>
    <w:rsid w:val="00AD0AEC"/>
    <w:rsid w:val="00AD0E21"/>
    <w:rsid w:val="00AD110D"/>
    <w:rsid w:val="00AD27AA"/>
    <w:rsid w:val="00AD2C94"/>
    <w:rsid w:val="00AD3491"/>
    <w:rsid w:val="00AD390C"/>
    <w:rsid w:val="00AD3A42"/>
    <w:rsid w:val="00AD3BAD"/>
    <w:rsid w:val="00AD3C41"/>
    <w:rsid w:val="00AD3EB4"/>
    <w:rsid w:val="00AD3EED"/>
    <w:rsid w:val="00AD45F9"/>
    <w:rsid w:val="00AD55E7"/>
    <w:rsid w:val="00AD5616"/>
    <w:rsid w:val="00AD6331"/>
    <w:rsid w:val="00AD7354"/>
    <w:rsid w:val="00AD7595"/>
    <w:rsid w:val="00AD76BA"/>
    <w:rsid w:val="00AE0382"/>
    <w:rsid w:val="00AE09B1"/>
    <w:rsid w:val="00AE0BAD"/>
    <w:rsid w:val="00AE0FAE"/>
    <w:rsid w:val="00AE0FDD"/>
    <w:rsid w:val="00AE0FEB"/>
    <w:rsid w:val="00AE1D49"/>
    <w:rsid w:val="00AE210B"/>
    <w:rsid w:val="00AE21A0"/>
    <w:rsid w:val="00AE233E"/>
    <w:rsid w:val="00AE268B"/>
    <w:rsid w:val="00AE2AB4"/>
    <w:rsid w:val="00AE3611"/>
    <w:rsid w:val="00AE3C17"/>
    <w:rsid w:val="00AE416A"/>
    <w:rsid w:val="00AE4549"/>
    <w:rsid w:val="00AE456E"/>
    <w:rsid w:val="00AE4931"/>
    <w:rsid w:val="00AE503B"/>
    <w:rsid w:val="00AE65DF"/>
    <w:rsid w:val="00AE6FBD"/>
    <w:rsid w:val="00AE7192"/>
    <w:rsid w:val="00AE7550"/>
    <w:rsid w:val="00AE75EA"/>
    <w:rsid w:val="00AE777E"/>
    <w:rsid w:val="00AF0083"/>
    <w:rsid w:val="00AF03FE"/>
    <w:rsid w:val="00AF102C"/>
    <w:rsid w:val="00AF1089"/>
    <w:rsid w:val="00AF1ECD"/>
    <w:rsid w:val="00AF22CA"/>
    <w:rsid w:val="00AF2494"/>
    <w:rsid w:val="00AF277A"/>
    <w:rsid w:val="00AF2B65"/>
    <w:rsid w:val="00AF2C2E"/>
    <w:rsid w:val="00AF2CDC"/>
    <w:rsid w:val="00AF2D36"/>
    <w:rsid w:val="00AF2DF2"/>
    <w:rsid w:val="00AF2F41"/>
    <w:rsid w:val="00AF2F59"/>
    <w:rsid w:val="00AF3029"/>
    <w:rsid w:val="00AF34E9"/>
    <w:rsid w:val="00AF35B5"/>
    <w:rsid w:val="00AF3CD1"/>
    <w:rsid w:val="00AF3EBE"/>
    <w:rsid w:val="00AF402C"/>
    <w:rsid w:val="00AF5604"/>
    <w:rsid w:val="00AF6786"/>
    <w:rsid w:val="00AF67FC"/>
    <w:rsid w:val="00AF7323"/>
    <w:rsid w:val="00AF7447"/>
    <w:rsid w:val="00B00031"/>
    <w:rsid w:val="00B0059F"/>
    <w:rsid w:val="00B00DE9"/>
    <w:rsid w:val="00B01673"/>
    <w:rsid w:val="00B01875"/>
    <w:rsid w:val="00B01CAF"/>
    <w:rsid w:val="00B02F6F"/>
    <w:rsid w:val="00B03483"/>
    <w:rsid w:val="00B044A1"/>
    <w:rsid w:val="00B045CD"/>
    <w:rsid w:val="00B04E8F"/>
    <w:rsid w:val="00B04F8C"/>
    <w:rsid w:val="00B051CB"/>
    <w:rsid w:val="00B05EA9"/>
    <w:rsid w:val="00B062FF"/>
    <w:rsid w:val="00B06716"/>
    <w:rsid w:val="00B07D79"/>
    <w:rsid w:val="00B07D9B"/>
    <w:rsid w:val="00B07EF7"/>
    <w:rsid w:val="00B1039B"/>
    <w:rsid w:val="00B1111C"/>
    <w:rsid w:val="00B115A1"/>
    <w:rsid w:val="00B11678"/>
    <w:rsid w:val="00B11A44"/>
    <w:rsid w:val="00B11C49"/>
    <w:rsid w:val="00B1213C"/>
    <w:rsid w:val="00B12392"/>
    <w:rsid w:val="00B123DF"/>
    <w:rsid w:val="00B125E0"/>
    <w:rsid w:val="00B128A6"/>
    <w:rsid w:val="00B1292A"/>
    <w:rsid w:val="00B1297F"/>
    <w:rsid w:val="00B12CDB"/>
    <w:rsid w:val="00B13320"/>
    <w:rsid w:val="00B139C7"/>
    <w:rsid w:val="00B13C0E"/>
    <w:rsid w:val="00B13D10"/>
    <w:rsid w:val="00B1417E"/>
    <w:rsid w:val="00B14277"/>
    <w:rsid w:val="00B1453A"/>
    <w:rsid w:val="00B14585"/>
    <w:rsid w:val="00B14AA6"/>
    <w:rsid w:val="00B14EC6"/>
    <w:rsid w:val="00B14FCA"/>
    <w:rsid w:val="00B15A19"/>
    <w:rsid w:val="00B15B03"/>
    <w:rsid w:val="00B15E65"/>
    <w:rsid w:val="00B16817"/>
    <w:rsid w:val="00B16BD6"/>
    <w:rsid w:val="00B16C35"/>
    <w:rsid w:val="00B17003"/>
    <w:rsid w:val="00B173CA"/>
    <w:rsid w:val="00B17406"/>
    <w:rsid w:val="00B178C1"/>
    <w:rsid w:val="00B2049C"/>
    <w:rsid w:val="00B20C4B"/>
    <w:rsid w:val="00B2102D"/>
    <w:rsid w:val="00B2181E"/>
    <w:rsid w:val="00B22488"/>
    <w:rsid w:val="00B2276A"/>
    <w:rsid w:val="00B23446"/>
    <w:rsid w:val="00B23D9A"/>
    <w:rsid w:val="00B240B2"/>
    <w:rsid w:val="00B241D5"/>
    <w:rsid w:val="00B241E4"/>
    <w:rsid w:val="00B244AA"/>
    <w:rsid w:val="00B24CCB"/>
    <w:rsid w:val="00B25644"/>
    <w:rsid w:val="00B25857"/>
    <w:rsid w:val="00B25ECB"/>
    <w:rsid w:val="00B26C5E"/>
    <w:rsid w:val="00B27005"/>
    <w:rsid w:val="00B2706D"/>
    <w:rsid w:val="00B275EE"/>
    <w:rsid w:val="00B27C1B"/>
    <w:rsid w:val="00B30F88"/>
    <w:rsid w:val="00B31918"/>
    <w:rsid w:val="00B32272"/>
    <w:rsid w:val="00B33437"/>
    <w:rsid w:val="00B3347C"/>
    <w:rsid w:val="00B33A4E"/>
    <w:rsid w:val="00B33AF1"/>
    <w:rsid w:val="00B33C70"/>
    <w:rsid w:val="00B33F25"/>
    <w:rsid w:val="00B340C2"/>
    <w:rsid w:val="00B340C5"/>
    <w:rsid w:val="00B34362"/>
    <w:rsid w:val="00B349C2"/>
    <w:rsid w:val="00B35445"/>
    <w:rsid w:val="00B35909"/>
    <w:rsid w:val="00B3614E"/>
    <w:rsid w:val="00B36374"/>
    <w:rsid w:val="00B36AA7"/>
    <w:rsid w:val="00B37827"/>
    <w:rsid w:val="00B37ABE"/>
    <w:rsid w:val="00B37CA9"/>
    <w:rsid w:val="00B37D9A"/>
    <w:rsid w:val="00B403E4"/>
    <w:rsid w:val="00B404A0"/>
    <w:rsid w:val="00B4076A"/>
    <w:rsid w:val="00B41824"/>
    <w:rsid w:val="00B41A69"/>
    <w:rsid w:val="00B41DF2"/>
    <w:rsid w:val="00B41FD5"/>
    <w:rsid w:val="00B4203B"/>
    <w:rsid w:val="00B428FD"/>
    <w:rsid w:val="00B4296E"/>
    <w:rsid w:val="00B42B1F"/>
    <w:rsid w:val="00B42C05"/>
    <w:rsid w:val="00B42DA4"/>
    <w:rsid w:val="00B4315B"/>
    <w:rsid w:val="00B43CDC"/>
    <w:rsid w:val="00B4413E"/>
    <w:rsid w:val="00B445AD"/>
    <w:rsid w:val="00B449B8"/>
    <w:rsid w:val="00B44A5B"/>
    <w:rsid w:val="00B44E72"/>
    <w:rsid w:val="00B4597D"/>
    <w:rsid w:val="00B45BA2"/>
    <w:rsid w:val="00B45FDD"/>
    <w:rsid w:val="00B461CA"/>
    <w:rsid w:val="00B470C0"/>
    <w:rsid w:val="00B47709"/>
    <w:rsid w:val="00B503F6"/>
    <w:rsid w:val="00B5045A"/>
    <w:rsid w:val="00B50569"/>
    <w:rsid w:val="00B509C0"/>
    <w:rsid w:val="00B50D59"/>
    <w:rsid w:val="00B511AE"/>
    <w:rsid w:val="00B5170A"/>
    <w:rsid w:val="00B51E23"/>
    <w:rsid w:val="00B5215B"/>
    <w:rsid w:val="00B521DA"/>
    <w:rsid w:val="00B52304"/>
    <w:rsid w:val="00B525A9"/>
    <w:rsid w:val="00B526CE"/>
    <w:rsid w:val="00B52735"/>
    <w:rsid w:val="00B53733"/>
    <w:rsid w:val="00B5387D"/>
    <w:rsid w:val="00B54020"/>
    <w:rsid w:val="00B548CB"/>
    <w:rsid w:val="00B55636"/>
    <w:rsid w:val="00B558F1"/>
    <w:rsid w:val="00B5660E"/>
    <w:rsid w:val="00B57009"/>
    <w:rsid w:val="00B5716A"/>
    <w:rsid w:val="00B5720F"/>
    <w:rsid w:val="00B57291"/>
    <w:rsid w:val="00B57518"/>
    <w:rsid w:val="00B57522"/>
    <w:rsid w:val="00B57DDE"/>
    <w:rsid w:val="00B601F3"/>
    <w:rsid w:val="00B6078F"/>
    <w:rsid w:val="00B61508"/>
    <w:rsid w:val="00B61511"/>
    <w:rsid w:val="00B6156E"/>
    <w:rsid w:val="00B61F70"/>
    <w:rsid w:val="00B62897"/>
    <w:rsid w:val="00B62955"/>
    <w:rsid w:val="00B634E6"/>
    <w:rsid w:val="00B634FD"/>
    <w:rsid w:val="00B63544"/>
    <w:rsid w:val="00B6387C"/>
    <w:rsid w:val="00B642F5"/>
    <w:rsid w:val="00B643FD"/>
    <w:rsid w:val="00B6445B"/>
    <w:rsid w:val="00B646BC"/>
    <w:rsid w:val="00B6475A"/>
    <w:rsid w:val="00B64BD6"/>
    <w:rsid w:val="00B654DC"/>
    <w:rsid w:val="00B65AF0"/>
    <w:rsid w:val="00B65D83"/>
    <w:rsid w:val="00B66031"/>
    <w:rsid w:val="00B660BB"/>
    <w:rsid w:val="00B671D4"/>
    <w:rsid w:val="00B676EA"/>
    <w:rsid w:val="00B67798"/>
    <w:rsid w:val="00B67A93"/>
    <w:rsid w:val="00B67B39"/>
    <w:rsid w:val="00B67E60"/>
    <w:rsid w:val="00B70559"/>
    <w:rsid w:val="00B70782"/>
    <w:rsid w:val="00B70DA3"/>
    <w:rsid w:val="00B71202"/>
    <w:rsid w:val="00B718C3"/>
    <w:rsid w:val="00B7271E"/>
    <w:rsid w:val="00B72906"/>
    <w:rsid w:val="00B72BD5"/>
    <w:rsid w:val="00B72FDE"/>
    <w:rsid w:val="00B73910"/>
    <w:rsid w:val="00B73A64"/>
    <w:rsid w:val="00B73EDB"/>
    <w:rsid w:val="00B74184"/>
    <w:rsid w:val="00B7423D"/>
    <w:rsid w:val="00B743B8"/>
    <w:rsid w:val="00B74E79"/>
    <w:rsid w:val="00B752CE"/>
    <w:rsid w:val="00B752DB"/>
    <w:rsid w:val="00B761B8"/>
    <w:rsid w:val="00B76BFA"/>
    <w:rsid w:val="00B77161"/>
    <w:rsid w:val="00B77CE8"/>
    <w:rsid w:val="00B77E53"/>
    <w:rsid w:val="00B803D8"/>
    <w:rsid w:val="00B80476"/>
    <w:rsid w:val="00B80549"/>
    <w:rsid w:val="00B81447"/>
    <w:rsid w:val="00B81E2C"/>
    <w:rsid w:val="00B820FC"/>
    <w:rsid w:val="00B82768"/>
    <w:rsid w:val="00B8325B"/>
    <w:rsid w:val="00B83E30"/>
    <w:rsid w:val="00B83E7F"/>
    <w:rsid w:val="00B84A75"/>
    <w:rsid w:val="00B85208"/>
    <w:rsid w:val="00B858E2"/>
    <w:rsid w:val="00B859AC"/>
    <w:rsid w:val="00B85D0D"/>
    <w:rsid w:val="00B86F5C"/>
    <w:rsid w:val="00B871B8"/>
    <w:rsid w:val="00B87369"/>
    <w:rsid w:val="00B876AD"/>
    <w:rsid w:val="00B87920"/>
    <w:rsid w:val="00B90133"/>
    <w:rsid w:val="00B90841"/>
    <w:rsid w:val="00B909F1"/>
    <w:rsid w:val="00B90E7D"/>
    <w:rsid w:val="00B90E9B"/>
    <w:rsid w:val="00B91E64"/>
    <w:rsid w:val="00B922B4"/>
    <w:rsid w:val="00B92B9F"/>
    <w:rsid w:val="00B92D51"/>
    <w:rsid w:val="00B9301A"/>
    <w:rsid w:val="00B93558"/>
    <w:rsid w:val="00B93A9C"/>
    <w:rsid w:val="00B951A8"/>
    <w:rsid w:val="00B95D13"/>
    <w:rsid w:val="00B95F61"/>
    <w:rsid w:val="00B9605A"/>
    <w:rsid w:val="00B96464"/>
    <w:rsid w:val="00B9751B"/>
    <w:rsid w:val="00B97576"/>
    <w:rsid w:val="00B97951"/>
    <w:rsid w:val="00B97B99"/>
    <w:rsid w:val="00BA0145"/>
    <w:rsid w:val="00BA07B7"/>
    <w:rsid w:val="00BA0962"/>
    <w:rsid w:val="00BA0A09"/>
    <w:rsid w:val="00BA0A9A"/>
    <w:rsid w:val="00BA0E2E"/>
    <w:rsid w:val="00BA12C2"/>
    <w:rsid w:val="00BA1983"/>
    <w:rsid w:val="00BA1B5C"/>
    <w:rsid w:val="00BA1CB7"/>
    <w:rsid w:val="00BA1DB0"/>
    <w:rsid w:val="00BA20A0"/>
    <w:rsid w:val="00BA2983"/>
    <w:rsid w:val="00BA2C41"/>
    <w:rsid w:val="00BA2E09"/>
    <w:rsid w:val="00BA3106"/>
    <w:rsid w:val="00BA355D"/>
    <w:rsid w:val="00BA4234"/>
    <w:rsid w:val="00BA42B5"/>
    <w:rsid w:val="00BA44FB"/>
    <w:rsid w:val="00BA4509"/>
    <w:rsid w:val="00BA4783"/>
    <w:rsid w:val="00BA487E"/>
    <w:rsid w:val="00BA4C7A"/>
    <w:rsid w:val="00BA4F18"/>
    <w:rsid w:val="00BA5281"/>
    <w:rsid w:val="00BA572E"/>
    <w:rsid w:val="00BA5828"/>
    <w:rsid w:val="00BA5E6B"/>
    <w:rsid w:val="00BA5F44"/>
    <w:rsid w:val="00BA5F59"/>
    <w:rsid w:val="00BA60BD"/>
    <w:rsid w:val="00BA6783"/>
    <w:rsid w:val="00BA70B8"/>
    <w:rsid w:val="00BA7935"/>
    <w:rsid w:val="00BA7E14"/>
    <w:rsid w:val="00BB0259"/>
    <w:rsid w:val="00BB0608"/>
    <w:rsid w:val="00BB0786"/>
    <w:rsid w:val="00BB251E"/>
    <w:rsid w:val="00BB28CB"/>
    <w:rsid w:val="00BB2919"/>
    <w:rsid w:val="00BB2A57"/>
    <w:rsid w:val="00BB339E"/>
    <w:rsid w:val="00BB3433"/>
    <w:rsid w:val="00BB4223"/>
    <w:rsid w:val="00BB4244"/>
    <w:rsid w:val="00BB4419"/>
    <w:rsid w:val="00BB4AE6"/>
    <w:rsid w:val="00BB52EC"/>
    <w:rsid w:val="00BB5CCF"/>
    <w:rsid w:val="00BB5E65"/>
    <w:rsid w:val="00BB6770"/>
    <w:rsid w:val="00BB6C0A"/>
    <w:rsid w:val="00BB6D65"/>
    <w:rsid w:val="00BB7165"/>
    <w:rsid w:val="00BB720D"/>
    <w:rsid w:val="00BB759F"/>
    <w:rsid w:val="00BB76DB"/>
    <w:rsid w:val="00BC0B6E"/>
    <w:rsid w:val="00BC13DE"/>
    <w:rsid w:val="00BC18CF"/>
    <w:rsid w:val="00BC1BA0"/>
    <w:rsid w:val="00BC1E3C"/>
    <w:rsid w:val="00BC26B0"/>
    <w:rsid w:val="00BC2B2E"/>
    <w:rsid w:val="00BC2C21"/>
    <w:rsid w:val="00BC3093"/>
    <w:rsid w:val="00BC32C1"/>
    <w:rsid w:val="00BC37AD"/>
    <w:rsid w:val="00BC3B37"/>
    <w:rsid w:val="00BC3D81"/>
    <w:rsid w:val="00BC4596"/>
    <w:rsid w:val="00BC53AB"/>
    <w:rsid w:val="00BC57AB"/>
    <w:rsid w:val="00BC5E30"/>
    <w:rsid w:val="00BC600D"/>
    <w:rsid w:val="00BC6028"/>
    <w:rsid w:val="00BC6060"/>
    <w:rsid w:val="00BC6191"/>
    <w:rsid w:val="00BC62D6"/>
    <w:rsid w:val="00BC6414"/>
    <w:rsid w:val="00BC68CC"/>
    <w:rsid w:val="00BC718E"/>
    <w:rsid w:val="00BC7251"/>
    <w:rsid w:val="00BC7F9C"/>
    <w:rsid w:val="00BD0DDD"/>
    <w:rsid w:val="00BD1A2C"/>
    <w:rsid w:val="00BD1D8C"/>
    <w:rsid w:val="00BD2232"/>
    <w:rsid w:val="00BD34E3"/>
    <w:rsid w:val="00BD34FB"/>
    <w:rsid w:val="00BD3C98"/>
    <w:rsid w:val="00BD3DC9"/>
    <w:rsid w:val="00BD4203"/>
    <w:rsid w:val="00BD4A17"/>
    <w:rsid w:val="00BD4C1A"/>
    <w:rsid w:val="00BD4FE1"/>
    <w:rsid w:val="00BD5055"/>
    <w:rsid w:val="00BD5B16"/>
    <w:rsid w:val="00BD5C51"/>
    <w:rsid w:val="00BD5E3B"/>
    <w:rsid w:val="00BD5E98"/>
    <w:rsid w:val="00BD62B1"/>
    <w:rsid w:val="00BD642B"/>
    <w:rsid w:val="00BD6954"/>
    <w:rsid w:val="00BD6A6E"/>
    <w:rsid w:val="00BD6DA9"/>
    <w:rsid w:val="00BD7434"/>
    <w:rsid w:val="00BD7631"/>
    <w:rsid w:val="00BD769F"/>
    <w:rsid w:val="00BD777E"/>
    <w:rsid w:val="00BE07A1"/>
    <w:rsid w:val="00BE0A23"/>
    <w:rsid w:val="00BE0A6D"/>
    <w:rsid w:val="00BE1169"/>
    <w:rsid w:val="00BE1494"/>
    <w:rsid w:val="00BE168A"/>
    <w:rsid w:val="00BE1840"/>
    <w:rsid w:val="00BE1B14"/>
    <w:rsid w:val="00BE1D19"/>
    <w:rsid w:val="00BE1FEF"/>
    <w:rsid w:val="00BE32AE"/>
    <w:rsid w:val="00BE4636"/>
    <w:rsid w:val="00BE4672"/>
    <w:rsid w:val="00BE4B75"/>
    <w:rsid w:val="00BE4F26"/>
    <w:rsid w:val="00BE504C"/>
    <w:rsid w:val="00BE53AD"/>
    <w:rsid w:val="00BE5571"/>
    <w:rsid w:val="00BE56EA"/>
    <w:rsid w:val="00BE5EDF"/>
    <w:rsid w:val="00BE5FE8"/>
    <w:rsid w:val="00BE611C"/>
    <w:rsid w:val="00BE6429"/>
    <w:rsid w:val="00BE69C2"/>
    <w:rsid w:val="00BE6EAD"/>
    <w:rsid w:val="00BE72FD"/>
    <w:rsid w:val="00BE7DDB"/>
    <w:rsid w:val="00BF00A3"/>
    <w:rsid w:val="00BF0914"/>
    <w:rsid w:val="00BF1024"/>
    <w:rsid w:val="00BF1448"/>
    <w:rsid w:val="00BF184C"/>
    <w:rsid w:val="00BF1B76"/>
    <w:rsid w:val="00BF1C71"/>
    <w:rsid w:val="00BF262D"/>
    <w:rsid w:val="00BF2681"/>
    <w:rsid w:val="00BF2796"/>
    <w:rsid w:val="00BF2A21"/>
    <w:rsid w:val="00BF3AF6"/>
    <w:rsid w:val="00BF3D73"/>
    <w:rsid w:val="00BF3EC9"/>
    <w:rsid w:val="00BF3F22"/>
    <w:rsid w:val="00BF4694"/>
    <w:rsid w:val="00BF46C4"/>
    <w:rsid w:val="00BF56F7"/>
    <w:rsid w:val="00BF610B"/>
    <w:rsid w:val="00BF6A76"/>
    <w:rsid w:val="00BF7490"/>
    <w:rsid w:val="00BF76B5"/>
    <w:rsid w:val="00BF7712"/>
    <w:rsid w:val="00BF7CDC"/>
    <w:rsid w:val="00BF7D12"/>
    <w:rsid w:val="00C00016"/>
    <w:rsid w:val="00C0038B"/>
    <w:rsid w:val="00C00A0A"/>
    <w:rsid w:val="00C00C2D"/>
    <w:rsid w:val="00C00CE6"/>
    <w:rsid w:val="00C01230"/>
    <w:rsid w:val="00C0152F"/>
    <w:rsid w:val="00C0160C"/>
    <w:rsid w:val="00C01921"/>
    <w:rsid w:val="00C01A89"/>
    <w:rsid w:val="00C01BBE"/>
    <w:rsid w:val="00C01FF2"/>
    <w:rsid w:val="00C021C4"/>
    <w:rsid w:val="00C0231B"/>
    <w:rsid w:val="00C02361"/>
    <w:rsid w:val="00C02D27"/>
    <w:rsid w:val="00C031A6"/>
    <w:rsid w:val="00C035C8"/>
    <w:rsid w:val="00C03D7E"/>
    <w:rsid w:val="00C042B0"/>
    <w:rsid w:val="00C05533"/>
    <w:rsid w:val="00C05FD2"/>
    <w:rsid w:val="00C06355"/>
    <w:rsid w:val="00C06DCF"/>
    <w:rsid w:val="00C07728"/>
    <w:rsid w:val="00C07DAC"/>
    <w:rsid w:val="00C10343"/>
    <w:rsid w:val="00C10B94"/>
    <w:rsid w:val="00C11B55"/>
    <w:rsid w:val="00C11D09"/>
    <w:rsid w:val="00C11D99"/>
    <w:rsid w:val="00C11E14"/>
    <w:rsid w:val="00C120FC"/>
    <w:rsid w:val="00C12A0E"/>
    <w:rsid w:val="00C12B11"/>
    <w:rsid w:val="00C12F78"/>
    <w:rsid w:val="00C13067"/>
    <w:rsid w:val="00C139A8"/>
    <w:rsid w:val="00C1406F"/>
    <w:rsid w:val="00C148FA"/>
    <w:rsid w:val="00C14C33"/>
    <w:rsid w:val="00C14E24"/>
    <w:rsid w:val="00C14FC9"/>
    <w:rsid w:val="00C154B8"/>
    <w:rsid w:val="00C15C85"/>
    <w:rsid w:val="00C162A9"/>
    <w:rsid w:val="00C1639A"/>
    <w:rsid w:val="00C1649F"/>
    <w:rsid w:val="00C164BA"/>
    <w:rsid w:val="00C16906"/>
    <w:rsid w:val="00C16B9E"/>
    <w:rsid w:val="00C17118"/>
    <w:rsid w:val="00C208D2"/>
    <w:rsid w:val="00C209E0"/>
    <w:rsid w:val="00C20C01"/>
    <w:rsid w:val="00C21AD8"/>
    <w:rsid w:val="00C21C69"/>
    <w:rsid w:val="00C21C96"/>
    <w:rsid w:val="00C2244F"/>
    <w:rsid w:val="00C22452"/>
    <w:rsid w:val="00C22657"/>
    <w:rsid w:val="00C22C19"/>
    <w:rsid w:val="00C22C6D"/>
    <w:rsid w:val="00C2313D"/>
    <w:rsid w:val="00C234F3"/>
    <w:rsid w:val="00C23D0B"/>
    <w:rsid w:val="00C2430B"/>
    <w:rsid w:val="00C247A0"/>
    <w:rsid w:val="00C2561A"/>
    <w:rsid w:val="00C2572B"/>
    <w:rsid w:val="00C25ABF"/>
    <w:rsid w:val="00C25FED"/>
    <w:rsid w:val="00C2641D"/>
    <w:rsid w:val="00C26442"/>
    <w:rsid w:val="00C269FE"/>
    <w:rsid w:val="00C2721F"/>
    <w:rsid w:val="00C30617"/>
    <w:rsid w:val="00C31ADD"/>
    <w:rsid w:val="00C32201"/>
    <w:rsid w:val="00C323BE"/>
    <w:rsid w:val="00C32959"/>
    <w:rsid w:val="00C32F16"/>
    <w:rsid w:val="00C32F2A"/>
    <w:rsid w:val="00C33184"/>
    <w:rsid w:val="00C332C3"/>
    <w:rsid w:val="00C34289"/>
    <w:rsid w:val="00C3455A"/>
    <w:rsid w:val="00C351C6"/>
    <w:rsid w:val="00C3580B"/>
    <w:rsid w:val="00C36410"/>
    <w:rsid w:val="00C372B1"/>
    <w:rsid w:val="00C372C5"/>
    <w:rsid w:val="00C37719"/>
    <w:rsid w:val="00C379D9"/>
    <w:rsid w:val="00C37A1B"/>
    <w:rsid w:val="00C37BB7"/>
    <w:rsid w:val="00C37E1C"/>
    <w:rsid w:val="00C37FF9"/>
    <w:rsid w:val="00C40CE3"/>
    <w:rsid w:val="00C4175A"/>
    <w:rsid w:val="00C431BE"/>
    <w:rsid w:val="00C43277"/>
    <w:rsid w:val="00C435AC"/>
    <w:rsid w:val="00C43A85"/>
    <w:rsid w:val="00C4418F"/>
    <w:rsid w:val="00C447ED"/>
    <w:rsid w:val="00C44846"/>
    <w:rsid w:val="00C44C27"/>
    <w:rsid w:val="00C44C2F"/>
    <w:rsid w:val="00C450B4"/>
    <w:rsid w:val="00C45141"/>
    <w:rsid w:val="00C453D4"/>
    <w:rsid w:val="00C45432"/>
    <w:rsid w:val="00C459AC"/>
    <w:rsid w:val="00C460CD"/>
    <w:rsid w:val="00C46154"/>
    <w:rsid w:val="00C465E0"/>
    <w:rsid w:val="00C46751"/>
    <w:rsid w:val="00C46D64"/>
    <w:rsid w:val="00C46E81"/>
    <w:rsid w:val="00C46EA5"/>
    <w:rsid w:val="00C47852"/>
    <w:rsid w:val="00C478CD"/>
    <w:rsid w:val="00C50080"/>
    <w:rsid w:val="00C51D77"/>
    <w:rsid w:val="00C534F8"/>
    <w:rsid w:val="00C53E7A"/>
    <w:rsid w:val="00C540E8"/>
    <w:rsid w:val="00C546A8"/>
    <w:rsid w:val="00C54BF0"/>
    <w:rsid w:val="00C55150"/>
    <w:rsid w:val="00C557CC"/>
    <w:rsid w:val="00C55D51"/>
    <w:rsid w:val="00C560ED"/>
    <w:rsid w:val="00C56E9E"/>
    <w:rsid w:val="00C5773E"/>
    <w:rsid w:val="00C579BE"/>
    <w:rsid w:val="00C60060"/>
    <w:rsid w:val="00C60208"/>
    <w:rsid w:val="00C60226"/>
    <w:rsid w:val="00C60626"/>
    <w:rsid w:val="00C60783"/>
    <w:rsid w:val="00C608D1"/>
    <w:rsid w:val="00C6121A"/>
    <w:rsid w:val="00C61346"/>
    <w:rsid w:val="00C61490"/>
    <w:rsid w:val="00C614A7"/>
    <w:rsid w:val="00C61793"/>
    <w:rsid w:val="00C617B4"/>
    <w:rsid w:val="00C617CE"/>
    <w:rsid w:val="00C61B1F"/>
    <w:rsid w:val="00C62349"/>
    <w:rsid w:val="00C62972"/>
    <w:rsid w:val="00C62AE3"/>
    <w:rsid w:val="00C62E03"/>
    <w:rsid w:val="00C630F5"/>
    <w:rsid w:val="00C63A80"/>
    <w:rsid w:val="00C6403E"/>
    <w:rsid w:val="00C64126"/>
    <w:rsid w:val="00C641FD"/>
    <w:rsid w:val="00C642B3"/>
    <w:rsid w:val="00C64970"/>
    <w:rsid w:val="00C64E03"/>
    <w:rsid w:val="00C6539D"/>
    <w:rsid w:val="00C65612"/>
    <w:rsid w:val="00C668C8"/>
    <w:rsid w:val="00C67510"/>
    <w:rsid w:val="00C679C4"/>
    <w:rsid w:val="00C7047B"/>
    <w:rsid w:val="00C70734"/>
    <w:rsid w:val="00C70A84"/>
    <w:rsid w:val="00C70C97"/>
    <w:rsid w:val="00C711D8"/>
    <w:rsid w:val="00C71290"/>
    <w:rsid w:val="00C71294"/>
    <w:rsid w:val="00C71461"/>
    <w:rsid w:val="00C715C7"/>
    <w:rsid w:val="00C715D9"/>
    <w:rsid w:val="00C720A5"/>
    <w:rsid w:val="00C72BA1"/>
    <w:rsid w:val="00C733C8"/>
    <w:rsid w:val="00C7340A"/>
    <w:rsid w:val="00C73B56"/>
    <w:rsid w:val="00C73FC8"/>
    <w:rsid w:val="00C74A15"/>
    <w:rsid w:val="00C74DE0"/>
    <w:rsid w:val="00C74E37"/>
    <w:rsid w:val="00C74F5A"/>
    <w:rsid w:val="00C74FAB"/>
    <w:rsid w:val="00C75D57"/>
    <w:rsid w:val="00C75F7C"/>
    <w:rsid w:val="00C76DA4"/>
    <w:rsid w:val="00C77C9E"/>
    <w:rsid w:val="00C77F02"/>
    <w:rsid w:val="00C81023"/>
    <w:rsid w:val="00C810F0"/>
    <w:rsid w:val="00C81289"/>
    <w:rsid w:val="00C81490"/>
    <w:rsid w:val="00C819C0"/>
    <w:rsid w:val="00C81E5D"/>
    <w:rsid w:val="00C81FBC"/>
    <w:rsid w:val="00C8230A"/>
    <w:rsid w:val="00C8236A"/>
    <w:rsid w:val="00C823D4"/>
    <w:rsid w:val="00C8243A"/>
    <w:rsid w:val="00C82CBC"/>
    <w:rsid w:val="00C82DC6"/>
    <w:rsid w:val="00C83188"/>
    <w:rsid w:val="00C832B1"/>
    <w:rsid w:val="00C8342E"/>
    <w:rsid w:val="00C83A23"/>
    <w:rsid w:val="00C83F81"/>
    <w:rsid w:val="00C847A7"/>
    <w:rsid w:val="00C850AC"/>
    <w:rsid w:val="00C851A9"/>
    <w:rsid w:val="00C85C5C"/>
    <w:rsid w:val="00C85D1B"/>
    <w:rsid w:val="00C85F31"/>
    <w:rsid w:val="00C8612B"/>
    <w:rsid w:val="00C86252"/>
    <w:rsid w:val="00C8651F"/>
    <w:rsid w:val="00C869C9"/>
    <w:rsid w:val="00C872B6"/>
    <w:rsid w:val="00C87766"/>
    <w:rsid w:val="00C90023"/>
    <w:rsid w:val="00C900C1"/>
    <w:rsid w:val="00C90441"/>
    <w:rsid w:val="00C90C15"/>
    <w:rsid w:val="00C90CA2"/>
    <w:rsid w:val="00C91382"/>
    <w:rsid w:val="00C91DDF"/>
    <w:rsid w:val="00C91E79"/>
    <w:rsid w:val="00C92DB7"/>
    <w:rsid w:val="00C9310A"/>
    <w:rsid w:val="00C9396D"/>
    <w:rsid w:val="00C93B59"/>
    <w:rsid w:val="00C94266"/>
    <w:rsid w:val="00C94A91"/>
    <w:rsid w:val="00C94D16"/>
    <w:rsid w:val="00C9512E"/>
    <w:rsid w:val="00C95328"/>
    <w:rsid w:val="00C95818"/>
    <w:rsid w:val="00C95831"/>
    <w:rsid w:val="00C965A9"/>
    <w:rsid w:val="00C96968"/>
    <w:rsid w:val="00C96C6A"/>
    <w:rsid w:val="00C97348"/>
    <w:rsid w:val="00C976D1"/>
    <w:rsid w:val="00C9787D"/>
    <w:rsid w:val="00CA00B6"/>
    <w:rsid w:val="00CA01FF"/>
    <w:rsid w:val="00CA1F76"/>
    <w:rsid w:val="00CA20FE"/>
    <w:rsid w:val="00CA243A"/>
    <w:rsid w:val="00CA2728"/>
    <w:rsid w:val="00CA3624"/>
    <w:rsid w:val="00CA3A81"/>
    <w:rsid w:val="00CA4076"/>
    <w:rsid w:val="00CA4150"/>
    <w:rsid w:val="00CA41A2"/>
    <w:rsid w:val="00CA4245"/>
    <w:rsid w:val="00CA48CE"/>
    <w:rsid w:val="00CA543D"/>
    <w:rsid w:val="00CA57A4"/>
    <w:rsid w:val="00CA5A3F"/>
    <w:rsid w:val="00CA61ED"/>
    <w:rsid w:val="00CA656D"/>
    <w:rsid w:val="00CA65FC"/>
    <w:rsid w:val="00CA6ACD"/>
    <w:rsid w:val="00CA6AD5"/>
    <w:rsid w:val="00CA7011"/>
    <w:rsid w:val="00CA70A5"/>
    <w:rsid w:val="00CA714C"/>
    <w:rsid w:val="00CA71F4"/>
    <w:rsid w:val="00CA74EF"/>
    <w:rsid w:val="00CA79BF"/>
    <w:rsid w:val="00CB031B"/>
    <w:rsid w:val="00CB05C3"/>
    <w:rsid w:val="00CB062B"/>
    <w:rsid w:val="00CB0A20"/>
    <w:rsid w:val="00CB0ECB"/>
    <w:rsid w:val="00CB1085"/>
    <w:rsid w:val="00CB12F8"/>
    <w:rsid w:val="00CB183A"/>
    <w:rsid w:val="00CB1C12"/>
    <w:rsid w:val="00CB2595"/>
    <w:rsid w:val="00CB2CF7"/>
    <w:rsid w:val="00CB34DB"/>
    <w:rsid w:val="00CB3546"/>
    <w:rsid w:val="00CB3CB4"/>
    <w:rsid w:val="00CB4AF0"/>
    <w:rsid w:val="00CB5275"/>
    <w:rsid w:val="00CB52B1"/>
    <w:rsid w:val="00CB5D7C"/>
    <w:rsid w:val="00CB5F87"/>
    <w:rsid w:val="00CB5FB5"/>
    <w:rsid w:val="00CB6635"/>
    <w:rsid w:val="00CB6674"/>
    <w:rsid w:val="00CB685F"/>
    <w:rsid w:val="00CB6923"/>
    <w:rsid w:val="00CB7263"/>
    <w:rsid w:val="00CB751D"/>
    <w:rsid w:val="00CB776D"/>
    <w:rsid w:val="00CB79CF"/>
    <w:rsid w:val="00CB7F37"/>
    <w:rsid w:val="00CC005F"/>
    <w:rsid w:val="00CC00BD"/>
    <w:rsid w:val="00CC02B6"/>
    <w:rsid w:val="00CC08A2"/>
    <w:rsid w:val="00CC08D8"/>
    <w:rsid w:val="00CC0AC1"/>
    <w:rsid w:val="00CC0D68"/>
    <w:rsid w:val="00CC16A7"/>
    <w:rsid w:val="00CC1A35"/>
    <w:rsid w:val="00CC2092"/>
    <w:rsid w:val="00CC2134"/>
    <w:rsid w:val="00CC253A"/>
    <w:rsid w:val="00CC2A65"/>
    <w:rsid w:val="00CC3460"/>
    <w:rsid w:val="00CC3522"/>
    <w:rsid w:val="00CC39BC"/>
    <w:rsid w:val="00CC3D59"/>
    <w:rsid w:val="00CC42E6"/>
    <w:rsid w:val="00CC4E09"/>
    <w:rsid w:val="00CC5F90"/>
    <w:rsid w:val="00CC6B3F"/>
    <w:rsid w:val="00CC6D51"/>
    <w:rsid w:val="00CC761C"/>
    <w:rsid w:val="00CC77B8"/>
    <w:rsid w:val="00CC7EB0"/>
    <w:rsid w:val="00CC7F51"/>
    <w:rsid w:val="00CD07E2"/>
    <w:rsid w:val="00CD0D94"/>
    <w:rsid w:val="00CD0E82"/>
    <w:rsid w:val="00CD1551"/>
    <w:rsid w:val="00CD1CF7"/>
    <w:rsid w:val="00CD2043"/>
    <w:rsid w:val="00CD21A3"/>
    <w:rsid w:val="00CD276F"/>
    <w:rsid w:val="00CD2BC2"/>
    <w:rsid w:val="00CD2BFE"/>
    <w:rsid w:val="00CD2DD3"/>
    <w:rsid w:val="00CD36BC"/>
    <w:rsid w:val="00CD3892"/>
    <w:rsid w:val="00CD3DF5"/>
    <w:rsid w:val="00CD3F85"/>
    <w:rsid w:val="00CD4385"/>
    <w:rsid w:val="00CD4498"/>
    <w:rsid w:val="00CD47FD"/>
    <w:rsid w:val="00CD4B7E"/>
    <w:rsid w:val="00CD4DCE"/>
    <w:rsid w:val="00CD53F9"/>
    <w:rsid w:val="00CD552C"/>
    <w:rsid w:val="00CD56B9"/>
    <w:rsid w:val="00CD56C5"/>
    <w:rsid w:val="00CD57D4"/>
    <w:rsid w:val="00CD5819"/>
    <w:rsid w:val="00CD5AB3"/>
    <w:rsid w:val="00CD5FB0"/>
    <w:rsid w:val="00CD6079"/>
    <w:rsid w:val="00CE047B"/>
    <w:rsid w:val="00CE08C5"/>
    <w:rsid w:val="00CE09FF"/>
    <w:rsid w:val="00CE16EF"/>
    <w:rsid w:val="00CE1816"/>
    <w:rsid w:val="00CE1D56"/>
    <w:rsid w:val="00CE1EB6"/>
    <w:rsid w:val="00CE2196"/>
    <w:rsid w:val="00CE25BF"/>
    <w:rsid w:val="00CE2E10"/>
    <w:rsid w:val="00CE34D4"/>
    <w:rsid w:val="00CE3B4D"/>
    <w:rsid w:val="00CE42ED"/>
    <w:rsid w:val="00CE446F"/>
    <w:rsid w:val="00CE4860"/>
    <w:rsid w:val="00CE4B8A"/>
    <w:rsid w:val="00CE4CCE"/>
    <w:rsid w:val="00CE4D47"/>
    <w:rsid w:val="00CE51CA"/>
    <w:rsid w:val="00CE562F"/>
    <w:rsid w:val="00CE5BB3"/>
    <w:rsid w:val="00CE5BBA"/>
    <w:rsid w:val="00CE5E24"/>
    <w:rsid w:val="00CE67C2"/>
    <w:rsid w:val="00CE6E42"/>
    <w:rsid w:val="00CE6ECA"/>
    <w:rsid w:val="00CE70CD"/>
    <w:rsid w:val="00CE7211"/>
    <w:rsid w:val="00CE745B"/>
    <w:rsid w:val="00CF04AA"/>
    <w:rsid w:val="00CF1C71"/>
    <w:rsid w:val="00CF2175"/>
    <w:rsid w:val="00CF32D0"/>
    <w:rsid w:val="00CF3740"/>
    <w:rsid w:val="00CF3DB0"/>
    <w:rsid w:val="00CF4710"/>
    <w:rsid w:val="00CF4F27"/>
    <w:rsid w:val="00CF5837"/>
    <w:rsid w:val="00CF58CE"/>
    <w:rsid w:val="00CF609D"/>
    <w:rsid w:val="00CF6127"/>
    <w:rsid w:val="00CF62AC"/>
    <w:rsid w:val="00CF6DD9"/>
    <w:rsid w:val="00CF72BA"/>
    <w:rsid w:val="00CF732A"/>
    <w:rsid w:val="00CF777F"/>
    <w:rsid w:val="00CF7BB6"/>
    <w:rsid w:val="00CF7DAB"/>
    <w:rsid w:val="00D004AE"/>
    <w:rsid w:val="00D00600"/>
    <w:rsid w:val="00D00E5F"/>
    <w:rsid w:val="00D00EBC"/>
    <w:rsid w:val="00D00EF0"/>
    <w:rsid w:val="00D0113F"/>
    <w:rsid w:val="00D01252"/>
    <w:rsid w:val="00D012D9"/>
    <w:rsid w:val="00D0136F"/>
    <w:rsid w:val="00D014D9"/>
    <w:rsid w:val="00D0154B"/>
    <w:rsid w:val="00D01608"/>
    <w:rsid w:val="00D01A17"/>
    <w:rsid w:val="00D01E57"/>
    <w:rsid w:val="00D034DF"/>
    <w:rsid w:val="00D03B90"/>
    <w:rsid w:val="00D03CCF"/>
    <w:rsid w:val="00D04145"/>
    <w:rsid w:val="00D04CB7"/>
    <w:rsid w:val="00D05906"/>
    <w:rsid w:val="00D06101"/>
    <w:rsid w:val="00D0611E"/>
    <w:rsid w:val="00D07698"/>
    <w:rsid w:val="00D07817"/>
    <w:rsid w:val="00D07857"/>
    <w:rsid w:val="00D07BDC"/>
    <w:rsid w:val="00D10590"/>
    <w:rsid w:val="00D10821"/>
    <w:rsid w:val="00D109C6"/>
    <w:rsid w:val="00D10A00"/>
    <w:rsid w:val="00D10B47"/>
    <w:rsid w:val="00D10D1C"/>
    <w:rsid w:val="00D10DBC"/>
    <w:rsid w:val="00D1149A"/>
    <w:rsid w:val="00D12336"/>
    <w:rsid w:val="00D12456"/>
    <w:rsid w:val="00D12547"/>
    <w:rsid w:val="00D12580"/>
    <w:rsid w:val="00D128EC"/>
    <w:rsid w:val="00D134A4"/>
    <w:rsid w:val="00D13E6D"/>
    <w:rsid w:val="00D140E9"/>
    <w:rsid w:val="00D141ED"/>
    <w:rsid w:val="00D1438D"/>
    <w:rsid w:val="00D14B24"/>
    <w:rsid w:val="00D1535D"/>
    <w:rsid w:val="00D1541A"/>
    <w:rsid w:val="00D156FE"/>
    <w:rsid w:val="00D15989"/>
    <w:rsid w:val="00D159D8"/>
    <w:rsid w:val="00D15C03"/>
    <w:rsid w:val="00D163BC"/>
    <w:rsid w:val="00D16EC3"/>
    <w:rsid w:val="00D172EA"/>
    <w:rsid w:val="00D17535"/>
    <w:rsid w:val="00D17BB9"/>
    <w:rsid w:val="00D20025"/>
    <w:rsid w:val="00D20494"/>
    <w:rsid w:val="00D20AAD"/>
    <w:rsid w:val="00D20AEB"/>
    <w:rsid w:val="00D21640"/>
    <w:rsid w:val="00D2177C"/>
    <w:rsid w:val="00D21BB3"/>
    <w:rsid w:val="00D21CEB"/>
    <w:rsid w:val="00D21F90"/>
    <w:rsid w:val="00D22626"/>
    <w:rsid w:val="00D2288B"/>
    <w:rsid w:val="00D247BB"/>
    <w:rsid w:val="00D24837"/>
    <w:rsid w:val="00D2484A"/>
    <w:rsid w:val="00D24897"/>
    <w:rsid w:val="00D2593B"/>
    <w:rsid w:val="00D25AAC"/>
    <w:rsid w:val="00D25B38"/>
    <w:rsid w:val="00D26B71"/>
    <w:rsid w:val="00D26BFE"/>
    <w:rsid w:val="00D26CE0"/>
    <w:rsid w:val="00D26E04"/>
    <w:rsid w:val="00D27BF5"/>
    <w:rsid w:val="00D30257"/>
    <w:rsid w:val="00D30351"/>
    <w:rsid w:val="00D303CC"/>
    <w:rsid w:val="00D30478"/>
    <w:rsid w:val="00D30776"/>
    <w:rsid w:val="00D30B0F"/>
    <w:rsid w:val="00D30C86"/>
    <w:rsid w:val="00D311A2"/>
    <w:rsid w:val="00D31404"/>
    <w:rsid w:val="00D314CD"/>
    <w:rsid w:val="00D319A9"/>
    <w:rsid w:val="00D31AFA"/>
    <w:rsid w:val="00D31D7A"/>
    <w:rsid w:val="00D323E3"/>
    <w:rsid w:val="00D331F5"/>
    <w:rsid w:val="00D332FD"/>
    <w:rsid w:val="00D33630"/>
    <w:rsid w:val="00D339E6"/>
    <w:rsid w:val="00D34288"/>
    <w:rsid w:val="00D34330"/>
    <w:rsid w:val="00D3461D"/>
    <w:rsid w:val="00D34AAD"/>
    <w:rsid w:val="00D34DFE"/>
    <w:rsid w:val="00D350CF"/>
    <w:rsid w:val="00D3568B"/>
    <w:rsid w:val="00D35F9B"/>
    <w:rsid w:val="00D36244"/>
    <w:rsid w:val="00D3651C"/>
    <w:rsid w:val="00D37CE1"/>
    <w:rsid w:val="00D37D54"/>
    <w:rsid w:val="00D37E66"/>
    <w:rsid w:val="00D40077"/>
    <w:rsid w:val="00D400AE"/>
    <w:rsid w:val="00D41064"/>
    <w:rsid w:val="00D4134D"/>
    <w:rsid w:val="00D41437"/>
    <w:rsid w:val="00D4181F"/>
    <w:rsid w:val="00D4191B"/>
    <w:rsid w:val="00D41CE5"/>
    <w:rsid w:val="00D41D63"/>
    <w:rsid w:val="00D4210F"/>
    <w:rsid w:val="00D42165"/>
    <w:rsid w:val="00D4253D"/>
    <w:rsid w:val="00D4335D"/>
    <w:rsid w:val="00D435FD"/>
    <w:rsid w:val="00D43DAC"/>
    <w:rsid w:val="00D4445D"/>
    <w:rsid w:val="00D44663"/>
    <w:rsid w:val="00D44B97"/>
    <w:rsid w:val="00D44DF3"/>
    <w:rsid w:val="00D44E13"/>
    <w:rsid w:val="00D45D3B"/>
    <w:rsid w:val="00D46363"/>
    <w:rsid w:val="00D466E4"/>
    <w:rsid w:val="00D470D6"/>
    <w:rsid w:val="00D472DF"/>
    <w:rsid w:val="00D47DF0"/>
    <w:rsid w:val="00D47F21"/>
    <w:rsid w:val="00D506C3"/>
    <w:rsid w:val="00D50C54"/>
    <w:rsid w:val="00D5136A"/>
    <w:rsid w:val="00D5161B"/>
    <w:rsid w:val="00D51ED0"/>
    <w:rsid w:val="00D52044"/>
    <w:rsid w:val="00D52115"/>
    <w:rsid w:val="00D524B0"/>
    <w:rsid w:val="00D524E9"/>
    <w:rsid w:val="00D52913"/>
    <w:rsid w:val="00D52D7D"/>
    <w:rsid w:val="00D53806"/>
    <w:rsid w:val="00D53E40"/>
    <w:rsid w:val="00D5444A"/>
    <w:rsid w:val="00D5449F"/>
    <w:rsid w:val="00D54AA1"/>
    <w:rsid w:val="00D5533C"/>
    <w:rsid w:val="00D558B4"/>
    <w:rsid w:val="00D55A36"/>
    <w:rsid w:val="00D55A61"/>
    <w:rsid w:val="00D55E92"/>
    <w:rsid w:val="00D564E2"/>
    <w:rsid w:val="00D56F9E"/>
    <w:rsid w:val="00D571E1"/>
    <w:rsid w:val="00D5782D"/>
    <w:rsid w:val="00D578CF"/>
    <w:rsid w:val="00D60197"/>
    <w:rsid w:val="00D60461"/>
    <w:rsid w:val="00D606C1"/>
    <w:rsid w:val="00D607F0"/>
    <w:rsid w:val="00D61D11"/>
    <w:rsid w:val="00D62342"/>
    <w:rsid w:val="00D6244D"/>
    <w:rsid w:val="00D624BC"/>
    <w:rsid w:val="00D624C2"/>
    <w:rsid w:val="00D6268F"/>
    <w:rsid w:val="00D6293A"/>
    <w:rsid w:val="00D62A95"/>
    <w:rsid w:val="00D62B32"/>
    <w:rsid w:val="00D63467"/>
    <w:rsid w:val="00D63F58"/>
    <w:rsid w:val="00D6403A"/>
    <w:rsid w:val="00D6408E"/>
    <w:rsid w:val="00D64372"/>
    <w:rsid w:val="00D65CBB"/>
    <w:rsid w:val="00D66509"/>
    <w:rsid w:val="00D667A6"/>
    <w:rsid w:val="00D66965"/>
    <w:rsid w:val="00D66D81"/>
    <w:rsid w:val="00D66D90"/>
    <w:rsid w:val="00D676C8"/>
    <w:rsid w:val="00D67997"/>
    <w:rsid w:val="00D703F7"/>
    <w:rsid w:val="00D70A36"/>
    <w:rsid w:val="00D70A43"/>
    <w:rsid w:val="00D711AC"/>
    <w:rsid w:val="00D716C8"/>
    <w:rsid w:val="00D71709"/>
    <w:rsid w:val="00D71BF5"/>
    <w:rsid w:val="00D71EBF"/>
    <w:rsid w:val="00D72602"/>
    <w:rsid w:val="00D72AA3"/>
    <w:rsid w:val="00D73BFE"/>
    <w:rsid w:val="00D73D1E"/>
    <w:rsid w:val="00D73FDF"/>
    <w:rsid w:val="00D7458C"/>
    <w:rsid w:val="00D74854"/>
    <w:rsid w:val="00D74E11"/>
    <w:rsid w:val="00D75534"/>
    <w:rsid w:val="00D7625B"/>
    <w:rsid w:val="00D76466"/>
    <w:rsid w:val="00D76B36"/>
    <w:rsid w:val="00D76B38"/>
    <w:rsid w:val="00D76F88"/>
    <w:rsid w:val="00D76F92"/>
    <w:rsid w:val="00D77109"/>
    <w:rsid w:val="00D7732E"/>
    <w:rsid w:val="00D773C1"/>
    <w:rsid w:val="00D773D3"/>
    <w:rsid w:val="00D77D2F"/>
    <w:rsid w:val="00D8029B"/>
    <w:rsid w:val="00D80309"/>
    <w:rsid w:val="00D8048C"/>
    <w:rsid w:val="00D80C7F"/>
    <w:rsid w:val="00D80E19"/>
    <w:rsid w:val="00D80F02"/>
    <w:rsid w:val="00D814B3"/>
    <w:rsid w:val="00D81F99"/>
    <w:rsid w:val="00D822D5"/>
    <w:rsid w:val="00D8239B"/>
    <w:rsid w:val="00D825DC"/>
    <w:rsid w:val="00D83761"/>
    <w:rsid w:val="00D8408B"/>
    <w:rsid w:val="00D858F1"/>
    <w:rsid w:val="00D85C0E"/>
    <w:rsid w:val="00D85E74"/>
    <w:rsid w:val="00D86563"/>
    <w:rsid w:val="00D86569"/>
    <w:rsid w:val="00D865EB"/>
    <w:rsid w:val="00D87279"/>
    <w:rsid w:val="00D875DC"/>
    <w:rsid w:val="00D87CC2"/>
    <w:rsid w:val="00D87F4C"/>
    <w:rsid w:val="00D90DD0"/>
    <w:rsid w:val="00D91BB8"/>
    <w:rsid w:val="00D92470"/>
    <w:rsid w:val="00D92CDF"/>
    <w:rsid w:val="00D92DE0"/>
    <w:rsid w:val="00D92F93"/>
    <w:rsid w:val="00D932E7"/>
    <w:rsid w:val="00D9380E"/>
    <w:rsid w:val="00D93938"/>
    <w:rsid w:val="00D93A4D"/>
    <w:rsid w:val="00D93BE8"/>
    <w:rsid w:val="00D94546"/>
    <w:rsid w:val="00D94C37"/>
    <w:rsid w:val="00D94D95"/>
    <w:rsid w:val="00D952B6"/>
    <w:rsid w:val="00D95447"/>
    <w:rsid w:val="00D9593E"/>
    <w:rsid w:val="00D95D2A"/>
    <w:rsid w:val="00D960FE"/>
    <w:rsid w:val="00D9656B"/>
    <w:rsid w:val="00D968CF"/>
    <w:rsid w:val="00D96BD5"/>
    <w:rsid w:val="00D96FE6"/>
    <w:rsid w:val="00D97012"/>
    <w:rsid w:val="00D97295"/>
    <w:rsid w:val="00D976E3"/>
    <w:rsid w:val="00DA055E"/>
    <w:rsid w:val="00DA0F8A"/>
    <w:rsid w:val="00DA112D"/>
    <w:rsid w:val="00DA1404"/>
    <w:rsid w:val="00DA1E12"/>
    <w:rsid w:val="00DA25FF"/>
    <w:rsid w:val="00DA26DC"/>
    <w:rsid w:val="00DA34F8"/>
    <w:rsid w:val="00DA4E19"/>
    <w:rsid w:val="00DA5978"/>
    <w:rsid w:val="00DA5B2B"/>
    <w:rsid w:val="00DA6C07"/>
    <w:rsid w:val="00DA709C"/>
    <w:rsid w:val="00DA72F7"/>
    <w:rsid w:val="00DA7403"/>
    <w:rsid w:val="00DA7ED1"/>
    <w:rsid w:val="00DB04FC"/>
    <w:rsid w:val="00DB0759"/>
    <w:rsid w:val="00DB1170"/>
    <w:rsid w:val="00DB1652"/>
    <w:rsid w:val="00DB1C33"/>
    <w:rsid w:val="00DB2298"/>
    <w:rsid w:val="00DB22C4"/>
    <w:rsid w:val="00DB3051"/>
    <w:rsid w:val="00DB429C"/>
    <w:rsid w:val="00DB46C6"/>
    <w:rsid w:val="00DB5044"/>
    <w:rsid w:val="00DB56A2"/>
    <w:rsid w:val="00DB6084"/>
    <w:rsid w:val="00DB6139"/>
    <w:rsid w:val="00DB62C0"/>
    <w:rsid w:val="00DB6C89"/>
    <w:rsid w:val="00DB7090"/>
    <w:rsid w:val="00DB70C4"/>
    <w:rsid w:val="00DB7A56"/>
    <w:rsid w:val="00DB7B03"/>
    <w:rsid w:val="00DC0184"/>
    <w:rsid w:val="00DC1C3B"/>
    <w:rsid w:val="00DC23D4"/>
    <w:rsid w:val="00DC24E7"/>
    <w:rsid w:val="00DC28D0"/>
    <w:rsid w:val="00DC39B8"/>
    <w:rsid w:val="00DC3C51"/>
    <w:rsid w:val="00DC3D4A"/>
    <w:rsid w:val="00DC40E9"/>
    <w:rsid w:val="00DC4F72"/>
    <w:rsid w:val="00DC4F85"/>
    <w:rsid w:val="00DC52CE"/>
    <w:rsid w:val="00DC5362"/>
    <w:rsid w:val="00DC5750"/>
    <w:rsid w:val="00DC5BFC"/>
    <w:rsid w:val="00DC623A"/>
    <w:rsid w:val="00DC67FF"/>
    <w:rsid w:val="00DC6CBB"/>
    <w:rsid w:val="00DC6CD5"/>
    <w:rsid w:val="00DC6E13"/>
    <w:rsid w:val="00DC6EA1"/>
    <w:rsid w:val="00DC74D5"/>
    <w:rsid w:val="00DC7503"/>
    <w:rsid w:val="00DC7749"/>
    <w:rsid w:val="00DC7769"/>
    <w:rsid w:val="00DC7AE8"/>
    <w:rsid w:val="00DC7B5D"/>
    <w:rsid w:val="00DD02EC"/>
    <w:rsid w:val="00DD14D3"/>
    <w:rsid w:val="00DD1A16"/>
    <w:rsid w:val="00DD1BCA"/>
    <w:rsid w:val="00DD2A27"/>
    <w:rsid w:val="00DD2F24"/>
    <w:rsid w:val="00DD3384"/>
    <w:rsid w:val="00DD3AF0"/>
    <w:rsid w:val="00DD3C64"/>
    <w:rsid w:val="00DD3FB6"/>
    <w:rsid w:val="00DD47F9"/>
    <w:rsid w:val="00DD4BBE"/>
    <w:rsid w:val="00DD4BE2"/>
    <w:rsid w:val="00DD52E6"/>
    <w:rsid w:val="00DD6473"/>
    <w:rsid w:val="00DD68E4"/>
    <w:rsid w:val="00DD69E5"/>
    <w:rsid w:val="00DD6CAB"/>
    <w:rsid w:val="00DD700B"/>
    <w:rsid w:val="00DD7609"/>
    <w:rsid w:val="00DD7692"/>
    <w:rsid w:val="00DD7804"/>
    <w:rsid w:val="00DD7860"/>
    <w:rsid w:val="00DD7929"/>
    <w:rsid w:val="00DD7A96"/>
    <w:rsid w:val="00DD7BAD"/>
    <w:rsid w:val="00DD7D27"/>
    <w:rsid w:val="00DE0408"/>
    <w:rsid w:val="00DE09C0"/>
    <w:rsid w:val="00DE0C3C"/>
    <w:rsid w:val="00DE0D00"/>
    <w:rsid w:val="00DE13C0"/>
    <w:rsid w:val="00DE1453"/>
    <w:rsid w:val="00DE1AD2"/>
    <w:rsid w:val="00DE1B8E"/>
    <w:rsid w:val="00DE1B99"/>
    <w:rsid w:val="00DE1BB8"/>
    <w:rsid w:val="00DE203B"/>
    <w:rsid w:val="00DE2106"/>
    <w:rsid w:val="00DE24BF"/>
    <w:rsid w:val="00DE26D5"/>
    <w:rsid w:val="00DE280D"/>
    <w:rsid w:val="00DE2870"/>
    <w:rsid w:val="00DE3471"/>
    <w:rsid w:val="00DE38D8"/>
    <w:rsid w:val="00DE39FE"/>
    <w:rsid w:val="00DE3CEB"/>
    <w:rsid w:val="00DE464C"/>
    <w:rsid w:val="00DE47C6"/>
    <w:rsid w:val="00DE51BA"/>
    <w:rsid w:val="00DE51FB"/>
    <w:rsid w:val="00DE61E7"/>
    <w:rsid w:val="00DE64FE"/>
    <w:rsid w:val="00DE7008"/>
    <w:rsid w:val="00DE735F"/>
    <w:rsid w:val="00DF04B8"/>
    <w:rsid w:val="00DF0634"/>
    <w:rsid w:val="00DF0BFB"/>
    <w:rsid w:val="00DF1F60"/>
    <w:rsid w:val="00DF3112"/>
    <w:rsid w:val="00DF3BB2"/>
    <w:rsid w:val="00DF3F8E"/>
    <w:rsid w:val="00DF47BE"/>
    <w:rsid w:val="00DF4E3A"/>
    <w:rsid w:val="00DF5232"/>
    <w:rsid w:val="00DF533B"/>
    <w:rsid w:val="00DF536A"/>
    <w:rsid w:val="00DF5C30"/>
    <w:rsid w:val="00DF5C80"/>
    <w:rsid w:val="00DF6340"/>
    <w:rsid w:val="00DF64A4"/>
    <w:rsid w:val="00DF7242"/>
    <w:rsid w:val="00DF7295"/>
    <w:rsid w:val="00DF789B"/>
    <w:rsid w:val="00DF7A84"/>
    <w:rsid w:val="00DF7D25"/>
    <w:rsid w:val="00DF7E58"/>
    <w:rsid w:val="00DF7F71"/>
    <w:rsid w:val="00E00198"/>
    <w:rsid w:val="00E001A2"/>
    <w:rsid w:val="00E00615"/>
    <w:rsid w:val="00E00816"/>
    <w:rsid w:val="00E00D0E"/>
    <w:rsid w:val="00E014C6"/>
    <w:rsid w:val="00E01A91"/>
    <w:rsid w:val="00E01D51"/>
    <w:rsid w:val="00E01E8C"/>
    <w:rsid w:val="00E02F63"/>
    <w:rsid w:val="00E035F0"/>
    <w:rsid w:val="00E03C35"/>
    <w:rsid w:val="00E044F9"/>
    <w:rsid w:val="00E04E01"/>
    <w:rsid w:val="00E05976"/>
    <w:rsid w:val="00E06937"/>
    <w:rsid w:val="00E06B0C"/>
    <w:rsid w:val="00E07A28"/>
    <w:rsid w:val="00E07BD0"/>
    <w:rsid w:val="00E10BE8"/>
    <w:rsid w:val="00E10FBD"/>
    <w:rsid w:val="00E119CB"/>
    <w:rsid w:val="00E11D10"/>
    <w:rsid w:val="00E12C8A"/>
    <w:rsid w:val="00E13468"/>
    <w:rsid w:val="00E13490"/>
    <w:rsid w:val="00E13A67"/>
    <w:rsid w:val="00E13BCE"/>
    <w:rsid w:val="00E14DC3"/>
    <w:rsid w:val="00E1505A"/>
    <w:rsid w:val="00E15935"/>
    <w:rsid w:val="00E15AEB"/>
    <w:rsid w:val="00E15B7A"/>
    <w:rsid w:val="00E15CD9"/>
    <w:rsid w:val="00E15F52"/>
    <w:rsid w:val="00E16229"/>
    <w:rsid w:val="00E16B34"/>
    <w:rsid w:val="00E16CFB"/>
    <w:rsid w:val="00E1760A"/>
    <w:rsid w:val="00E17B55"/>
    <w:rsid w:val="00E17CBB"/>
    <w:rsid w:val="00E17D6C"/>
    <w:rsid w:val="00E20065"/>
    <w:rsid w:val="00E2041A"/>
    <w:rsid w:val="00E20DCD"/>
    <w:rsid w:val="00E21426"/>
    <w:rsid w:val="00E21730"/>
    <w:rsid w:val="00E21F21"/>
    <w:rsid w:val="00E21F3D"/>
    <w:rsid w:val="00E22900"/>
    <w:rsid w:val="00E22DEE"/>
    <w:rsid w:val="00E22F59"/>
    <w:rsid w:val="00E23071"/>
    <w:rsid w:val="00E23319"/>
    <w:rsid w:val="00E23B65"/>
    <w:rsid w:val="00E23CC4"/>
    <w:rsid w:val="00E24FB0"/>
    <w:rsid w:val="00E25146"/>
    <w:rsid w:val="00E2520D"/>
    <w:rsid w:val="00E25574"/>
    <w:rsid w:val="00E25837"/>
    <w:rsid w:val="00E258F7"/>
    <w:rsid w:val="00E25967"/>
    <w:rsid w:val="00E25E87"/>
    <w:rsid w:val="00E264B3"/>
    <w:rsid w:val="00E266A5"/>
    <w:rsid w:val="00E26B51"/>
    <w:rsid w:val="00E27045"/>
    <w:rsid w:val="00E2715B"/>
    <w:rsid w:val="00E27252"/>
    <w:rsid w:val="00E274C7"/>
    <w:rsid w:val="00E301AF"/>
    <w:rsid w:val="00E3069E"/>
    <w:rsid w:val="00E309AA"/>
    <w:rsid w:val="00E31029"/>
    <w:rsid w:val="00E3147C"/>
    <w:rsid w:val="00E3158B"/>
    <w:rsid w:val="00E31E7B"/>
    <w:rsid w:val="00E323DC"/>
    <w:rsid w:val="00E3241C"/>
    <w:rsid w:val="00E32439"/>
    <w:rsid w:val="00E32E0E"/>
    <w:rsid w:val="00E32E89"/>
    <w:rsid w:val="00E32F2C"/>
    <w:rsid w:val="00E33F66"/>
    <w:rsid w:val="00E35064"/>
    <w:rsid w:val="00E352FD"/>
    <w:rsid w:val="00E3544D"/>
    <w:rsid w:val="00E3587B"/>
    <w:rsid w:val="00E358D9"/>
    <w:rsid w:val="00E36178"/>
    <w:rsid w:val="00E363CB"/>
    <w:rsid w:val="00E37484"/>
    <w:rsid w:val="00E40091"/>
    <w:rsid w:val="00E40A17"/>
    <w:rsid w:val="00E40BCE"/>
    <w:rsid w:val="00E40BCF"/>
    <w:rsid w:val="00E40CD3"/>
    <w:rsid w:val="00E410D6"/>
    <w:rsid w:val="00E41126"/>
    <w:rsid w:val="00E41721"/>
    <w:rsid w:val="00E4175B"/>
    <w:rsid w:val="00E418AF"/>
    <w:rsid w:val="00E41924"/>
    <w:rsid w:val="00E41B27"/>
    <w:rsid w:val="00E41CD2"/>
    <w:rsid w:val="00E41F68"/>
    <w:rsid w:val="00E41FEC"/>
    <w:rsid w:val="00E42248"/>
    <w:rsid w:val="00E42816"/>
    <w:rsid w:val="00E42FF6"/>
    <w:rsid w:val="00E4321F"/>
    <w:rsid w:val="00E4341A"/>
    <w:rsid w:val="00E43BEB"/>
    <w:rsid w:val="00E43D81"/>
    <w:rsid w:val="00E43E84"/>
    <w:rsid w:val="00E44142"/>
    <w:rsid w:val="00E44E7C"/>
    <w:rsid w:val="00E44E80"/>
    <w:rsid w:val="00E44FD7"/>
    <w:rsid w:val="00E4504D"/>
    <w:rsid w:val="00E45979"/>
    <w:rsid w:val="00E45EB2"/>
    <w:rsid w:val="00E46380"/>
    <w:rsid w:val="00E46544"/>
    <w:rsid w:val="00E46610"/>
    <w:rsid w:val="00E46769"/>
    <w:rsid w:val="00E47213"/>
    <w:rsid w:val="00E47A47"/>
    <w:rsid w:val="00E47CD9"/>
    <w:rsid w:val="00E47F5D"/>
    <w:rsid w:val="00E50D5D"/>
    <w:rsid w:val="00E50F4B"/>
    <w:rsid w:val="00E50F7E"/>
    <w:rsid w:val="00E5122E"/>
    <w:rsid w:val="00E52106"/>
    <w:rsid w:val="00E52110"/>
    <w:rsid w:val="00E529F7"/>
    <w:rsid w:val="00E52A65"/>
    <w:rsid w:val="00E530CE"/>
    <w:rsid w:val="00E5314C"/>
    <w:rsid w:val="00E533C8"/>
    <w:rsid w:val="00E53940"/>
    <w:rsid w:val="00E5434D"/>
    <w:rsid w:val="00E5460E"/>
    <w:rsid w:val="00E55DEE"/>
    <w:rsid w:val="00E56294"/>
    <w:rsid w:val="00E56586"/>
    <w:rsid w:val="00E5660C"/>
    <w:rsid w:val="00E5684D"/>
    <w:rsid w:val="00E571AC"/>
    <w:rsid w:val="00E578D0"/>
    <w:rsid w:val="00E578F0"/>
    <w:rsid w:val="00E57A5F"/>
    <w:rsid w:val="00E57B20"/>
    <w:rsid w:val="00E57BA6"/>
    <w:rsid w:val="00E607B4"/>
    <w:rsid w:val="00E60F7E"/>
    <w:rsid w:val="00E61190"/>
    <w:rsid w:val="00E616E6"/>
    <w:rsid w:val="00E61C8C"/>
    <w:rsid w:val="00E61F55"/>
    <w:rsid w:val="00E61F9E"/>
    <w:rsid w:val="00E63C53"/>
    <w:rsid w:val="00E63C89"/>
    <w:rsid w:val="00E645F3"/>
    <w:rsid w:val="00E64CE1"/>
    <w:rsid w:val="00E64ED2"/>
    <w:rsid w:val="00E65169"/>
    <w:rsid w:val="00E65329"/>
    <w:rsid w:val="00E65593"/>
    <w:rsid w:val="00E65BAC"/>
    <w:rsid w:val="00E65C07"/>
    <w:rsid w:val="00E6681D"/>
    <w:rsid w:val="00E669E5"/>
    <w:rsid w:val="00E66A2E"/>
    <w:rsid w:val="00E66AB4"/>
    <w:rsid w:val="00E6733B"/>
    <w:rsid w:val="00E6740D"/>
    <w:rsid w:val="00E67C8A"/>
    <w:rsid w:val="00E67E93"/>
    <w:rsid w:val="00E701BD"/>
    <w:rsid w:val="00E7129E"/>
    <w:rsid w:val="00E714BD"/>
    <w:rsid w:val="00E71A1A"/>
    <w:rsid w:val="00E71FBB"/>
    <w:rsid w:val="00E720DE"/>
    <w:rsid w:val="00E7269E"/>
    <w:rsid w:val="00E727A5"/>
    <w:rsid w:val="00E72B85"/>
    <w:rsid w:val="00E72FEB"/>
    <w:rsid w:val="00E730C6"/>
    <w:rsid w:val="00E732DC"/>
    <w:rsid w:val="00E735A3"/>
    <w:rsid w:val="00E73820"/>
    <w:rsid w:val="00E73BE5"/>
    <w:rsid w:val="00E744B1"/>
    <w:rsid w:val="00E74B9B"/>
    <w:rsid w:val="00E74C67"/>
    <w:rsid w:val="00E74FAD"/>
    <w:rsid w:val="00E750A4"/>
    <w:rsid w:val="00E753F5"/>
    <w:rsid w:val="00E7542C"/>
    <w:rsid w:val="00E75826"/>
    <w:rsid w:val="00E758E1"/>
    <w:rsid w:val="00E75976"/>
    <w:rsid w:val="00E75D9B"/>
    <w:rsid w:val="00E75F14"/>
    <w:rsid w:val="00E763F1"/>
    <w:rsid w:val="00E76668"/>
    <w:rsid w:val="00E76A22"/>
    <w:rsid w:val="00E76C94"/>
    <w:rsid w:val="00E77827"/>
    <w:rsid w:val="00E77928"/>
    <w:rsid w:val="00E77C43"/>
    <w:rsid w:val="00E77E49"/>
    <w:rsid w:val="00E8050B"/>
    <w:rsid w:val="00E80DCA"/>
    <w:rsid w:val="00E80DE5"/>
    <w:rsid w:val="00E81C12"/>
    <w:rsid w:val="00E81CD5"/>
    <w:rsid w:val="00E82061"/>
    <w:rsid w:val="00E82394"/>
    <w:rsid w:val="00E8244F"/>
    <w:rsid w:val="00E82739"/>
    <w:rsid w:val="00E8283D"/>
    <w:rsid w:val="00E82D56"/>
    <w:rsid w:val="00E8344B"/>
    <w:rsid w:val="00E8367A"/>
    <w:rsid w:val="00E83840"/>
    <w:rsid w:val="00E83B85"/>
    <w:rsid w:val="00E83D12"/>
    <w:rsid w:val="00E85115"/>
    <w:rsid w:val="00E8532D"/>
    <w:rsid w:val="00E855E9"/>
    <w:rsid w:val="00E857AC"/>
    <w:rsid w:val="00E862A3"/>
    <w:rsid w:val="00E86382"/>
    <w:rsid w:val="00E863E3"/>
    <w:rsid w:val="00E86839"/>
    <w:rsid w:val="00E87E19"/>
    <w:rsid w:val="00E87EE4"/>
    <w:rsid w:val="00E9061C"/>
    <w:rsid w:val="00E9124D"/>
    <w:rsid w:val="00E9128D"/>
    <w:rsid w:val="00E9131A"/>
    <w:rsid w:val="00E91847"/>
    <w:rsid w:val="00E921C4"/>
    <w:rsid w:val="00E9296C"/>
    <w:rsid w:val="00E93019"/>
    <w:rsid w:val="00E943ED"/>
    <w:rsid w:val="00E9449A"/>
    <w:rsid w:val="00E949D6"/>
    <w:rsid w:val="00E94D03"/>
    <w:rsid w:val="00E95160"/>
    <w:rsid w:val="00E952B1"/>
    <w:rsid w:val="00E95B30"/>
    <w:rsid w:val="00E95B93"/>
    <w:rsid w:val="00E95D70"/>
    <w:rsid w:val="00E96D3A"/>
    <w:rsid w:val="00E977B6"/>
    <w:rsid w:val="00E97F9B"/>
    <w:rsid w:val="00EA04DD"/>
    <w:rsid w:val="00EA07AC"/>
    <w:rsid w:val="00EA09AA"/>
    <w:rsid w:val="00EA133C"/>
    <w:rsid w:val="00EA161E"/>
    <w:rsid w:val="00EA1A13"/>
    <w:rsid w:val="00EA1FC6"/>
    <w:rsid w:val="00EA272B"/>
    <w:rsid w:val="00EA2D6E"/>
    <w:rsid w:val="00EA3138"/>
    <w:rsid w:val="00EA388B"/>
    <w:rsid w:val="00EA3C34"/>
    <w:rsid w:val="00EA3D51"/>
    <w:rsid w:val="00EA4682"/>
    <w:rsid w:val="00EA48F3"/>
    <w:rsid w:val="00EA4CCA"/>
    <w:rsid w:val="00EA5DAD"/>
    <w:rsid w:val="00EA5FC0"/>
    <w:rsid w:val="00EA6C12"/>
    <w:rsid w:val="00EA6CB9"/>
    <w:rsid w:val="00EA70E8"/>
    <w:rsid w:val="00EA719F"/>
    <w:rsid w:val="00EA7221"/>
    <w:rsid w:val="00EA731F"/>
    <w:rsid w:val="00EA7595"/>
    <w:rsid w:val="00EA772B"/>
    <w:rsid w:val="00EB0E2E"/>
    <w:rsid w:val="00EB0E99"/>
    <w:rsid w:val="00EB0F3B"/>
    <w:rsid w:val="00EB0F9D"/>
    <w:rsid w:val="00EB1728"/>
    <w:rsid w:val="00EB1B06"/>
    <w:rsid w:val="00EB20A0"/>
    <w:rsid w:val="00EB22EB"/>
    <w:rsid w:val="00EB2AC9"/>
    <w:rsid w:val="00EB2EFC"/>
    <w:rsid w:val="00EB3003"/>
    <w:rsid w:val="00EB3053"/>
    <w:rsid w:val="00EB38F9"/>
    <w:rsid w:val="00EB3B46"/>
    <w:rsid w:val="00EB3D90"/>
    <w:rsid w:val="00EB435D"/>
    <w:rsid w:val="00EB447F"/>
    <w:rsid w:val="00EB4C3D"/>
    <w:rsid w:val="00EB5696"/>
    <w:rsid w:val="00EB585D"/>
    <w:rsid w:val="00EB6511"/>
    <w:rsid w:val="00EB6625"/>
    <w:rsid w:val="00EB70A5"/>
    <w:rsid w:val="00EB7D48"/>
    <w:rsid w:val="00EC0161"/>
    <w:rsid w:val="00EC0C97"/>
    <w:rsid w:val="00EC12E5"/>
    <w:rsid w:val="00EC241A"/>
    <w:rsid w:val="00EC2823"/>
    <w:rsid w:val="00EC2D9A"/>
    <w:rsid w:val="00EC2EE1"/>
    <w:rsid w:val="00EC2EFD"/>
    <w:rsid w:val="00EC3681"/>
    <w:rsid w:val="00EC3786"/>
    <w:rsid w:val="00EC4EFA"/>
    <w:rsid w:val="00EC50E2"/>
    <w:rsid w:val="00EC5178"/>
    <w:rsid w:val="00EC5303"/>
    <w:rsid w:val="00EC534F"/>
    <w:rsid w:val="00EC5BBF"/>
    <w:rsid w:val="00EC5BC2"/>
    <w:rsid w:val="00EC5ED1"/>
    <w:rsid w:val="00EC6DDF"/>
    <w:rsid w:val="00EC6FB8"/>
    <w:rsid w:val="00EC73BA"/>
    <w:rsid w:val="00EC7718"/>
    <w:rsid w:val="00ED024B"/>
    <w:rsid w:val="00ED0572"/>
    <w:rsid w:val="00ED0A3D"/>
    <w:rsid w:val="00ED0AB9"/>
    <w:rsid w:val="00ED0C83"/>
    <w:rsid w:val="00ED0DD0"/>
    <w:rsid w:val="00ED0FC6"/>
    <w:rsid w:val="00ED15A7"/>
    <w:rsid w:val="00ED19CE"/>
    <w:rsid w:val="00ED21D5"/>
    <w:rsid w:val="00ED224B"/>
    <w:rsid w:val="00ED245C"/>
    <w:rsid w:val="00ED25B8"/>
    <w:rsid w:val="00ED3026"/>
    <w:rsid w:val="00ED31ED"/>
    <w:rsid w:val="00ED33C0"/>
    <w:rsid w:val="00ED3589"/>
    <w:rsid w:val="00ED38E0"/>
    <w:rsid w:val="00ED3C93"/>
    <w:rsid w:val="00ED3EEB"/>
    <w:rsid w:val="00ED40F0"/>
    <w:rsid w:val="00ED431A"/>
    <w:rsid w:val="00ED4923"/>
    <w:rsid w:val="00ED4984"/>
    <w:rsid w:val="00ED57E7"/>
    <w:rsid w:val="00ED67F2"/>
    <w:rsid w:val="00ED7C39"/>
    <w:rsid w:val="00EE0393"/>
    <w:rsid w:val="00EE071D"/>
    <w:rsid w:val="00EE0941"/>
    <w:rsid w:val="00EE0DC1"/>
    <w:rsid w:val="00EE1337"/>
    <w:rsid w:val="00EE1980"/>
    <w:rsid w:val="00EE1A36"/>
    <w:rsid w:val="00EE20C6"/>
    <w:rsid w:val="00EE2766"/>
    <w:rsid w:val="00EE2BB8"/>
    <w:rsid w:val="00EE2C46"/>
    <w:rsid w:val="00EE36C8"/>
    <w:rsid w:val="00EE37FD"/>
    <w:rsid w:val="00EE3BBC"/>
    <w:rsid w:val="00EE3E3C"/>
    <w:rsid w:val="00EE436F"/>
    <w:rsid w:val="00EE45DB"/>
    <w:rsid w:val="00EE4702"/>
    <w:rsid w:val="00EE4B37"/>
    <w:rsid w:val="00EE4C9F"/>
    <w:rsid w:val="00EE4CC5"/>
    <w:rsid w:val="00EE4DD2"/>
    <w:rsid w:val="00EE5222"/>
    <w:rsid w:val="00EE648C"/>
    <w:rsid w:val="00EE6FF3"/>
    <w:rsid w:val="00EE74CA"/>
    <w:rsid w:val="00EE785F"/>
    <w:rsid w:val="00EE7B23"/>
    <w:rsid w:val="00EE7DA3"/>
    <w:rsid w:val="00EF0861"/>
    <w:rsid w:val="00EF0C6D"/>
    <w:rsid w:val="00EF0D44"/>
    <w:rsid w:val="00EF1020"/>
    <w:rsid w:val="00EF1072"/>
    <w:rsid w:val="00EF1FB1"/>
    <w:rsid w:val="00EF2476"/>
    <w:rsid w:val="00EF2C48"/>
    <w:rsid w:val="00EF33FE"/>
    <w:rsid w:val="00EF3404"/>
    <w:rsid w:val="00EF3A9D"/>
    <w:rsid w:val="00EF3D96"/>
    <w:rsid w:val="00EF3DAF"/>
    <w:rsid w:val="00EF41EF"/>
    <w:rsid w:val="00EF48BD"/>
    <w:rsid w:val="00EF4EE2"/>
    <w:rsid w:val="00EF55A1"/>
    <w:rsid w:val="00EF55B1"/>
    <w:rsid w:val="00EF58AC"/>
    <w:rsid w:val="00EF5A67"/>
    <w:rsid w:val="00EF5FEE"/>
    <w:rsid w:val="00EF6526"/>
    <w:rsid w:val="00EF66B1"/>
    <w:rsid w:val="00EF68E6"/>
    <w:rsid w:val="00EF6C63"/>
    <w:rsid w:val="00EF6DA5"/>
    <w:rsid w:val="00EF763E"/>
    <w:rsid w:val="00EF76A6"/>
    <w:rsid w:val="00EF77EA"/>
    <w:rsid w:val="00F00850"/>
    <w:rsid w:val="00F019A7"/>
    <w:rsid w:val="00F01A30"/>
    <w:rsid w:val="00F0283F"/>
    <w:rsid w:val="00F0298A"/>
    <w:rsid w:val="00F029C6"/>
    <w:rsid w:val="00F03347"/>
    <w:rsid w:val="00F03C7D"/>
    <w:rsid w:val="00F03ED6"/>
    <w:rsid w:val="00F0440C"/>
    <w:rsid w:val="00F04839"/>
    <w:rsid w:val="00F0491F"/>
    <w:rsid w:val="00F04D45"/>
    <w:rsid w:val="00F05250"/>
    <w:rsid w:val="00F053E6"/>
    <w:rsid w:val="00F06E1B"/>
    <w:rsid w:val="00F075BF"/>
    <w:rsid w:val="00F07768"/>
    <w:rsid w:val="00F0779C"/>
    <w:rsid w:val="00F07C19"/>
    <w:rsid w:val="00F07D16"/>
    <w:rsid w:val="00F100D9"/>
    <w:rsid w:val="00F10B2B"/>
    <w:rsid w:val="00F10BA2"/>
    <w:rsid w:val="00F110DB"/>
    <w:rsid w:val="00F113DB"/>
    <w:rsid w:val="00F1186F"/>
    <w:rsid w:val="00F11AB1"/>
    <w:rsid w:val="00F11AEF"/>
    <w:rsid w:val="00F11E65"/>
    <w:rsid w:val="00F11F98"/>
    <w:rsid w:val="00F12572"/>
    <w:rsid w:val="00F125CA"/>
    <w:rsid w:val="00F12703"/>
    <w:rsid w:val="00F1297D"/>
    <w:rsid w:val="00F12DDD"/>
    <w:rsid w:val="00F139F2"/>
    <w:rsid w:val="00F13B13"/>
    <w:rsid w:val="00F13BAD"/>
    <w:rsid w:val="00F13C5B"/>
    <w:rsid w:val="00F14372"/>
    <w:rsid w:val="00F14C51"/>
    <w:rsid w:val="00F14FD4"/>
    <w:rsid w:val="00F15311"/>
    <w:rsid w:val="00F1531D"/>
    <w:rsid w:val="00F15651"/>
    <w:rsid w:val="00F15746"/>
    <w:rsid w:val="00F15ED9"/>
    <w:rsid w:val="00F1623A"/>
    <w:rsid w:val="00F16A1E"/>
    <w:rsid w:val="00F170F3"/>
    <w:rsid w:val="00F174D5"/>
    <w:rsid w:val="00F1791F"/>
    <w:rsid w:val="00F2012A"/>
    <w:rsid w:val="00F20AB0"/>
    <w:rsid w:val="00F20B1E"/>
    <w:rsid w:val="00F22120"/>
    <w:rsid w:val="00F22546"/>
    <w:rsid w:val="00F2335A"/>
    <w:rsid w:val="00F23544"/>
    <w:rsid w:val="00F2371D"/>
    <w:rsid w:val="00F239CB"/>
    <w:rsid w:val="00F23D39"/>
    <w:rsid w:val="00F24CD5"/>
    <w:rsid w:val="00F2528F"/>
    <w:rsid w:val="00F25575"/>
    <w:rsid w:val="00F25E9A"/>
    <w:rsid w:val="00F2796A"/>
    <w:rsid w:val="00F27984"/>
    <w:rsid w:val="00F302EF"/>
    <w:rsid w:val="00F31451"/>
    <w:rsid w:val="00F319AB"/>
    <w:rsid w:val="00F32C47"/>
    <w:rsid w:val="00F32D8D"/>
    <w:rsid w:val="00F3395D"/>
    <w:rsid w:val="00F33C77"/>
    <w:rsid w:val="00F33FD0"/>
    <w:rsid w:val="00F34058"/>
    <w:rsid w:val="00F340FB"/>
    <w:rsid w:val="00F3467B"/>
    <w:rsid w:val="00F349A5"/>
    <w:rsid w:val="00F35092"/>
    <w:rsid w:val="00F351CF"/>
    <w:rsid w:val="00F351F7"/>
    <w:rsid w:val="00F35811"/>
    <w:rsid w:val="00F35B85"/>
    <w:rsid w:val="00F35BB1"/>
    <w:rsid w:val="00F365C2"/>
    <w:rsid w:val="00F367B3"/>
    <w:rsid w:val="00F36E34"/>
    <w:rsid w:val="00F37321"/>
    <w:rsid w:val="00F37E03"/>
    <w:rsid w:val="00F411F0"/>
    <w:rsid w:val="00F41487"/>
    <w:rsid w:val="00F41C39"/>
    <w:rsid w:val="00F42132"/>
    <w:rsid w:val="00F42534"/>
    <w:rsid w:val="00F42538"/>
    <w:rsid w:val="00F43D41"/>
    <w:rsid w:val="00F4490D"/>
    <w:rsid w:val="00F44DEA"/>
    <w:rsid w:val="00F459FF"/>
    <w:rsid w:val="00F45EEF"/>
    <w:rsid w:val="00F4606E"/>
    <w:rsid w:val="00F4633D"/>
    <w:rsid w:val="00F4715C"/>
    <w:rsid w:val="00F47B45"/>
    <w:rsid w:val="00F47B83"/>
    <w:rsid w:val="00F50649"/>
    <w:rsid w:val="00F50C8E"/>
    <w:rsid w:val="00F51582"/>
    <w:rsid w:val="00F52518"/>
    <w:rsid w:val="00F52D05"/>
    <w:rsid w:val="00F5325F"/>
    <w:rsid w:val="00F535AF"/>
    <w:rsid w:val="00F53E54"/>
    <w:rsid w:val="00F545E6"/>
    <w:rsid w:val="00F547A7"/>
    <w:rsid w:val="00F548E3"/>
    <w:rsid w:val="00F550BA"/>
    <w:rsid w:val="00F55880"/>
    <w:rsid w:val="00F558CD"/>
    <w:rsid w:val="00F56309"/>
    <w:rsid w:val="00F56361"/>
    <w:rsid w:val="00F56779"/>
    <w:rsid w:val="00F570DA"/>
    <w:rsid w:val="00F57B5A"/>
    <w:rsid w:val="00F57B81"/>
    <w:rsid w:val="00F57D35"/>
    <w:rsid w:val="00F57EE8"/>
    <w:rsid w:val="00F60286"/>
    <w:rsid w:val="00F60636"/>
    <w:rsid w:val="00F60BF9"/>
    <w:rsid w:val="00F610C8"/>
    <w:rsid w:val="00F61181"/>
    <w:rsid w:val="00F612B0"/>
    <w:rsid w:val="00F615F2"/>
    <w:rsid w:val="00F61B4C"/>
    <w:rsid w:val="00F62B23"/>
    <w:rsid w:val="00F62D9B"/>
    <w:rsid w:val="00F632CA"/>
    <w:rsid w:val="00F6362E"/>
    <w:rsid w:val="00F63C17"/>
    <w:rsid w:val="00F644EE"/>
    <w:rsid w:val="00F64DF6"/>
    <w:rsid w:val="00F65237"/>
    <w:rsid w:val="00F66512"/>
    <w:rsid w:val="00F671B2"/>
    <w:rsid w:val="00F674C0"/>
    <w:rsid w:val="00F6774E"/>
    <w:rsid w:val="00F67857"/>
    <w:rsid w:val="00F67B2B"/>
    <w:rsid w:val="00F67F2A"/>
    <w:rsid w:val="00F70024"/>
    <w:rsid w:val="00F70099"/>
    <w:rsid w:val="00F702E3"/>
    <w:rsid w:val="00F705A2"/>
    <w:rsid w:val="00F705F5"/>
    <w:rsid w:val="00F709A4"/>
    <w:rsid w:val="00F70AB5"/>
    <w:rsid w:val="00F71674"/>
    <w:rsid w:val="00F71831"/>
    <w:rsid w:val="00F71FF9"/>
    <w:rsid w:val="00F73D03"/>
    <w:rsid w:val="00F7454B"/>
    <w:rsid w:val="00F74887"/>
    <w:rsid w:val="00F749A2"/>
    <w:rsid w:val="00F74C36"/>
    <w:rsid w:val="00F75294"/>
    <w:rsid w:val="00F762F8"/>
    <w:rsid w:val="00F76348"/>
    <w:rsid w:val="00F763E7"/>
    <w:rsid w:val="00F803ED"/>
    <w:rsid w:val="00F807D8"/>
    <w:rsid w:val="00F8114E"/>
    <w:rsid w:val="00F815CB"/>
    <w:rsid w:val="00F81660"/>
    <w:rsid w:val="00F817F2"/>
    <w:rsid w:val="00F81A77"/>
    <w:rsid w:val="00F81E1B"/>
    <w:rsid w:val="00F82090"/>
    <w:rsid w:val="00F824B1"/>
    <w:rsid w:val="00F833D4"/>
    <w:rsid w:val="00F83503"/>
    <w:rsid w:val="00F8357F"/>
    <w:rsid w:val="00F83B59"/>
    <w:rsid w:val="00F84168"/>
    <w:rsid w:val="00F84503"/>
    <w:rsid w:val="00F846E5"/>
    <w:rsid w:val="00F8491C"/>
    <w:rsid w:val="00F84ACB"/>
    <w:rsid w:val="00F84B43"/>
    <w:rsid w:val="00F85335"/>
    <w:rsid w:val="00F856F2"/>
    <w:rsid w:val="00F8587C"/>
    <w:rsid w:val="00F85C0E"/>
    <w:rsid w:val="00F85ED5"/>
    <w:rsid w:val="00F861B8"/>
    <w:rsid w:val="00F864E8"/>
    <w:rsid w:val="00F8667B"/>
    <w:rsid w:val="00F873BE"/>
    <w:rsid w:val="00F87476"/>
    <w:rsid w:val="00F87B1A"/>
    <w:rsid w:val="00F87C14"/>
    <w:rsid w:val="00F87E18"/>
    <w:rsid w:val="00F902F4"/>
    <w:rsid w:val="00F90FF5"/>
    <w:rsid w:val="00F910FB"/>
    <w:rsid w:val="00F912F2"/>
    <w:rsid w:val="00F91C3C"/>
    <w:rsid w:val="00F91DD1"/>
    <w:rsid w:val="00F91E7F"/>
    <w:rsid w:val="00F92065"/>
    <w:rsid w:val="00F92568"/>
    <w:rsid w:val="00F925A1"/>
    <w:rsid w:val="00F92651"/>
    <w:rsid w:val="00F92C2A"/>
    <w:rsid w:val="00F92E90"/>
    <w:rsid w:val="00F93018"/>
    <w:rsid w:val="00F9323D"/>
    <w:rsid w:val="00F93D6F"/>
    <w:rsid w:val="00F942D2"/>
    <w:rsid w:val="00F94458"/>
    <w:rsid w:val="00F94A70"/>
    <w:rsid w:val="00F94DB3"/>
    <w:rsid w:val="00F95253"/>
    <w:rsid w:val="00F96B68"/>
    <w:rsid w:val="00F9750D"/>
    <w:rsid w:val="00F977AB"/>
    <w:rsid w:val="00F97824"/>
    <w:rsid w:val="00F97914"/>
    <w:rsid w:val="00F9798F"/>
    <w:rsid w:val="00FA0044"/>
    <w:rsid w:val="00FA01EA"/>
    <w:rsid w:val="00FA0A01"/>
    <w:rsid w:val="00FA0B99"/>
    <w:rsid w:val="00FA0E83"/>
    <w:rsid w:val="00FA0F34"/>
    <w:rsid w:val="00FA1347"/>
    <w:rsid w:val="00FA237A"/>
    <w:rsid w:val="00FA23C9"/>
    <w:rsid w:val="00FA24EA"/>
    <w:rsid w:val="00FA3194"/>
    <w:rsid w:val="00FA3524"/>
    <w:rsid w:val="00FA3F02"/>
    <w:rsid w:val="00FA4135"/>
    <w:rsid w:val="00FA42F6"/>
    <w:rsid w:val="00FA47D2"/>
    <w:rsid w:val="00FA4D37"/>
    <w:rsid w:val="00FA4FF1"/>
    <w:rsid w:val="00FA5052"/>
    <w:rsid w:val="00FA52C3"/>
    <w:rsid w:val="00FA6368"/>
    <w:rsid w:val="00FA64BA"/>
    <w:rsid w:val="00FA6666"/>
    <w:rsid w:val="00FA6943"/>
    <w:rsid w:val="00FA6F7F"/>
    <w:rsid w:val="00FA7B68"/>
    <w:rsid w:val="00FB0364"/>
    <w:rsid w:val="00FB0849"/>
    <w:rsid w:val="00FB1DB6"/>
    <w:rsid w:val="00FB2517"/>
    <w:rsid w:val="00FB2B59"/>
    <w:rsid w:val="00FB2FDB"/>
    <w:rsid w:val="00FB3B01"/>
    <w:rsid w:val="00FB4113"/>
    <w:rsid w:val="00FB4353"/>
    <w:rsid w:val="00FB43BF"/>
    <w:rsid w:val="00FB4C14"/>
    <w:rsid w:val="00FB4D9D"/>
    <w:rsid w:val="00FB4FAC"/>
    <w:rsid w:val="00FB5818"/>
    <w:rsid w:val="00FB594D"/>
    <w:rsid w:val="00FB5B8F"/>
    <w:rsid w:val="00FB657B"/>
    <w:rsid w:val="00FB69A0"/>
    <w:rsid w:val="00FB69B5"/>
    <w:rsid w:val="00FB6D96"/>
    <w:rsid w:val="00FB7F63"/>
    <w:rsid w:val="00FC0E0F"/>
    <w:rsid w:val="00FC2A2F"/>
    <w:rsid w:val="00FC2D10"/>
    <w:rsid w:val="00FC3008"/>
    <w:rsid w:val="00FC3731"/>
    <w:rsid w:val="00FC3A19"/>
    <w:rsid w:val="00FC411B"/>
    <w:rsid w:val="00FC421D"/>
    <w:rsid w:val="00FC4FD7"/>
    <w:rsid w:val="00FC6562"/>
    <w:rsid w:val="00FC65AC"/>
    <w:rsid w:val="00FC6E67"/>
    <w:rsid w:val="00FC6FA6"/>
    <w:rsid w:val="00FC7B51"/>
    <w:rsid w:val="00FC7FFD"/>
    <w:rsid w:val="00FD03F0"/>
    <w:rsid w:val="00FD0774"/>
    <w:rsid w:val="00FD09E1"/>
    <w:rsid w:val="00FD23A5"/>
    <w:rsid w:val="00FD2AF9"/>
    <w:rsid w:val="00FD2DB5"/>
    <w:rsid w:val="00FD2EA6"/>
    <w:rsid w:val="00FD43E1"/>
    <w:rsid w:val="00FD47B7"/>
    <w:rsid w:val="00FD4D17"/>
    <w:rsid w:val="00FD4E7C"/>
    <w:rsid w:val="00FD5827"/>
    <w:rsid w:val="00FD5A77"/>
    <w:rsid w:val="00FD6170"/>
    <w:rsid w:val="00FD6379"/>
    <w:rsid w:val="00FD64CB"/>
    <w:rsid w:val="00FD6540"/>
    <w:rsid w:val="00FD658F"/>
    <w:rsid w:val="00FD682C"/>
    <w:rsid w:val="00FD6869"/>
    <w:rsid w:val="00FD7200"/>
    <w:rsid w:val="00FD7340"/>
    <w:rsid w:val="00FD7959"/>
    <w:rsid w:val="00FD7C9F"/>
    <w:rsid w:val="00FE0924"/>
    <w:rsid w:val="00FE097E"/>
    <w:rsid w:val="00FE0C5E"/>
    <w:rsid w:val="00FE0F57"/>
    <w:rsid w:val="00FE14CD"/>
    <w:rsid w:val="00FE17B1"/>
    <w:rsid w:val="00FE1B64"/>
    <w:rsid w:val="00FE1B73"/>
    <w:rsid w:val="00FE203D"/>
    <w:rsid w:val="00FE21B9"/>
    <w:rsid w:val="00FE3009"/>
    <w:rsid w:val="00FE4256"/>
    <w:rsid w:val="00FE485E"/>
    <w:rsid w:val="00FE4C25"/>
    <w:rsid w:val="00FE4F87"/>
    <w:rsid w:val="00FE5258"/>
    <w:rsid w:val="00FE52E6"/>
    <w:rsid w:val="00FE536E"/>
    <w:rsid w:val="00FE60F0"/>
    <w:rsid w:val="00FE61EE"/>
    <w:rsid w:val="00FE6583"/>
    <w:rsid w:val="00FE67FB"/>
    <w:rsid w:val="00FE69CB"/>
    <w:rsid w:val="00FF04B6"/>
    <w:rsid w:val="00FF1C72"/>
    <w:rsid w:val="00FF1FBA"/>
    <w:rsid w:val="00FF270B"/>
    <w:rsid w:val="00FF3005"/>
    <w:rsid w:val="00FF3165"/>
    <w:rsid w:val="00FF3489"/>
    <w:rsid w:val="00FF3528"/>
    <w:rsid w:val="00FF371D"/>
    <w:rsid w:val="00FF3CFD"/>
    <w:rsid w:val="00FF4A81"/>
    <w:rsid w:val="00FF4CCA"/>
    <w:rsid w:val="00FF4DAA"/>
    <w:rsid w:val="00FF517F"/>
    <w:rsid w:val="00FF6909"/>
    <w:rsid w:val="00FF6FC2"/>
    <w:rsid w:val="00FF73B1"/>
    <w:rsid w:val="0463A386"/>
    <w:rsid w:val="2168AD3D"/>
    <w:rsid w:val="24F2CFC3"/>
    <w:rsid w:val="37682F60"/>
    <w:rsid w:val="3B502E0F"/>
    <w:rsid w:val="6A7256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5B2F9A"/>
  <w15:chartTrackingRefBased/>
  <w15:docId w15:val="{5B946901-7B25-47EE-A6D3-F28F3E7B0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2B4"/>
    <w:rPr>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qFormat/>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qFormat/>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val="en-GB"/>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qFormat/>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qFormat/>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35"/>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val="en-GB" w:eastAsia="en-US"/>
    </w:rPr>
  </w:style>
  <w:style w:type="character" w:customStyle="1" w:styleId="Heading6Char">
    <w:name w:val="Heading 6 Char"/>
    <w:aliases w:val="T1 Char4,Header 6 Char"/>
    <w:link w:val="Heading6"/>
    <w:rsid w:val="00BD1A2C"/>
    <w:rPr>
      <w:rFonts w:ascii="Arial" w:hAnsi="Arial"/>
      <w:b/>
      <w:color w:val="C0C0C0"/>
      <w:sz w:val="24"/>
      <w:lang w:val="en-GB" w:eastAsia="en-US"/>
    </w:rPr>
  </w:style>
  <w:style w:type="character" w:customStyle="1" w:styleId="Heading7Char">
    <w:name w:val="Heading 7 Char"/>
    <w:link w:val="Heading7"/>
    <w:rsid w:val="00BD1A2C"/>
    <w:rPr>
      <w:sz w:val="24"/>
      <w:szCs w:val="24"/>
      <w:lang w:val="en-GB" w:eastAsia="en-US"/>
    </w:rPr>
  </w:style>
  <w:style w:type="character" w:customStyle="1" w:styleId="Heading8Char">
    <w:name w:val="Heading 8 Char"/>
    <w:link w:val="Heading8"/>
    <w:rsid w:val="00BD1A2C"/>
    <w:rPr>
      <w:i/>
      <w:iCs/>
      <w:sz w:val="24"/>
      <w:szCs w:val="24"/>
      <w:lang w:val="en-GB" w:eastAsia="en-US"/>
    </w:rPr>
  </w:style>
  <w:style w:type="character" w:customStyle="1" w:styleId="Heading9Char">
    <w:name w:val="Heading 9 Char"/>
    <w:link w:val="Heading9"/>
    <w:rsid w:val="00BD1A2C"/>
    <w:rPr>
      <w:rFonts w:ascii="Arial" w:hAnsi="Arial" w:cs="Arial"/>
      <w:sz w:val="22"/>
      <w:szCs w:val="22"/>
      <w:lang w:val="en-GB"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rPr>
  </w:style>
  <w:style w:type="paragraph" w:customStyle="1" w:styleId="TF">
    <w:name w:val="TF"/>
    <w:aliases w:val="left"/>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link w:val="B3Char"/>
    <w:qFormat/>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R4_Bullet,목록 단락"/>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Revision">
    <w:name w:val="Revision"/>
    <w:hidden/>
    <w:semiHidden/>
    <w:rsid w:val="00BD1A2C"/>
    <w:rPr>
      <w:rFonts w:eastAsia="Batang"/>
      <w:lang w:val="en-GB"/>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val="en-US" w:eastAsia="ja-JP"/>
    </w:rPr>
  </w:style>
  <w:style w:type="paragraph" w:customStyle="1" w:styleId="TAJ">
    <w:name w:val="TAJ"/>
    <w:basedOn w:val="TH"/>
    <w:rsid w:val="00BD1A2C"/>
    <w:rPr>
      <w:rFonts w:eastAsia="Times New Roman"/>
      <w:bCs/>
    </w:rPr>
  </w:style>
  <w:style w:type="paragraph" w:customStyle="1" w:styleId="Guidance">
    <w:name w:val="Guidance"/>
    <w:basedOn w:val="Normal"/>
    <w:link w:val="GuidanceChar"/>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rFonts w:eastAsia="Times New Roman"/>
      <w:sz w:val="24"/>
      <w:szCs w:val="24"/>
      <w:lang w:val="en-US"/>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0">
    <w:name w:val="toc 90"/>
    <w:basedOn w:val="TOC8"/>
    <w:rsid w:val="00BD1A2C"/>
    <w:pPr>
      <w:ind w:left="1418" w:hanging="1418"/>
    </w:pPr>
    <w:rPr>
      <w:rFonts w:eastAsia="MS Mincho"/>
      <w:lang w:eastAsia="en-GB"/>
    </w:rPr>
  </w:style>
  <w:style w:type="paragraph" w:customStyle="1" w:styleId="caption0">
    <w:name w:val="caption0"/>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rPr>
  </w:style>
  <w:style w:type="paragraph" w:customStyle="1" w:styleId="ZC">
    <w:name w:val="ZC"/>
    <w:rsid w:val="00BD1A2C"/>
    <w:pPr>
      <w:spacing w:line="360" w:lineRule="atLeast"/>
      <w:jc w:val="center"/>
    </w:pPr>
    <w:rPr>
      <w:rFonts w:eastAsia="MS Mincho"/>
      <w:lang w:val="en-GB"/>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CharCharCharCharCharChar1">
    <w:name w:val="Char Char Char Char Char Char1"/>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References">
    <w:name w:val="References"/>
    <w:basedOn w:val="Normal"/>
    <w:uiPriority w:val="99"/>
    <w:rsid w:val="00B65AF0"/>
    <w:pPr>
      <w:numPr>
        <w:numId w:val="7"/>
      </w:numPr>
      <w:spacing w:after="80"/>
    </w:pPr>
    <w:rPr>
      <w:rFonts w:eastAsia="MS Mincho"/>
      <w:sz w:val="18"/>
      <w:lang w:val="en-US"/>
    </w:rPr>
  </w:style>
  <w:style w:type="character" w:customStyle="1" w:styleId="B1Zchn">
    <w:name w:val="B1 Zchn"/>
    <w:rsid w:val="0092509A"/>
    <w:rPr>
      <w:lang w:eastAsia="en-US"/>
    </w:r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0F2437"/>
    <w:rPr>
      <w:rFonts w:eastAsia="Times New Roman"/>
      <w:lang w:val="en-GB" w:eastAsia="en-US"/>
    </w:rPr>
  </w:style>
  <w:style w:type="character" w:customStyle="1" w:styleId="B3Char">
    <w:name w:val="B3 Char"/>
    <w:link w:val="B3"/>
    <w:qFormat/>
    <w:rsid w:val="00B81E2C"/>
    <w:rPr>
      <w:rFonts w:eastAsia="Times New Roman"/>
      <w:lang w:val="en-GB" w:eastAsia="en-US"/>
    </w:rPr>
  </w:style>
  <w:style w:type="character" w:customStyle="1" w:styleId="normaltextrun">
    <w:name w:val="normaltextrun"/>
    <w:rsid w:val="00152CB5"/>
  </w:style>
  <w:style w:type="character" w:styleId="UnresolvedMention">
    <w:name w:val="Unresolved Mention"/>
    <w:basedOn w:val="DefaultParagraphFont"/>
    <w:uiPriority w:val="99"/>
    <w:unhideWhenUsed/>
    <w:rsid w:val="0003205B"/>
    <w:rPr>
      <w:color w:val="605E5C"/>
      <w:shd w:val="clear" w:color="auto" w:fill="E1DFDD"/>
    </w:rPr>
  </w:style>
  <w:style w:type="character" w:styleId="Mention">
    <w:name w:val="Mention"/>
    <w:basedOn w:val="DefaultParagraphFont"/>
    <w:uiPriority w:val="99"/>
    <w:unhideWhenUsed/>
    <w:rsid w:val="0003205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17660154">
      <w:bodyDiv w:val="1"/>
      <w:marLeft w:val="0"/>
      <w:marRight w:val="0"/>
      <w:marTop w:val="0"/>
      <w:marBottom w:val="0"/>
      <w:divBdr>
        <w:top w:val="none" w:sz="0" w:space="0" w:color="auto"/>
        <w:left w:val="none" w:sz="0" w:space="0" w:color="auto"/>
        <w:bottom w:val="none" w:sz="0" w:space="0" w:color="auto"/>
        <w:right w:val="none" w:sz="0" w:space="0" w:color="auto"/>
      </w:divBdr>
    </w:div>
    <w:div w:id="25907208">
      <w:bodyDiv w:val="1"/>
      <w:marLeft w:val="0"/>
      <w:marRight w:val="0"/>
      <w:marTop w:val="0"/>
      <w:marBottom w:val="0"/>
      <w:divBdr>
        <w:top w:val="none" w:sz="0" w:space="0" w:color="auto"/>
        <w:left w:val="none" w:sz="0" w:space="0" w:color="auto"/>
        <w:bottom w:val="none" w:sz="0" w:space="0" w:color="auto"/>
        <w:right w:val="none" w:sz="0" w:space="0" w:color="auto"/>
      </w:divBdr>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0806332">
      <w:bodyDiv w:val="1"/>
      <w:marLeft w:val="0"/>
      <w:marRight w:val="0"/>
      <w:marTop w:val="0"/>
      <w:marBottom w:val="0"/>
      <w:divBdr>
        <w:top w:val="none" w:sz="0" w:space="0" w:color="auto"/>
        <w:left w:val="none" w:sz="0" w:space="0" w:color="auto"/>
        <w:bottom w:val="none" w:sz="0" w:space="0" w:color="auto"/>
        <w:right w:val="none" w:sz="0" w:space="0" w:color="auto"/>
      </w:divBdr>
    </w:div>
    <w:div w:id="19870621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46038747">
      <w:bodyDiv w:val="1"/>
      <w:marLeft w:val="0"/>
      <w:marRight w:val="0"/>
      <w:marTop w:val="0"/>
      <w:marBottom w:val="0"/>
      <w:divBdr>
        <w:top w:val="none" w:sz="0" w:space="0" w:color="auto"/>
        <w:left w:val="none" w:sz="0" w:space="0" w:color="auto"/>
        <w:bottom w:val="none" w:sz="0" w:space="0" w:color="auto"/>
        <w:right w:val="none" w:sz="0" w:space="0" w:color="auto"/>
      </w:divBdr>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2118570">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510527954">
      <w:bodyDiv w:val="1"/>
      <w:marLeft w:val="0"/>
      <w:marRight w:val="0"/>
      <w:marTop w:val="0"/>
      <w:marBottom w:val="0"/>
      <w:divBdr>
        <w:top w:val="none" w:sz="0" w:space="0" w:color="auto"/>
        <w:left w:val="none" w:sz="0" w:space="0" w:color="auto"/>
        <w:bottom w:val="none" w:sz="0" w:space="0" w:color="auto"/>
        <w:right w:val="none" w:sz="0" w:space="0" w:color="auto"/>
      </w:divBdr>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284127">
      <w:bodyDiv w:val="1"/>
      <w:marLeft w:val="0"/>
      <w:marRight w:val="0"/>
      <w:marTop w:val="0"/>
      <w:marBottom w:val="0"/>
      <w:divBdr>
        <w:top w:val="none" w:sz="0" w:space="0" w:color="auto"/>
        <w:left w:val="none" w:sz="0" w:space="0" w:color="auto"/>
        <w:bottom w:val="none" w:sz="0" w:space="0" w:color="auto"/>
        <w:right w:val="none" w:sz="0" w:space="0" w:color="auto"/>
      </w:divBdr>
      <w:divsChild>
        <w:div w:id="409696944">
          <w:marLeft w:val="360"/>
          <w:marRight w:val="0"/>
          <w:marTop w:val="200"/>
          <w:marBottom w:val="0"/>
          <w:divBdr>
            <w:top w:val="none" w:sz="0" w:space="0" w:color="auto"/>
            <w:left w:val="none" w:sz="0" w:space="0" w:color="auto"/>
            <w:bottom w:val="none" w:sz="0" w:space="0" w:color="auto"/>
            <w:right w:val="none" w:sz="0" w:space="0" w:color="auto"/>
          </w:divBdr>
        </w:div>
        <w:div w:id="419377270">
          <w:marLeft w:val="1080"/>
          <w:marRight w:val="0"/>
          <w:marTop w:val="100"/>
          <w:marBottom w:val="0"/>
          <w:divBdr>
            <w:top w:val="none" w:sz="0" w:space="0" w:color="auto"/>
            <w:left w:val="none" w:sz="0" w:space="0" w:color="auto"/>
            <w:bottom w:val="none" w:sz="0" w:space="0" w:color="auto"/>
            <w:right w:val="none" w:sz="0" w:space="0" w:color="auto"/>
          </w:divBdr>
        </w:div>
        <w:div w:id="1040789407">
          <w:marLeft w:val="1800"/>
          <w:marRight w:val="0"/>
          <w:marTop w:val="100"/>
          <w:marBottom w:val="0"/>
          <w:divBdr>
            <w:top w:val="none" w:sz="0" w:space="0" w:color="auto"/>
            <w:left w:val="none" w:sz="0" w:space="0" w:color="auto"/>
            <w:bottom w:val="none" w:sz="0" w:space="0" w:color="auto"/>
            <w:right w:val="none" w:sz="0" w:space="0" w:color="auto"/>
          </w:divBdr>
        </w:div>
        <w:div w:id="1538662553">
          <w:marLeft w:val="360"/>
          <w:marRight w:val="0"/>
          <w:marTop w:val="2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6776915">
      <w:bodyDiv w:val="1"/>
      <w:marLeft w:val="0"/>
      <w:marRight w:val="0"/>
      <w:marTop w:val="0"/>
      <w:marBottom w:val="0"/>
      <w:divBdr>
        <w:top w:val="none" w:sz="0" w:space="0" w:color="auto"/>
        <w:left w:val="none" w:sz="0" w:space="0" w:color="auto"/>
        <w:bottom w:val="none" w:sz="0" w:space="0" w:color="auto"/>
        <w:right w:val="none" w:sz="0" w:space="0" w:color="auto"/>
      </w:divBdr>
      <w:divsChild>
        <w:div w:id="1819573945">
          <w:marLeft w:val="0"/>
          <w:marRight w:val="0"/>
          <w:marTop w:val="0"/>
          <w:marBottom w:val="0"/>
          <w:divBdr>
            <w:top w:val="none" w:sz="0" w:space="0" w:color="auto"/>
            <w:left w:val="none" w:sz="0" w:space="0" w:color="auto"/>
            <w:bottom w:val="none" w:sz="0" w:space="0" w:color="auto"/>
            <w:right w:val="none" w:sz="0" w:space="0" w:color="auto"/>
          </w:divBdr>
        </w:div>
      </w:divsChild>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12066459">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17647065">
      <w:bodyDiv w:val="1"/>
      <w:marLeft w:val="0"/>
      <w:marRight w:val="0"/>
      <w:marTop w:val="0"/>
      <w:marBottom w:val="0"/>
      <w:divBdr>
        <w:top w:val="none" w:sz="0" w:space="0" w:color="auto"/>
        <w:left w:val="none" w:sz="0" w:space="0" w:color="auto"/>
        <w:bottom w:val="none" w:sz="0" w:space="0" w:color="auto"/>
        <w:right w:val="none" w:sz="0" w:space="0" w:color="auto"/>
      </w:divBdr>
      <w:divsChild>
        <w:div w:id="567957889">
          <w:marLeft w:val="360"/>
          <w:marRight w:val="0"/>
          <w:marTop w:val="200"/>
          <w:marBottom w:val="0"/>
          <w:divBdr>
            <w:top w:val="none" w:sz="0" w:space="0" w:color="auto"/>
            <w:left w:val="none" w:sz="0" w:space="0" w:color="auto"/>
            <w:bottom w:val="none" w:sz="0" w:space="0" w:color="auto"/>
            <w:right w:val="none" w:sz="0" w:space="0" w:color="auto"/>
          </w:divBdr>
        </w:div>
        <w:div w:id="1034578420">
          <w:marLeft w:val="360"/>
          <w:marRight w:val="0"/>
          <w:marTop w:val="200"/>
          <w:marBottom w:val="0"/>
          <w:divBdr>
            <w:top w:val="none" w:sz="0" w:space="0" w:color="auto"/>
            <w:left w:val="none" w:sz="0" w:space="0" w:color="auto"/>
            <w:bottom w:val="none" w:sz="0" w:space="0" w:color="auto"/>
            <w:right w:val="none" w:sz="0" w:space="0" w:color="auto"/>
          </w:divBdr>
        </w:div>
        <w:div w:id="1036153117">
          <w:marLeft w:val="1080"/>
          <w:marRight w:val="0"/>
          <w:marTop w:val="100"/>
          <w:marBottom w:val="0"/>
          <w:divBdr>
            <w:top w:val="none" w:sz="0" w:space="0" w:color="auto"/>
            <w:left w:val="none" w:sz="0" w:space="0" w:color="auto"/>
            <w:bottom w:val="none" w:sz="0" w:space="0" w:color="auto"/>
            <w:right w:val="none" w:sz="0" w:space="0" w:color="auto"/>
          </w:divBdr>
        </w:div>
        <w:div w:id="1298023306">
          <w:marLeft w:val="1080"/>
          <w:marRight w:val="0"/>
          <w:marTop w:val="100"/>
          <w:marBottom w:val="0"/>
          <w:divBdr>
            <w:top w:val="none" w:sz="0" w:space="0" w:color="auto"/>
            <w:left w:val="none" w:sz="0" w:space="0" w:color="auto"/>
            <w:bottom w:val="none" w:sz="0" w:space="0" w:color="auto"/>
            <w:right w:val="none" w:sz="0" w:space="0" w:color="auto"/>
          </w:divBdr>
        </w:div>
      </w:divsChild>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2451745">
      <w:bodyDiv w:val="1"/>
      <w:marLeft w:val="0"/>
      <w:marRight w:val="0"/>
      <w:marTop w:val="0"/>
      <w:marBottom w:val="0"/>
      <w:divBdr>
        <w:top w:val="none" w:sz="0" w:space="0" w:color="auto"/>
        <w:left w:val="none" w:sz="0" w:space="0" w:color="auto"/>
        <w:bottom w:val="none" w:sz="0" w:space="0" w:color="auto"/>
        <w:right w:val="none" w:sz="0" w:space="0" w:color="auto"/>
      </w:divBdr>
      <w:divsChild>
        <w:div w:id="387533717">
          <w:marLeft w:val="1080"/>
          <w:marRight w:val="0"/>
          <w:marTop w:val="100"/>
          <w:marBottom w:val="0"/>
          <w:divBdr>
            <w:top w:val="none" w:sz="0" w:space="0" w:color="auto"/>
            <w:left w:val="none" w:sz="0" w:space="0" w:color="auto"/>
            <w:bottom w:val="none" w:sz="0" w:space="0" w:color="auto"/>
            <w:right w:val="none" w:sz="0" w:space="0" w:color="auto"/>
          </w:divBdr>
        </w:div>
        <w:div w:id="2071732293">
          <w:marLeft w:val="360"/>
          <w:marRight w:val="0"/>
          <w:marTop w:val="200"/>
          <w:marBottom w:val="0"/>
          <w:divBdr>
            <w:top w:val="none" w:sz="0" w:space="0" w:color="auto"/>
            <w:left w:val="none" w:sz="0" w:space="0" w:color="auto"/>
            <w:bottom w:val="none" w:sz="0" w:space="0" w:color="auto"/>
            <w:right w:val="none" w:sz="0" w:space="0" w:color="auto"/>
          </w:divBdr>
        </w:div>
      </w:divsChild>
    </w:div>
    <w:div w:id="877544097">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1280741">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09721159">
      <w:bodyDiv w:val="1"/>
      <w:marLeft w:val="0"/>
      <w:marRight w:val="0"/>
      <w:marTop w:val="0"/>
      <w:marBottom w:val="0"/>
      <w:divBdr>
        <w:top w:val="none" w:sz="0" w:space="0" w:color="auto"/>
        <w:left w:val="none" w:sz="0" w:space="0" w:color="auto"/>
        <w:bottom w:val="none" w:sz="0" w:space="0" w:color="auto"/>
        <w:right w:val="none" w:sz="0" w:space="0" w:color="auto"/>
      </w:divBdr>
    </w:div>
    <w:div w:id="1028488892">
      <w:bodyDiv w:val="1"/>
      <w:marLeft w:val="0"/>
      <w:marRight w:val="0"/>
      <w:marTop w:val="0"/>
      <w:marBottom w:val="0"/>
      <w:divBdr>
        <w:top w:val="none" w:sz="0" w:space="0" w:color="auto"/>
        <w:left w:val="none" w:sz="0" w:space="0" w:color="auto"/>
        <w:bottom w:val="none" w:sz="0" w:space="0" w:color="auto"/>
        <w:right w:val="none" w:sz="0" w:space="0" w:color="auto"/>
      </w:divBdr>
    </w:div>
    <w:div w:id="1037387869">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93472545">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20806744">
      <w:bodyDiv w:val="1"/>
      <w:marLeft w:val="0"/>
      <w:marRight w:val="0"/>
      <w:marTop w:val="0"/>
      <w:marBottom w:val="0"/>
      <w:divBdr>
        <w:top w:val="none" w:sz="0" w:space="0" w:color="auto"/>
        <w:left w:val="none" w:sz="0" w:space="0" w:color="auto"/>
        <w:bottom w:val="none" w:sz="0" w:space="0" w:color="auto"/>
        <w:right w:val="none" w:sz="0" w:space="0" w:color="auto"/>
      </w:divBdr>
      <w:divsChild>
        <w:div w:id="45615863">
          <w:marLeft w:val="360"/>
          <w:marRight w:val="0"/>
          <w:marTop w:val="200"/>
          <w:marBottom w:val="0"/>
          <w:divBdr>
            <w:top w:val="none" w:sz="0" w:space="0" w:color="auto"/>
            <w:left w:val="none" w:sz="0" w:space="0" w:color="auto"/>
            <w:bottom w:val="none" w:sz="0" w:space="0" w:color="auto"/>
            <w:right w:val="none" w:sz="0" w:space="0" w:color="auto"/>
          </w:divBdr>
        </w:div>
        <w:div w:id="119493173">
          <w:marLeft w:val="1080"/>
          <w:marRight w:val="0"/>
          <w:marTop w:val="100"/>
          <w:marBottom w:val="0"/>
          <w:divBdr>
            <w:top w:val="none" w:sz="0" w:space="0" w:color="auto"/>
            <w:left w:val="none" w:sz="0" w:space="0" w:color="auto"/>
            <w:bottom w:val="none" w:sz="0" w:space="0" w:color="auto"/>
            <w:right w:val="none" w:sz="0" w:space="0" w:color="auto"/>
          </w:divBdr>
        </w:div>
        <w:div w:id="310141559">
          <w:marLeft w:val="360"/>
          <w:marRight w:val="0"/>
          <w:marTop w:val="200"/>
          <w:marBottom w:val="0"/>
          <w:divBdr>
            <w:top w:val="none" w:sz="0" w:space="0" w:color="auto"/>
            <w:left w:val="none" w:sz="0" w:space="0" w:color="auto"/>
            <w:bottom w:val="none" w:sz="0" w:space="0" w:color="auto"/>
            <w:right w:val="none" w:sz="0" w:space="0" w:color="auto"/>
          </w:divBdr>
        </w:div>
        <w:div w:id="536628768">
          <w:marLeft w:val="360"/>
          <w:marRight w:val="0"/>
          <w:marTop w:val="200"/>
          <w:marBottom w:val="0"/>
          <w:divBdr>
            <w:top w:val="none" w:sz="0" w:space="0" w:color="auto"/>
            <w:left w:val="none" w:sz="0" w:space="0" w:color="auto"/>
            <w:bottom w:val="none" w:sz="0" w:space="0" w:color="auto"/>
            <w:right w:val="none" w:sz="0" w:space="0" w:color="auto"/>
          </w:divBdr>
        </w:div>
        <w:div w:id="570507968">
          <w:marLeft w:val="360"/>
          <w:marRight w:val="0"/>
          <w:marTop w:val="200"/>
          <w:marBottom w:val="0"/>
          <w:divBdr>
            <w:top w:val="none" w:sz="0" w:space="0" w:color="auto"/>
            <w:left w:val="none" w:sz="0" w:space="0" w:color="auto"/>
            <w:bottom w:val="none" w:sz="0" w:space="0" w:color="auto"/>
            <w:right w:val="none" w:sz="0" w:space="0" w:color="auto"/>
          </w:divBdr>
        </w:div>
        <w:div w:id="628972024">
          <w:marLeft w:val="360"/>
          <w:marRight w:val="0"/>
          <w:marTop w:val="200"/>
          <w:marBottom w:val="0"/>
          <w:divBdr>
            <w:top w:val="none" w:sz="0" w:space="0" w:color="auto"/>
            <w:left w:val="none" w:sz="0" w:space="0" w:color="auto"/>
            <w:bottom w:val="none" w:sz="0" w:space="0" w:color="auto"/>
            <w:right w:val="none" w:sz="0" w:space="0" w:color="auto"/>
          </w:divBdr>
        </w:div>
        <w:div w:id="1049650417">
          <w:marLeft w:val="1080"/>
          <w:marRight w:val="0"/>
          <w:marTop w:val="100"/>
          <w:marBottom w:val="0"/>
          <w:divBdr>
            <w:top w:val="none" w:sz="0" w:space="0" w:color="auto"/>
            <w:left w:val="none" w:sz="0" w:space="0" w:color="auto"/>
            <w:bottom w:val="none" w:sz="0" w:space="0" w:color="auto"/>
            <w:right w:val="none" w:sz="0" w:space="0" w:color="auto"/>
          </w:divBdr>
        </w:div>
        <w:div w:id="1082530322">
          <w:marLeft w:val="1080"/>
          <w:marRight w:val="0"/>
          <w:marTop w:val="100"/>
          <w:marBottom w:val="0"/>
          <w:divBdr>
            <w:top w:val="none" w:sz="0" w:space="0" w:color="auto"/>
            <w:left w:val="none" w:sz="0" w:space="0" w:color="auto"/>
            <w:bottom w:val="none" w:sz="0" w:space="0" w:color="auto"/>
            <w:right w:val="none" w:sz="0" w:space="0" w:color="auto"/>
          </w:divBdr>
        </w:div>
        <w:div w:id="1575242442">
          <w:marLeft w:val="360"/>
          <w:marRight w:val="0"/>
          <w:marTop w:val="200"/>
          <w:marBottom w:val="0"/>
          <w:divBdr>
            <w:top w:val="none" w:sz="0" w:space="0" w:color="auto"/>
            <w:left w:val="none" w:sz="0" w:space="0" w:color="auto"/>
            <w:bottom w:val="none" w:sz="0" w:space="0" w:color="auto"/>
            <w:right w:val="none" w:sz="0" w:space="0" w:color="auto"/>
          </w:divBdr>
        </w:div>
        <w:div w:id="1686250202">
          <w:marLeft w:val="1800"/>
          <w:marRight w:val="0"/>
          <w:marTop w:val="100"/>
          <w:marBottom w:val="0"/>
          <w:divBdr>
            <w:top w:val="none" w:sz="0" w:space="0" w:color="auto"/>
            <w:left w:val="none" w:sz="0" w:space="0" w:color="auto"/>
            <w:bottom w:val="none" w:sz="0" w:space="0" w:color="auto"/>
            <w:right w:val="none" w:sz="0" w:space="0" w:color="auto"/>
          </w:divBdr>
        </w:div>
        <w:div w:id="1936667933">
          <w:marLeft w:val="360"/>
          <w:marRight w:val="0"/>
          <w:marTop w:val="200"/>
          <w:marBottom w:val="0"/>
          <w:divBdr>
            <w:top w:val="none" w:sz="0" w:space="0" w:color="auto"/>
            <w:left w:val="none" w:sz="0" w:space="0" w:color="auto"/>
            <w:bottom w:val="none" w:sz="0" w:space="0" w:color="auto"/>
            <w:right w:val="none" w:sz="0" w:space="0" w:color="auto"/>
          </w:divBdr>
        </w:div>
        <w:div w:id="2091073022">
          <w:marLeft w:val="1080"/>
          <w:marRight w:val="0"/>
          <w:marTop w:val="100"/>
          <w:marBottom w:val="0"/>
          <w:divBdr>
            <w:top w:val="none" w:sz="0" w:space="0" w:color="auto"/>
            <w:left w:val="none" w:sz="0" w:space="0" w:color="auto"/>
            <w:bottom w:val="none" w:sz="0" w:space="0" w:color="auto"/>
            <w:right w:val="none" w:sz="0" w:space="0" w:color="auto"/>
          </w:divBdr>
        </w:div>
      </w:divsChild>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966018">
      <w:bodyDiv w:val="1"/>
      <w:marLeft w:val="0"/>
      <w:marRight w:val="0"/>
      <w:marTop w:val="0"/>
      <w:marBottom w:val="0"/>
      <w:divBdr>
        <w:top w:val="none" w:sz="0" w:space="0" w:color="auto"/>
        <w:left w:val="none" w:sz="0" w:space="0" w:color="auto"/>
        <w:bottom w:val="none" w:sz="0" w:space="0" w:color="auto"/>
        <w:right w:val="none" w:sz="0" w:space="0" w:color="auto"/>
      </w:divBdr>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1356931">
      <w:bodyDiv w:val="1"/>
      <w:marLeft w:val="0"/>
      <w:marRight w:val="0"/>
      <w:marTop w:val="0"/>
      <w:marBottom w:val="0"/>
      <w:divBdr>
        <w:top w:val="none" w:sz="0" w:space="0" w:color="auto"/>
        <w:left w:val="none" w:sz="0" w:space="0" w:color="auto"/>
        <w:bottom w:val="none" w:sz="0" w:space="0" w:color="auto"/>
        <w:right w:val="none" w:sz="0" w:space="0" w:color="auto"/>
      </w:divBdr>
      <w:divsChild>
        <w:div w:id="334766752">
          <w:marLeft w:val="1800"/>
          <w:marRight w:val="0"/>
          <w:marTop w:val="100"/>
          <w:marBottom w:val="0"/>
          <w:divBdr>
            <w:top w:val="none" w:sz="0" w:space="0" w:color="auto"/>
            <w:left w:val="none" w:sz="0" w:space="0" w:color="auto"/>
            <w:bottom w:val="none" w:sz="0" w:space="0" w:color="auto"/>
            <w:right w:val="none" w:sz="0" w:space="0" w:color="auto"/>
          </w:divBdr>
        </w:div>
        <w:div w:id="648634157">
          <w:marLeft w:val="1800"/>
          <w:marRight w:val="0"/>
          <w:marTop w:val="100"/>
          <w:marBottom w:val="0"/>
          <w:divBdr>
            <w:top w:val="none" w:sz="0" w:space="0" w:color="auto"/>
            <w:left w:val="none" w:sz="0" w:space="0" w:color="auto"/>
            <w:bottom w:val="none" w:sz="0" w:space="0" w:color="auto"/>
            <w:right w:val="none" w:sz="0" w:space="0" w:color="auto"/>
          </w:divBdr>
        </w:div>
        <w:div w:id="702486530">
          <w:marLeft w:val="1080"/>
          <w:marRight w:val="0"/>
          <w:marTop w:val="100"/>
          <w:marBottom w:val="0"/>
          <w:divBdr>
            <w:top w:val="none" w:sz="0" w:space="0" w:color="auto"/>
            <w:left w:val="none" w:sz="0" w:space="0" w:color="auto"/>
            <w:bottom w:val="none" w:sz="0" w:space="0" w:color="auto"/>
            <w:right w:val="none" w:sz="0" w:space="0" w:color="auto"/>
          </w:divBdr>
        </w:div>
        <w:div w:id="1172910548">
          <w:marLeft w:val="360"/>
          <w:marRight w:val="0"/>
          <w:marTop w:val="200"/>
          <w:marBottom w:val="0"/>
          <w:divBdr>
            <w:top w:val="none" w:sz="0" w:space="0" w:color="auto"/>
            <w:left w:val="none" w:sz="0" w:space="0" w:color="auto"/>
            <w:bottom w:val="none" w:sz="0" w:space="0" w:color="auto"/>
            <w:right w:val="none" w:sz="0" w:space="0" w:color="auto"/>
          </w:divBdr>
        </w:div>
        <w:div w:id="1521778170">
          <w:marLeft w:val="1080"/>
          <w:marRight w:val="0"/>
          <w:marTop w:val="100"/>
          <w:marBottom w:val="0"/>
          <w:divBdr>
            <w:top w:val="none" w:sz="0" w:space="0" w:color="auto"/>
            <w:left w:val="none" w:sz="0" w:space="0" w:color="auto"/>
            <w:bottom w:val="none" w:sz="0" w:space="0" w:color="auto"/>
            <w:right w:val="none" w:sz="0" w:space="0" w:color="auto"/>
          </w:divBdr>
        </w:div>
        <w:div w:id="1718772861">
          <w:marLeft w:val="360"/>
          <w:marRight w:val="0"/>
          <w:marTop w:val="200"/>
          <w:marBottom w:val="0"/>
          <w:divBdr>
            <w:top w:val="none" w:sz="0" w:space="0" w:color="auto"/>
            <w:left w:val="none" w:sz="0" w:space="0" w:color="auto"/>
            <w:bottom w:val="none" w:sz="0" w:space="0" w:color="auto"/>
            <w:right w:val="none" w:sz="0" w:space="0" w:color="auto"/>
          </w:divBdr>
        </w:div>
        <w:div w:id="1987733624">
          <w:marLeft w:val="1080"/>
          <w:marRight w:val="0"/>
          <w:marTop w:val="100"/>
          <w:marBottom w:val="0"/>
          <w:divBdr>
            <w:top w:val="none" w:sz="0" w:space="0" w:color="auto"/>
            <w:left w:val="none" w:sz="0" w:space="0" w:color="auto"/>
            <w:bottom w:val="none" w:sz="0" w:space="0" w:color="auto"/>
            <w:right w:val="none" w:sz="0" w:space="0" w:color="auto"/>
          </w:divBdr>
        </w:div>
        <w:div w:id="2040158870">
          <w:marLeft w:val="360"/>
          <w:marRight w:val="0"/>
          <w:marTop w:val="200"/>
          <w:marBottom w:val="0"/>
          <w:divBdr>
            <w:top w:val="none" w:sz="0" w:space="0" w:color="auto"/>
            <w:left w:val="none" w:sz="0" w:space="0" w:color="auto"/>
            <w:bottom w:val="none" w:sz="0" w:space="0" w:color="auto"/>
            <w:right w:val="none" w:sz="0" w:space="0" w:color="auto"/>
          </w:divBdr>
        </w:div>
      </w:divsChild>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1037397">
      <w:bodyDiv w:val="1"/>
      <w:marLeft w:val="0"/>
      <w:marRight w:val="0"/>
      <w:marTop w:val="0"/>
      <w:marBottom w:val="0"/>
      <w:divBdr>
        <w:top w:val="none" w:sz="0" w:space="0" w:color="auto"/>
        <w:left w:val="none" w:sz="0" w:space="0" w:color="auto"/>
        <w:bottom w:val="none" w:sz="0" w:space="0" w:color="auto"/>
        <w:right w:val="none" w:sz="0" w:space="0" w:color="auto"/>
      </w:divBdr>
      <w:divsChild>
        <w:div w:id="734469970">
          <w:marLeft w:val="1080"/>
          <w:marRight w:val="0"/>
          <w:marTop w:val="100"/>
          <w:marBottom w:val="0"/>
          <w:divBdr>
            <w:top w:val="none" w:sz="0" w:space="0" w:color="auto"/>
            <w:left w:val="none" w:sz="0" w:space="0" w:color="auto"/>
            <w:bottom w:val="none" w:sz="0" w:space="0" w:color="auto"/>
            <w:right w:val="none" w:sz="0" w:space="0" w:color="auto"/>
          </w:divBdr>
        </w:div>
        <w:div w:id="822046765">
          <w:marLeft w:val="1080"/>
          <w:marRight w:val="0"/>
          <w:marTop w:val="100"/>
          <w:marBottom w:val="0"/>
          <w:divBdr>
            <w:top w:val="none" w:sz="0" w:space="0" w:color="auto"/>
            <w:left w:val="none" w:sz="0" w:space="0" w:color="auto"/>
            <w:bottom w:val="none" w:sz="0" w:space="0" w:color="auto"/>
            <w:right w:val="none" w:sz="0" w:space="0" w:color="auto"/>
          </w:divBdr>
        </w:div>
        <w:div w:id="1074620964">
          <w:marLeft w:val="1080"/>
          <w:marRight w:val="0"/>
          <w:marTop w:val="100"/>
          <w:marBottom w:val="0"/>
          <w:divBdr>
            <w:top w:val="none" w:sz="0" w:space="0" w:color="auto"/>
            <w:left w:val="none" w:sz="0" w:space="0" w:color="auto"/>
            <w:bottom w:val="none" w:sz="0" w:space="0" w:color="auto"/>
            <w:right w:val="none" w:sz="0" w:space="0" w:color="auto"/>
          </w:divBdr>
        </w:div>
        <w:div w:id="1369067973">
          <w:marLeft w:val="360"/>
          <w:marRight w:val="0"/>
          <w:marTop w:val="200"/>
          <w:marBottom w:val="0"/>
          <w:divBdr>
            <w:top w:val="none" w:sz="0" w:space="0" w:color="auto"/>
            <w:left w:val="none" w:sz="0" w:space="0" w:color="auto"/>
            <w:bottom w:val="none" w:sz="0" w:space="0" w:color="auto"/>
            <w:right w:val="none" w:sz="0" w:space="0" w:color="auto"/>
          </w:divBdr>
        </w:div>
        <w:div w:id="1675494532">
          <w:marLeft w:val="360"/>
          <w:marRight w:val="0"/>
          <w:marTop w:val="200"/>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2955497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4307611">
      <w:bodyDiv w:val="1"/>
      <w:marLeft w:val="0"/>
      <w:marRight w:val="0"/>
      <w:marTop w:val="0"/>
      <w:marBottom w:val="0"/>
      <w:divBdr>
        <w:top w:val="none" w:sz="0" w:space="0" w:color="auto"/>
        <w:left w:val="none" w:sz="0" w:space="0" w:color="auto"/>
        <w:bottom w:val="none" w:sz="0" w:space="0" w:color="auto"/>
        <w:right w:val="none" w:sz="0" w:space="0" w:color="auto"/>
      </w:divBdr>
      <w:divsChild>
        <w:div w:id="710418263">
          <w:marLeft w:val="360"/>
          <w:marRight w:val="0"/>
          <w:marTop w:val="200"/>
          <w:marBottom w:val="0"/>
          <w:divBdr>
            <w:top w:val="none" w:sz="0" w:space="0" w:color="auto"/>
            <w:left w:val="none" w:sz="0" w:space="0" w:color="auto"/>
            <w:bottom w:val="none" w:sz="0" w:space="0" w:color="auto"/>
            <w:right w:val="none" w:sz="0" w:space="0" w:color="auto"/>
          </w:divBdr>
        </w:div>
        <w:div w:id="1030374531">
          <w:marLeft w:val="360"/>
          <w:marRight w:val="0"/>
          <w:marTop w:val="200"/>
          <w:marBottom w:val="0"/>
          <w:divBdr>
            <w:top w:val="none" w:sz="0" w:space="0" w:color="auto"/>
            <w:left w:val="none" w:sz="0" w:space="0" w:color="auto"/>
            <w:bottom w:val="none" w:sz="0" w:space="0" w:color="auto"/>
            <w:right w:val="none" w:sz="0" w:space="0" w:color="auto"/>
          </w:divBdr>
        </w:div>
      </w:divsChild>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30856198">
      <w:bodyDiv w:val="1"/>
      <w:marLeft w:val="0"/>
      <w:marRight w:val="0"/>
      <w:marTop w:val="0"/>
      <w:marBottom w:val="0"/>
      <w:divBdr>
        <w:top w:val="none" w:sz="0" w:space="0" w:color="auto"/>
        <w:left w:val="none" w:sz="0" w:space="0" w:color="auto"/>
        <w:bottom w:val="none" w:sz="0" w:space="0" w:color="auto"/>
        <w:right w:val="none" w:sz="0" w:space="0" w:color="auto"/>
      </w:divBdr>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8889891">
      <w:bodyDiv w:val="1"/>
      <w:marLeft w:val="0"/>
      <w:marRight w:val="0"/>
      <w:marTop w:val="0"/>
      <w:marBottom w:val="0"/>
      <w:divBdr>
        <w:top w:val="none" w:sz="0" w:space="0" w:color="auto"/>
        <w:left w:val="none" w:sz="0" w:space="0" w:color="auto"/>
        <w:bottom w:val="none" w:sz="0" w:space="0" w:color="auto"/>
        <w:right w:val="none" w:sz="0" w:space="0" w:color="auto"/>
      </w:divBdr>
      <w:divsChild>
        <w:div w:id="1671910595">
          <w:marLeft w:val="360"/>
          <w:marRight w:val="0"/>
          <w:marTop w:val="200"/>
          <w:marBottom w:val="0"/>
          <w:divBdr>
            <w:top w:val="none" w:sz="0" w:space="0" w:color="auto"/>
            <w:left w:val="none" w:sz="0" w:space="0" w:color="auto"/>
            <w:bottom w:val="none" w:sz="0" w:space="0" w:color="auto"/>
            <w:right w:val="none" w:sz="0" w:space="0" w:color="auto"/>
          </w:divBdr>
        </w:div>
        <w:div w:id="1766799577">
          <w:marLeft w:val="360"/>
          <w:marRight w:val="0"/>
          <w:marTop w:val="200"/>
          <w:marBottom w:val="0"/>
          <w:divBdr>
            <w:top w:val="none" w:sz="0" w:space="0" w:color="auto"/>
            <w:left w:val="none" w:sz="0" w:space="0" w:color="auto"/>
            <w:bottom w:val="none" w:sz="0" w:space="0" w:color="auto"/>
            <w:right w:val="none" w:sz="0" w:space="0" w:color="auto"/>
          </w:divBdr>
        </w:div>
      </w:divsChild>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30428331">
      <w:bodyDiv w:val="1"/>
      <w:marLeft w:val="0"/>
      <w:marRight w:val="0"/>
      <w:marTop w:val="0"/>
      <w:marBottom w:val="0"/>
      <w:divBdr>
        <w:top w:val="none" w:sz="0" w:space="0" w:color="auto"/>
        <w:left w:val="none" w:sz="0" w:space="0" w:color="auto"/>
        <w:bottom w:val="none" w:sz="0" w:space="0" w:color="auto"/>
        <w:right w:val="none" w:sz="0" w:space="0" w:color="auto"/>
      </w:divBdr>
      <w:divsChild>
        <w:div w:id="147406992">
          <w:marLeft w:val="360"/>
          <w:marRight w:val="0"/>
          <w:marTop w:val="200"/>
          <w:marBottom w:val="0"/>
          <w:divBdr>
            <w:top w:val="none" w:sz="0" w:space="0" w:color="auto"/>
            <w:left w:val="none" w:sz="0" w:space="0" w:color="auto"/>
            <w:bottom w:val="none" w:sz="0" w:space="0" w:color="auto"/>
            <w:right w:val="none" w:sz="0" w:space="0" w:color="auto"/>
          </w:divBdr>
        </w:div>
        <w:div w:id="198783498">
          <w:marLeft w:val="360"/>
          <w:marRight w:val="0"/>
          <w:marTop w:val="200"/>
          <w:marBottom w:val="0"/>
          <w:divBdr>
            <w:top w:val="none" w:sz="0" w:space="0" w:color="auto"/>
            <w:left w:val="none" w:sz="0" w:space="0" w:color="auto"/>
            <w:bottom w:val="none" w:sz="0" w:space="0" w:color="auto"/>
            <w:right w:val="none" w:sz="0" w:space="0" w:color="auto"/>
          </w:divBdr>
        </w:div>
        <w:div w:id="644087949">
          <w:marLeft w:val="1080"/>
          <w:marRight w:val="0"/>
          <w:marTop w:val="100"/>
          <w:marBottom w:val="0"/>
          <w:divBdr>
            <w:top w:val="none" w:sz="0" w:space="0" w:color="auto"/>
            <w:left w:val="none" w:sz="0" w:space="0" w:color="auto"/>
            <w:bottom w:val="none" w:sz="0" w:space="0" w:color="auto"/>
            <w:right w:val="none" w:sz="0" w:space="0" w:color="auto"/>
          </w:divBdr>
        </w:div>
        <w:div w:id="731971701">
          <w:marLeft w:val="360"/>
          <w:marRight w:val="0"/>
          <w:marTop w:val="200"/>
          <w:marBottom w:val="0"/>
          <w:divBdr>
            <w:top w:val="none" w:sz="0" w:space="0" w:color="auto"/>
            <w:left w:val="none" w:sz="0" w:space="0" w:color="auto"/>
            <w:bottom w:val="none" w:sz="0" w:space="0" w:color="auto"/>
            <w:right w:val="none" w:sz="0" w:space="0" w:color="auto"/>
          </w:divBdr>
        </w:div>
        <w:div w:id="1065105793">
          <w:marLeft w:val="1080"/>
          <w:marRight w:val="0"/>
          <w:marTop w:val="100"/>
          <w:marBottom w:val="0"/>
          <w:divBdr>
            <w:top w:val="none" w:sz="0" w:space="0" w:color="auto"/>
            <w:left w:val="none" w:sz="0" w:space="0" w:color="auto"/>
            <w:bottom w:val="none" w:sz="0" w:space="0" w:color="auto"/>
            <w:right w:val="none" w:sz="0" w:space="0" w:color="auto"/>
          </w:divBdr>
        </w:div>
        <w:div w:id="1505394068">
          <w:marLeft w:val="360"/>
          <w:marRight w:val="0"/>
          <w:marTop w:val="200"/>
          <w:marBottom w:val="0"/>
          <w:divBdr>
            <w:top w:val="none" w:sz="0" w:space="0" w:color="auto"/>
            <w:left w:val="none" w:sz="0" w:space="0" w:color="auto"/>
            <w:bottom w:val="none" w:sz="0" w:space="0" w:color="auto"/>
            <w:right w:val="none" w:sz="0" w:space="0" w:color="auto"/>
          </w:divBdr>
        </w:div>
        <w:div w:id="1539856919">
          <w:marLeft w:val="360"/>
          <w:marRight w:val="0"/>
          <w:marTop w:val="200"/>
          <w:marBottom w:val="0"/>
          <w:divBdr>
            <w:top w:val="none" w:sz="0" w:space="0" w:color="auto"/>
            <w:left w:val="none" w:sz="0" w:space="0" w:color="auto"/>
            <w:bottom w:val="none" w:sz="0" w:space="0" w:color="auto"/>
            <w:right w:val="none" w:sz="0" w:space="0" w:color="auto"/>
          </w:divBdr>
        </w:div>
        <w:div w:id="1707875659">
          <w:marLeft w:val="360"/>
          <w:marRight w:val="0"/>
          <w:marTop w:val="200"/>
          <w:marBottom w:val="0"/>
          <w:divBdr>
            <w:top w:val="none" w:sz="0" w:space="0" w:color="auto"/>
            <w:left w:val="none" w:sz="0" w:space="0" w:color="auto"/>
            <w:bottom w:val="none" w:sz="0" w:space="0" w:color="auto"/>
            <w:right w:val="none" w:sz="0" w:space="0" w:color="auto"/>
          </w:divBdr>
        </w:div>
        <w:div w:id="1873762508">
          <w:marLeft w:val="360"/>
          <w:marRight w:val="0"/>
          <w:marTop w:val="200"/>
          <w:marBottom w:val="0"/>
          <w:divBdr>
            <w:top w:val="none" w:sz="0" w:space="0" w:color="auto"/>
            <w:left w:val="none" w:sz="0" w:space="0" w:color="auto"/>
            <w:bottom w:val="none" w:sz="0" w:space="0" w:color="auto"/>
            <w:right w:val="none" w:sz="0" w:space="0" w:color="auto"/>
          </w:divBdr>
        </w:div>
      </w:divsChild>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7145091">
      <w:bodyDiv w:val="1"/>
      <w:marLeft w:val="0"/>
      <w:marRight w:val="0"/>
      <w:marTop w:val="0"/>
      <w:marBottom w:val="0"/>
      <w:divBdr>
        <w:top w:val="none" w:sz="0" w:space="0" w:color="auto"/>
        <w:left w:val="none" w:sz="0" w:space="0" w:color="auto"/>
        <w:bottom w:val="none" w:sz="0" w:space="0" w:color="auto"/>
        <w:right w:val="none" w:sz="0" w:space="0" w:color="auto"/>
      </w:divBdr>
      <w:divsChild>
        <w:div w:id="373776237">
          <w:marLeft w:val="360"/>
          <w:marRight w:val="0"/>
          <w:marTop w:val="200"/>
          <w:marBottom w:val="0"/>
          <w:divBdr>
            <w:top w:val="none" w:sz="0" w:space="0" w:color="auto"/>
            <w:left w:val="none" w:sz="0" w:space="0" w:color="auto"/>
            <w:bottom w:val="none" w:sz="0" w:space="0" w:color="auto"/>
            <w:right w:val="none" w:sz="0" w:space="0" w:color="auto"/>
          </w:divBdr>
        </w:div>
        <w:div w:id="644706198">
          <w:marLeft w:val="1080"/>
          <w:marRight w:val="0"/>
          <w:marTop w:val="100"/>
          <w:marBottom w:val="0"/>
          <w:divBdr>
            <w:top w:val="none" w:sz="0" w:space="0" w:color="auto"/>
            <w:left w:val="none" w:sz="0" w:space="0" w:color="auto"/>
            <w:bottom w:val="none" w:sz="0" w:space="0" w:color="auto"/>
            <w:right w:val="none" w:sz="0" w:space="0" w:color="auto"/>
          </w:divBdr>
        </w:div>
        <w:div w:id="983699615">
          <w:marLeft w:val="360"/>
          <w:marRight w:val="0"/>
          <w:marTop w:val="200"/>
          <w:marBottom w:val="0"/>
          <w:divBdr>
            <w:top w:val="none" w:sz="0" w:space="0" w:color="auto"/>
            <w:left w:val="none" w:sz="0" w:space="0" w:color="auto"/>
            <w:bottom w:val="none" w:sz="0" w:space="0" w:color="auto"/>
            <w:right w:val="none" w:sz="0" w:space="0" w:color="auto"/>
          </w:divBdr>
        </w:div>
        <w:div w:id="1294098590">
          <w:marLeft w:val="1080"/>
          <w:marRight w:val="0"/>
          <w:marTop w:val="100"/>
          <w:marBottom w:val="0"/>
          <w:divBdr>
            <w:top w:val="none" w:sz="0" w:space="0" w:color="auto"/>
            <w:left w:val="none" w:sz="0" w:space="0" w:color="auto"/>
            <w:bottom w:val="none" w:sz="0" w:space="0" w:color="auto"/>
            <w:right w:val="none" w:sz="0" w:space="0" w:color="auto"/>
          </w:divBdr>
        </w:div>
        <w:div w:id="1445535086">
          <w:marLeft w:val="360"/>
          <w:marRight w:val="0"/>
          <w:marTop w:val="200"/>
          <w:marBottom w:val="0"/>
          <w:divBdr>
            <w:top w:val="none" w:sz="0" w:space="0" w:color="auto"/>
            <w:left w:val="none" w:sz="0" w:space="0" w:color="auto"/>
            <w:bottom w:val="none" w:sz="0" w:space="0" w:color="auto"/>
            <w:right w:val="none" w:sz="0" w:space="0" w:color="auto"/>
          </w:divBdr>
        </w:div>
        <w:div w:id="1949266378">
          <w:marLeft w:val="360"/>
          <w:marRight w:val="0"/>
          <w:marTop w:val="200"/>
          <w:marBottom w:val="0"/>
          <w:divBdr>
            <w:top w:val="none" w:sz="0" w:space="0" w:color="auto"/>
            <w:left w:val="none" w:sz="0" w:space="0" w:color="auto"/>
            <w:bottom w:val="none" w:sz="0" w:space="0" w:color="auto"/>
            <w:right w:val="none" w:sz="0" w:space="0" w:color="auto"/>
          </w:divBdr>
        </w:div>
      </w:divsChild>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915780546">
      <w:bodyDiv w:val="1"/>
      <w:marLeft w:val="0"/>
      <w:marRight w:val="0"/>
      <w:marTop w:val="0"/>
      <w:marBottom w:val="0"/>
      <w:divBdr>
        <w:top w:val="none" w:sz="0" w:space="0" w:color="auto"/>
        <w:left w:val="none" w:sz="0" w:space="0" w:color="auto"/>
        <w:bottom w:val="none" w:sz="0" w:space="0" w:color="auto"/>
        <w:right w:val="none" w:sz="0" w:space="0" w:color="auto"/>
      </w:divBdr>
      <w:divsChild>
        <w:div w:id="1452476950">
          <w:marLeft w:val="0"/>
          <w:marRight w:val="0"/>
          <w:marTop w:val="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1988701317">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48795046">
      <w:bodyDiv w:val="1"/>
      <w:marLeft w:val="0"/>
      <w:marRight w:val="0"/>
      <w:marTop w:val="0"/>
      <w:marBottom w:val="0"/>
      <w:divBdr>
        <w:top w:val="none" w:sz="0" w:space="0" w:color="auto"/>
        <w:left w:val="none" w:sz="0" w:space="0" w:color="auto"/>
        <w:bottom w:val="none" w:sz="0" w:space="0" w:color="auto"/>
        <w:right w:val="none" w:sz="0" w:space="0" w:color="auto"/>
      </w:divBdr>
    </w:div>
    <w:div w:id="2051221532">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56393113">
      <w:bodyDiv w:val="1"/>
      <w:marLeft w:val="0"/>
      <w:marRight w:val="0"/>
      <w:marTop w:val="0"/>
      <w:marBottom w:val="0"/>
      <w:divBdr>
        <w:top w:val="none" w:sz="0" w:space="0" w:color="auto"/>
        <w:left w:val="none" w:sz="0" w:space="0" w:color="auto"/>
        <w:bottom w:val="none" w:sz="0" w:space="0" w:color="auto"/>
        <w:right w:val="none" w:sz="0" w:space="0" w:color="auto"/>
      </w:divBdr>
    </w:div>
    <w:div w:id="2060787037">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106727734">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F2AFA9-6685-471F-A438-FE96819D4A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BB6A90-76D5-4D8E-BAA4-C1180F93A2EC}">
  <ds:schemaRefs>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F235F75A-9280-466D-846A-B8846F7C6749}">
  <ds:schemaRefs>
    <ds:schemaRef ds:uri="http://schemas.openxmlformats.org/officeDocument/2006/bibliography"/>
  </ds:schemaRefs>
</ds:datastoreItem>
</file>

<file path=customXml/itemProps4.xml><?xml version="1.0" encoding="utf-8"?>
<ds:datastoreItem xmlns:ds="http://schemas.openxmlformats.org/officeDocument/2006/customXml" ds:itemID="{58F541FF-4A5A-436A-A497-9EFF7E41E71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8</Pages>
  <Words>3501</Words>
  <Characters>18556</Characters>
  <Application>Microsoft Office Word</Application>
  <DocSecurity>0</DocSecurity>
  <Lines>154</Lines>
  <Paragraphs>44</Paragraphs>
  <ScaleCrop>false</ScaleCrop>
  <Company>ETSI Sophia Antipolis</Company>
  <LinksUpToDate>false</LinksUpToDate>
  <CharactersWithSpaces>22013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Ericsson</cp:lastModifiedBy>
  <cp:revision>15</cp:revision>
  <cp:lastPrinted>2010-11-10T19:00:00Z</cp:lastPrinted>
  <dcterms:created xsi:type="dcterms:W3CDTF">2021-05-11T20:13:00Z</dcterms:created>
  <dcterms:modified xsi:type="dcterms:W3CDTF">2021-05-11T20:23:00Z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