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49E9E15F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</w:t>
      </w:r>
      <w:r w:rsidR="007F4A42">
        <w:rPr>
          <w:rFonts w:cs="Arial"/>
          <w:b/>
          <w:sz w:val="24"/>
          <w:szCs w:val="24"/>
        </w:rPr>
        <w:t>99</w:t>
      </w:r>
      <w:r w:rsidR="00BF40C1">
        <w:rPr>
          <w:rFonts w:cs="Arial"/>
          <w:b/>
          <w:sz w:val="24"/>
          <w:szCs w:val="24"/>
        </w:rPr>
        <w:t>-</w:t>
      </w:r>
      <w:r w:rsidR="00593AEE">
        <w:rPr>
          <w:rFonts w:cs="Arial"/>
          <w:b/>
          <w:sz w:val="24"/>
          <w:szCs w:val="24"/>
        </w:rPr>
        <w:t>e</w:t>
      </w:r>
      <w:r>
        <w:rPr>
          <w:rFonts w:cs="Arial"/>
          <w:b/>
          <w:sz w:val="24"/>
          <w:szCs w:val="24"/>
        </w:rPr>
        <w:tab/>
      </w:r>
      <w:r w:rsidR="00BA4205" w:rsidRPr="00BA4205">
        <w:rPr>
          <w:rFonts w:cs="Arial"/>
          <w:b/>
          <w:sz w:val="24"/>
          <w:szCs w:val="24"/>
        </w:rPr>
        <w:t>R4-</w:t>
      </w:r>
      <w:r w:rsidR="004B7ABC" w:rsidRPr="004B7ABC">
        <w:rPr>
          <w:rFonts w:cs="Arial"/>
          <w:b/>
          <w:sz w:val="24"/>
          <w:szCs w:val="24"/>
        </w:rPr>
        <w:t>2109257</w:t>
      </w:r>
      <w:bookmarkStart w:id="1" w:name="_GoBack"/>
      <w:bookmarkEnd w:id="1"/>
    </w:p>
    <w:p w14:paraId="06BF1402" w14:textId="394188B4" w:rsidR="00F26BE6" w:rsidRDefault="00BF40C1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</w:t>
      </w:r>
      <w:r w:rsidR="007F4A42">
        <w:rPr>
          <w:rFonts w:cs="Arial"/>
          <w:b/>
          <w:sz w:val="24"/>
          <w:szCs w:val="24"/>
        </w:rPr>
        <w:t>9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</w:t>
      </w:r>
      <w:r w:rsidR="007F4A42">
        <w:rPr>
          <w:rFonts w:cs="Arial"/>
          <w:b/>
          <w:sz w:val="24"/>
          <w:szCs w:val="24"/>
        </w:rPr>
        <w:t>7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 w:rsidR="007F4A42">
        <w:rPr>
          <w:rFonts w:cs="Arial"/>
          <w:b/>
          <w:sz w:val="24"/>
          <w:szCs w:val="24"/>
        </w:rPr>
        <w:t>May</w:t>
      </w:r>
      <w:r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>20</w:t>
      </w:r>
      <w:bookmarkEnd w:id="0"/>
      <w:r w:rsidR="00F26BE6">
        <w:rPr>
          <w:rFonts w:cs="Arial"/>
          <w:b/>
          <w:sz w:val="24"/>
          <w:szCs w:val="24"/>
        </w:rPr>
        <w:t>2</w:t>
      </w:r>
      <w:r w:rsidR="00803C45">
        <w:rPr>
          <w:rFonts w:cs="Arial"/>
          <w:b/>
          <w:sz w:val="24"/>
          <w:szCs w:val="24"/>
        </w:rPr>
        <w:t>1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3903F4B3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715E6E">
        <w:rPr>
          <w:sz w:val="22"/>
        </w:rPr>
        <w:t>, Nokia Shanghai Bell</w:t>
      </w:r>
    </w:p>
    <w:p w14:paraId="5B6A96A7" w14:textId="35F355F8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2" w:name="_Hlk71539686"/>
      <w:r w:rsidR="00F7690A">
        <w:rPr>
          <w:sz w:val="22"/>
        </w:rPr>
        <w:t>PC2 A-MPR simulation results for NS_50 on n39</w:t>
      </w:r>
      <w:bookmarkEnd w:id="2"/>
    </w:p>
    <w:p w14:paraId="23226DA5" w14:textId="6C29A52F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F7690A" w:rsidRPr="00F7690A">
        <w:rPr>
          <w:bCs/>
          <w:sz w:val="22"/>
        </w:rPr>
        <w:t>8.34.2</w:t>
      </w:r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29B0ABA8" w:rsidR="006A6B9C" w:rsidRDefault="0067439B" w:rsidP="008B10F5">
      <w:r>
        <w:t xml:space="preserve">This contribution </w:t>
      </w:r>
      <w:r w:rsidR="00A64311">
        <w:t xml:space="preserve">presents </w:t>
      </w:r>
      <w:r>
        <w:t>simulated PC2 A-MPR results for additional spurious emission limit NS_50 on n39.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3DA73A2B" w14:textId="239C9AA9" w:rsidR="00E10098" w:rsidRDefault="0067439B" w:rsidP="00E10098">
      <w:r>
        <w:t xml:space="preserve">A-MPR results are simulated for </w:t>
      </w:r>
      <w:r w:rsidR="00A64311">
        <w:t xml:space="preserve">1TX </w:t>
      </w:r>
      <w:r>
        <w:t xml:space="preserve">PC2 NS_50 on n39 as discussed in [1]. </w:t>
      </w:r>
      <w:r w:rsidR="00A64311">
        <w:t xml:space="preserve">25 MHz, 30 MHz, and 40 MHz channel bandwidths are considered. </w:t>
      </w:r>
      <w:r>
        <w:t xml:space="preserve">The results are reported as total necessary backoff in cases where that backoff exceeds specified </w:t>
      </w:r>
      <w:r w:rsidR="00A64311">
        <w:t xml:space="preserve">PC2 </w:t>
      </w:r>
      <w:r>
        <w:t>MPR.</w:t>
      </w:r>
    </w:p>
    <w:p w14:paraId="4E950E09" w14:textId="268CE6EB" w:rsidR="00E10098" w:rsidRDefault="00E10098" w:rsidP="00E10098">
      <w:r>
        <w:t>The simulation assumptions were as follows:</w:t>
      </w:r>
    </w:p>
    <w:p w14:paraId="57A161A0" w14:textId="06838AD5" w:rsidR="00BF40C1" w:rsidRDefault="00BF40C1" w:rsidP="00E10098">
      <w:pPr>
        <w:pStyle w:val="ListParagraph"/>
        <w:numPr>
          <w:ilvl w:val="0"/>
          <w:numId w:val="8"/>
        </w:numPr>
      </w:pPr>
      <w:r>
        <w:t>IQ image and LO leakage = -28 dBc</w:t>
      </w:r>
      <w:r w:rsidR="00E10098">
        <w:t>,</w:t>
      </w:r>
    </w:p>
    <w:p w14:paraId="1DCCDF5B" w14:textId="01480C19" w:rsidR="00BF40C1" w:rsidRDefault="00BF40C1" w:rsidP="00E10098">
      <w:pPr>
        <w:pStyle w:val="ListParagraph"/>
        <w:numPr>
          <w:ilvl w:val="0"/>
          <w:numId w:val="8"/>
        </w:numPr>
      </w:pPr>
      <w:r>
        <w:t>CIM3 = -60 dBc</w:t>
      </w:r>
      <w:r w:rsidR="00E10098">
        <w:t>,</w:t>
      </w:r>
    </w:p>
    <w:p w14:paraId="7C389261" w14:textId="249C05E2" w:rsidR="00EA0331" w:rsidRDefault="00470375" w:rsidP="00E10098">
      <w:pPr>
        <w:pStyle w:val="ListParagraph"/>
        <w:numPr>
          <w:ilvl w:val="0"/>
          <w:numId w:val="8"/>
        </w:numPr>
      </w:pPr>
      <w:r>
        <w:t xml:space="preserve">PA calibration point was 20 MHz, 15 kHz, QPSK, DFT-S-OFMA, 100 RB at lower channel edge with </w:t>
      </w:r>
      <w:r w:rsidR="0067439B">
        <w:t>0.5</w:t>
      </w:r>
      <w:r w:rsidR="00353ADB">
        <w:t xml:space="preserve"> </w:t>
      </w:r>
      <w:r>
        <w:t>dB MPR</w:t>
      </w:r>
      <w:r w:rsidR="00676A68">
        <w:t>,</w:t>
      </w:r>
      <w:r w:rsidR="00071E0D">
        <w:t xml:space="preserve"> and</w:t>
      </w:r>
    </w:p>
    <w:p w14:paraId="0AF43AED" w14:textId="790A1990" w:rsidR="00C22231" w:rsidRDefault="00C22231" w:rsidP="00C22231">
      <w:pPr>
        <w:pStyle w:val="ListParagraph"/>
        <w:numPr>
          <w:ilvl w:val="0"/>
          <w:numId w:val="8"/>
        </w:numPr>
      </w:pPr>
      <w:r>
        <w:t>no IBE or EVM was evaluated.</w:t>
      </w:r>
    </w:p>
    <w:p w14:paraId="709AFE89" w14:textId="25CC7FAE" w:rsidR="00EA0331" w:rsidRDefault="000B7337" w:rsidP="00BF40C1">
      <w:pPr>
        <w:pStyle w:val="Heading1"/>
      </w:pPr>
      <w:r>
        <w:t>3</w:t>
      </w:r>
      <w:r w:rsidR="006376BE">
        <w:tab/>
      </w:r>
      <w:r w:rsidR="00150207">
        <w:t>Back-off Results</w:t>
      </w:r>
    </w:p>
    <w:p w14:paraId="314AF47A" w14:textId="091D55B7" w:rsidR="0067439B" w:rsidRPr="0067439B" w:rsidRDefault="0067439B" w:rsidP="0067439B">
      <w:r>
        <w:t>Below, representative examples of simulated PC2 A-MPR results are presented together with specified PC3 A-MPR regions. Further results, for DFT-S-OFDM waveform and modulations other than QSPK shown here, are included in Appendix 1. In Figures 1, 2, and 3 results for channel bandwidths 25 MHz, 30 MHz, and 40 MHz, respectively, are shown.</w:t>
      </w:r>
    </w:p>
    <w:p w14:paraId="507AB6C7" w14:textId="24B9F432" w:rsidR="002C5FC3" w:rsidRDefault="00A64311" w:rsidP="0067439B">
      <w:pPr>
        <w:jc w:val="center"/>
      </w:pPr>
      <w:r>
        <w:rPr>
          <w:noProof/>
        </w:rPr>
        <w:drawing>
          <wp:inline distT="0" distB="0" distL="0" distR="0" wp14:anchorId="09B8E4BB" wp14:editId="152BA16B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D9D8DD" wp14:editId="1C6160B1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92EEE" w14:textId="1A95E28E" w:rsidR="0067439B" w:rsidRDefault="0067439B" w:rsidP="0067439B">
      <w:pPr>
        <w:jc w:val="center"/>
      </w:pPr>
      <w:r>
        <w:rPr>
          <w:b/>
          <w:bCs/>
        </w:rPr>
        <w:t>Figure 1.</w:t>
      </w:r>
      <w:r>
        <w:t xml:space="preserve"> </w:t>
      </w:r>
      <w:r w:rsidR="00A64311">
        <w:t>Representative examples of s</w:t>
      </w:r>
      <w:r>
        <w:t>imulated PC2 backoff when exceeds MPR</w:t>
      </w:r>
      <w:r w:rsidR="00A64311">
        <w:t xml:space="preserve"> for channel bandwidth 25 MHz.</w:t>
      </w:r>
    </w:p>
    <w:p w14:paraId="40837D76" w14:textId="19B37078" w:rsidR="0067439B" w:rsidRDefault="00A64311" w:rsidP="0067439B">
      <w:pPr>
        <w:jc w:val="center"/>
      </w:pPr>
      <w:r>
        <w:rPr>
          <w:noProof/>
        </w:rPr>
        <w:lastRenderedPageBreak/>
        <w:drawing>
          <wp:inline distT="0" distB="0" distL="0" distR="0" wp14:anchorId="559F977F" wp14:editId="6683B46F">
            <wp:extent cx="2996190" cy="2246381"/>
            <wp:effectExtent l="0" t="0" r="0" b="1905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EE7241" wp14:editId="3DA1E61B">
            <wp:extent cx="2996190" cy="2246381"/>
            <wp:effectExtent l="0" t="0" r="0" b="1905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52B77" w14:textId="69C83A2F" w:rsidR="0067439B" w:rsidRPr="0067439B" w:rsidRDefault="0067439B" w:rsidP="0067439B">
      <w:pPr>
        <w:jc w:val="center"/>
      </w:pPr>
      <w:r>
        <w:rPr>
          <w:b/>
          <w:bCs/>
        </w:rPr>
        <w:t>Figure 2.</w:t>
      </w:r>
      <w:r>
        <w:t xml:space="preserve"> </w:t>
      </w:r>
      <w:r w:rsidR="00A64311">
        <w:t>Representative examples of simulated PC2 backoff when exceeds MPR for channel bandwidth 30 MHz</w:t>
      </w:r>
    </w:p>
    <w:p w14:paraId="325ED69C" w14:textId="525F1DF4" w:rsidR="0067439B" w:rsidRDefault="00A64311" w:rsidP="0067439B">
      <w:pPr>
        <w:jc w:val="center"/>
      </w:pPr>
      <w:r>
        <w:rPr>
          <w:noProof/>
        </w:rPr>
        <w:drawing>
          <wp:inline distT="0" distB="0" distL="0" distR="0" wp14:anchorId="2DB26366" wp14:editId="2F9C07C3">
            <wp:extent cx="2996190" cy="2246381"/>
            <wp:effectExtent l="0" t="0" r="0" b="1905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0CF14F" wp14:editId="59922B1B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57F2C" w14:textId="1B8BC038" w:rsidR="0067439B" w:rsidRDefault="0067439B" w:rsidP="0067439B">
      <w:pPr>
        <w:jc w:val="center"/>
      </w:pPr>
      <w:r>
        <w:rPr>
          <w:b/>
          <w:bCs/>
        </w:rPr>
        <w:t>Figure 3.</w:t>
      </w:r>
      <w:r>
        <w:t xml:space="preserve"> </w:t>
      </w:r>
      <w:r w:rsidR="00A64311">
        <w:t>Representative examples of simulated PC2 backoff when exceeds MPR for channel bandwidth 40 MHz.</w:t>
      </w:r>
    </w:p>
    <w:p w14:paraId="6DB4F049" w14:textId="77777777" w:rsidR="0067439B" w:rsidRDefault="0067439B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7B845ED2" w14:textId="2952589C" w:rsidR="008D3AD6" w:rsidRDefault="009521EB" w:rsidP="00BF40C1">
      <w:pPr>
        <w:pStyle w:val="Heading1"/>
      </w:pPr>
      <w:r>
        <w:lastRenderedPageBreak/>
        <w:t>4</w:t>
      </w:r>
      <w:r w:rsidR="008D3AD6">
        <w:tab/>
      </w:r>
      <w:r w:rsidR="008D3AD6" w:rsidRPr="00BF40C1">
        <w:t>Conclusion</w:t>
      </w:r>
    </w:p>
    <w:p w14:paraId="3255801D" w14:textId="4A7063FF" w:rsidR="00A64311" w:rsidRDefault="00A64311" w:rsidP="00A64311">
      <w:r>
        <w:t>We presented simulated PC2 A-MPR results for additional spurious emission limit NS_50 on n39.</w:t>
      </w:r>
    </w:p>
    <w:p w14:paraId="561E3900" w14:textId="26A866DF" w:rsidR="00165DA2" w:rsidRDefault="009521EB" w:rsidP="00BF40C1">
      <w:pPr>
        <w:pStyle w:val="Heading1"/>
      </w:pPr>
      <w:r>
        <w:t>5</w:t>
      </w:r>
      <w:r w:rsidR="00165DA2">
        <w:tab/>
      </w:r>
      <w:r w:rsidR="00165DA2" w:rsidRPr="00BF40C1">
        <w:t>Reference</w:t>
      </w:r>
      <w:r w:rsidR="00435A51" w:rsidRPr="00BF40C1">
        <w:t>s</w:t>
      </w:r>
    </w:p>
    <w:p w14:paraId="78673CF2" w14:textId="3BF23BB5" w:rsidR="00E10098" w:rsidRDefault="00E10098" w:rsidP="00E10098">
      <w:r w:rsidRPr="00A412D5">
        <w:t xml:space="preserve">[1] </w:t>
      </w:r>
      <w:r w:rsidR="00A64311">
        <w:t xml:space="preserve">R4-2105386, </w:t>
      </w:r>
      <w:r w:rsidR="00A64311" w:rsidRPr="00A64311">
        <w:rPr>
          <w:lang w:val="en-US"/>
        </w:rPr>
        <w:t>WF on PC2 n34 and n39 for NR</w:t>
      </w:r>
      <w:r w:rsidR="00A64311">
        <w:rPr>
          <w:lang w:val="en-US"/>
        </w:rPr>
        <w:t>, CMCC.</w:t>
      </w:r>
    </w:p>
    <w:p w14:paraId="74A6D001" w14:textId="59C28476" w:rsidR="00D8365E" w:rsidRDefault="00D8365E" w:rsidP="00D8365E">
      <w:pPr>
        <w:pStyle w:val="Heading1"/>
      </w:pPr>
      <w:r>
        <w:t>Appendix 1</w:t>
      </w:r>
    </w:p>
    <w:bookmarkStart w:id="3" w:name="_MON_1681916772"/>
    <w:bookmarkEnd w:id="3"/>
    <w:p w14:paraId="16609057" w14:textId="16CA5707" w:rsidR="0067439B" w:rsidRPr="0067439B" w:rsidRDefault="0067439B" w:rsidP="0067439B">
      <w:r>
        <w:object w:dxaOrig="1538" w:dyaOrig="994" w14:anchorId="113D8B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pt;height:49.55pt" o:ole="">
            <v:imagedata r:id="rId13" o:title=""/>
          </v:shape>
          <o:OLEObject Type="Embed" ProgID="Word.Document.12" ShapeID="_x0000_i1025" DrawAspect="Icon" ObjectID="_1682242999" r:id="rId14">
            <o:FieldCodes>\s</o:FieldCodes>
          </o:OLEObject>
        </w:object>
      </w:r>
      <w:bookmarkStart w:id="4" w:name="_MON_1681916780"/>
      <w:bookmarkEnd w:id="4"/>
      <w:r>
        <w:object w:dxaOrig="1538" w:dyaOrig="994" w14:anchorId="63665EC5">
          <v:shape id="_x0000_i1026" type="#_x0000_t75" style="width:77.2pt;height:49.55pt" o:ole="">
            <v:imagedata r:id="rId15" o:title=""/>
          </v:shape>
          <o:OLEObject Type="Embed" ProgID="Word.Document.12" ShapeID="_x0000_i1026" DrawAspect="Icon" ObjectID="_1682243000" r:id="rId16">
            <o:FieldCodes>\s</o:FieldCodes>
          </o:OLEObject>
        </w:object>
      </w:r>
      <w:bookmarkStart w:id="5" w:name="_MON_1681916785"/>
      <w:bookmarkEnd w:id="5"/>
      <w:r>
        <w:object w:dxaOrig="1538" w:dyaOrig="994" w14:anchorId="6B79565F">
          <v:shape id="_x0000_i1027" type="#_x0000_t75" style="width:77.2pt;height:49.55pt" o:ole="">
            <v:imagedata r:id="rId17" o:title=""/>
          </v:shape>
          <o:OLEObject Type="Embed" ProgID="Word.Document.12" ShapeID="_x0000_i1027" DrawAspect="Icon" ObjectID="_1682243001" r:id="rId18">
            <o:FieldCodes>\s</o:FieldCodes>
          </o:OLEObject>
        </w:object>
      </w:r>
    </w:p>
    <w:p w14:paraId="52507BB6" w14:textId="7FEDEAC0" w:rsidR="00D8365E" w:rsidRDefault="00D8365E" w:rsidP="00BF40C1"/>
    <w:sectPr w:rsidR="00D8365E" w:rsidSect="0053247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AEB5DE" w14:textId="77777777" w:rsidR="00B96832" w:rsidRDefault="00B96832" w:rsidP="002B3503">
      <w:pPr>
        <w:spacing w:after="0"/>
      </w:pPr>
      <w:r>
        <w:separator/>
      </w:r>
    </w:p>
  </w:endnote>
  <w:endnote w:type="continuationSeparator" w:id="0">
    <w:p w14:paraId="26E8C0B6" w14:textId="77777777" w:rsidR="00B96832" w:rsidRDefault="00B9683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121BC9" w14:textId="77777777" w:rsidR="00B96832" w:rsidRDefault="00B96832" w:rsidP="002B3503">
      <w:pPr>
        <w:spacing w:after="0"/>
      </w:pPr>
      <w:r>
        <w:separator/>
      </w:r>
    </w:p>
  </w:footnote>
  <w:footnote w:type="continuationSeparator" w:id="0">
    <w:p w14:paraId="1C5EDB86" w14:textId="77777777" w:rsidR="00B96832" w:rsidRDefault="00B9683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F0F3D"/>
    <w:multiLevelType w:val="hybridMultilevel"/>
    <w:tmpl w:val="73F26BA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94CE8"/>
    <w:multiLevelType w:val="hybridMultilevel"/>
    <w:tmpl w:val="37B6927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696FF1"/>
    <w:multiLevelType w:val="hybridMultilevel"/>
    <w:tmpl w:val="78B2D278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5"/>
  </w:num>
  <w:num w:numId="5">
    <w:abstractNumId w:val="4"/>
  </w:num>
  <w:num w:numId="6">
    <w:abstractNumId w:val="6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4742A"/>
    <w:rsid w:val="00056531"/>
    <w:rsid w:val="00071E0D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049CA"/>
    <w:rsid w:val="00111B4F"/>
    <w:rsid w:val="00131B06"/>
    <w:rsid w:val="001354E3"/>
    <w:rsid w:val="001364A1"/>
    <w:rsid w:val="0015000E"/>
    <w:rsid w:val="00150207"/>
    <w:rsid w:val="00152947"/>
    <w:rsid w:val="00160C85"/>
    <w:rsid w:val="0016131F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C5FC3"/>
    <w:rsid w:val="002F6A38"/>
    <w:rsid w:val="00312FD1"/>
    <w:rsid w:val="00331118"/>
    <w:rsid w:val="0034274F"/>
    <w:rsid w:val="00347DEA"/>
    <w:rsid w:val="00353ADB"/>
    <w:rsid w:val="003777FE"/>
    <w:rsid w:val="00403EF4"/>
    <w:rsid w:val="00416EE9"/>
    <w:rsid w:val="0042109F"/>
    <w:rsid w:val="00426A90"/>
    <w:rsid w:val="0043450E"/>
    <w:rsid w:val="004353CD"/>
    <w:rsid w:val="00435A51"/>
    <w:rsid w:val="00453BA5"/>
    <w:rsid w:val="00454E53"/>
    <w:rsid w:val="00464BAD"/>
    <w:rsid w:val="00470375"/>
    <w:rsid w:val="0047269F"/>
    <w:rsid w:val="00482477"/>
    <w:rsid w:val="00491386"/>
    <w:rsid w:val="00493B83"/>
    <w:rsid w:val="00494F18"/>
    <w:rsid w:val="004A41DA"/>
    <w:rsid w:val="004B7ABC"/>
    <w:rsid w:val="004C0103"/>
    <w:rsid w:val="004C58F9"/>
    <w:rsid w:val="004D0C67"/>
    <w:rsid w:val="004D38A8"/>
    <w:rsid w:val="004D3D81"/>
    <w:rsid w:val="004E4BF3"/>
    <w:rsid w:val="00532474"/>
    <w:rsid w:val="00545B26"/>
    <w:rsid w:val="00552A1D"/>
    <w:rsid w:val="00553FC9"/>
    <w:rsid w:val="00560A63"/>
    <w:rsid w:val="00564B2E"/>
    <w:rsid w:val="0056504C"/>
    <w:rsid w:val="00566E4B"/>
    <w:rsid w:val="00570B14"/>
    <w:rsid w:val="00585E98"/>
    <w:rsid w:val="00593AEE"/>
    <w:rsid w:val="00594743"/>
    <w:rsid w:val="005A4AB9"/>
    <w:rsid w:val="005B2640"/>
    <w:rsid w:val="005C12BE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64DF6"/>
    <w:rsid w:val="0067439B"/>
    <w:rsid w:val="00676A68"/>
    <w:rsid w:val="006919C7"/>
    <w:rsid w:val="006A3399"/>
    <w:rsid w:val="006A6B9C"/>
    <w:rsid w:val="006C198A"/>
    <w:rsid w:val="006C6840"/>
    <w:rsid w:val="006E7DBE"/>
    <w:rsid w:val="00715E6E"/>
    <w:rsid w:val="0072141E"/>
    <w:rsid w:val="00726265"/>
    <w:rsid w:val="00730F90"/>
    <w:rsid w:val="00734EBD"/>
    <w:rsid w:val="007A0711"/>
    <w:rsid w:val="007B2B10"/>
    <w:rsid w:val="007B2E62"/>
    <w:rsid w:val="007D20DF"/>
    <w:rsid w:val="007E0B9E"/>
    <w:rsid w:val="007F3181"/>
    <w:rsid w:val="007F4A42"/>
    <w:rsid w:val="00803C45"/>
    <w:rsid w:val="008236E4"/>
    <w:rsid w:val="00850296"/>
    <w:rsid w:val="00860A01"/>
    <w:rsid w:val="00874193"/>
    <w:rsid w:val="00897104"/>
    <w:rsid w:val="008A4493"/>
    <w:rsid w:val="008B10F5"/>
    <w:rsid w:val="008D10E7"/>
    <w:rsid w:val="008D3AD6"/>
    <w:rsid w:val="008E41BB"/>
    <w:rsid w:val="008E57B1"/>
    <w:rsid w:val="0091383D"/>
    <w:rsid w:val="009159AA"/>
    <w:rsid w:val="00940559"/>
    <w:rsid w:val="00947B31"/>
    <w:rsid w:val="009521EB"/>
    <w:rsid w:val="00996062"/>
    <w:rsid w:val="009A3DF2"/>
    <w:rsid w:val="009B1E68"/>
    <w:rsid w:val="00A21B5B"/>
    <w:rsid w:val="00A2770A"/>
    <w:rsid w:val="00A41675"/>
    <w:rsid w:val="00A451E8"/>
    <w:rsid w:val="00A51ACB"/>
    <w:rsid w:val="00A6018C"/>
    <w:rsid w:val="00A64311"/>
    <w:rsid w:val="00A7317E"/>
    <w:rsid w:val="00AB24AA"/>
    <w:rsid w:val="00AE3616"/>
    <w:rsid w:val="00AE6327"/>
    <w:rsid w:val="00AF7CB0"/>
    <w:rsid w:val="00B029EE"/>
    <w:rsid w:val="00B4385F"/>
    <w:rsid w:val="00B65B59"/>
    <w:rsid w:val="00B7292B"/>
    <w:rsid w:val="00B96832"/>
    <w:rsid w:val="00BA4205"/>
    <w:rsid w:val="00BA7DDF"/>
    <w:rsid w:val="00BC764C"/>
    <w:rsid w:val="00BE37F6"/>
    <w:rsid w:val="00BF40C1"/>
    <w:rsid w:val="00BF4B17"/>
    <w:rsid w:val="00C07117"/>
    <w:rsid w:val="00C21554"/>
    <w:rsid w:val="00C22231"/>
    <w:rsid w:val="00C22DCD"/>
    <w:rsid w:val="00C3512C"/>
    <w:rsid w:val="00C74380"/>
    <w:rsid w:val="00C81190"/>
    <w:rsid w:val="00CA0229"/>
    <w:rsid w:val="00CA324A"/>
    <w:rsid w:val="00CB50D4"/>
    <w:rsid w:val="00CD5859"/>
    <w:rsid w:val="00CF138C"/>
    <w:rsid w:val="00CF4404"/>
    <w:rsid w:val="00D275CC"/>
    <w:rsid w:val="00D31141"/>
    <w:rsid w:val="00D602F1"/>
    <w:rsid w:val="00D767C4"/>
    <w:rsid w:val="00D77CF5"/>
    <w:rsid w:val="00D8365E"/>
    <w:rsid w:val="00DC1586"/>
    <w:rsid w:val="00E10098"/>
    <w:rsid w:val="00E32B5A"/>
    <w:rsid w:val="00E33B68"/>
    <w:rsid w:val="00E355CC"/>
    <w:rsid w:val="00E402BB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7690A"/>
    <w:rsid w:val="00F93A40"/>
    <w:rsid w:val="00F97D64"/>
    <w:rsid w:val="00FD085A"/>
    <w:rsid w:val="00FD3526"/>
    <w:rsid w:val="00FD543C"/>
    <w:rsid w:val="00FE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53FC9"/>
    <w:rPr>
      <w:b/>
    </w:rPr>
  </w:style>
  <w:style w:type="paragraph" w:customStyle="1" w:styleId="TAC">
    <w:name w:val="TAC"/>
    <w:basedOn w:val="TAL"/>
    <w:link w:val="TACChar"/>
    <w:qFormat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53ADB"/>
    <w:rPr>
      <w:rFonts w:ascii="Times New Roman" w:hAnsi="Times New Roman"/>
      <w:lang w:val="en-GB" w:eastAsia="en-US"/>
    </w:rPr>
  </w:style>
  <w:style w:type="paragraph" w:customStyle="1" w:styleId="TableText">
    <w:name w:val="TableText"/>
    <w:basedOn w:val="BodyTextIndent"/>
    <w:qFormat/>
    <w:rsid w:val="00403EF4"/>
    <w:pPr>
      <w:spacing w:after="180"/>
      <w:ind w:leftChars="400" w:left="851"/>
    </w:pPr>
    <w:rPr>
      <w:rFonts w:eastAsia="Malgun Gothic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03EF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03E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package" Target="embeddings/Microsoft_Word_Document2.doc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1.docx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package" Target="embeddings/Microsoft_Word_Document.docx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5738</TotalTime>
  <Pages>3</Pages>
  <Words>197</Words>
  <Characters>1597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Marttila, Jaakko (Nokia - FI/Tampere)</cp:lastModifiedBy>
  <cp:revision>33</cp:revision>
  <cp:lastPrinted>1899-12-31T22:00:00Z</cp:lastPrinted>
  <dcterms:created xsi:type="dcterms:W3CDTF">2020-05-15T10:02:00Z</dcterms:created>
  <dcterms:modified xsi:type="dcterms:W3CDTF">2021-05-11T09:52:00Z</dcterms:modified>
</cp:coreProperties>
</file>