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03A803" w14:textId="20EDD33A" w:rsidR="00841BCD" w:rsidRPr="005A162E" w:rsidRDefault="005A162E"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i/>
          <w:sz w:val="32"/>
          <w:szCs w:val="20"/>
          <w:lang w:eastAsia="zh-CN"/>
        </w:rPr>
      </w:pPr>
      <w:bookmarkStart w:id="0" w:name="OLE_LINK5"/>
      <w:bookmarkStart w:id="1" w:name="OLE_LINK6"/>
      <w:r w:rsidRPr="005A162E">
        <w:rPr>
          <w:rFonts w:ascii="Arial" w:eastAsia="SimSun" w:hAnsi="Arial" w:cs="Times New Roman"/>
          <w:b/>
          <w:bCs/>
          <w:sz w:val="24"/>
          <w:szCs w:val="20"/>
          <w:lang w:val="en-GB"/>
        </w:rPr>
        <w:t>3GPP TSG-RAN WG4 Meeting # 99-e</w:t>
      </w:r>
      <w:r w:rsidR="00841BCD" w:rsidRPr="00841BCD">
        <w:rPr>
          <w:rFonts w:ascii="Arial" w:eastAsia="SimSun" w:hAnsi="Arial" w:cs="Times New Roman"/>
          <w:b/>
          <w:bCs/>
          <w:sz w:val="24"/>
          <w:szCs w:val="20"/>
          <w:lang w:val="en-GB"/>
        </w:rPr>
        <w:tab/>
      </w:r>
      <w:r w:rsidR="000A4602" w:rsidRPr="000A4602">
        <w:rPr>
          <w:rFonts w:ascii="Arial" w:eastAsia="SimSun" w:hAnsi="Arial" w:cs="Times New Roman"/>
          <w:b/>
          <w:bCs/>
          <w:sz w:val="24"/>
          <w:szCs w:val="20"/>
          <w:lang w:val="en-GB" w:eastAsia="ja-JP"/>
        </w:rPr>
        <w:t>R4-2111027</w:t>
      </w:r>
    </w:p>
    <w:bookmarkEnd w:id="0"/>
    <w:bookmarkEnd w:id="1"/>
    <w:p w14:paraId="048E4EB2" w14:textId="77777777" w:rsidR="005A162E" w:rsidRPr="005A162E" w:rsidRDefault="005A162E" w:rsidP="005A162E">
      <w:pPr>
        <w:tabs>
          <w:tab w:val="left" w:pos="1985"/>
        </w:tabs>
        <w:ind w:left="1985" w:hanging="1985"/>
        <w:rPr>
          <w:rFonts w:ascii="Arial" w:eastAsia="Calibri" w:hAnsi="Arial" w:cs="Arial"/>
          <w:b/>
          <w:bCs/>
          <w:sz w:val="24"/>
        </w:rPr>
      </w:pPr>
      <w:r w:rsidRPr="005A162E">
        <w:rPr>
          <w:rFonts w:ascii="Arial" w:eastAsia="Calibri" w:hAnsi="Arial" w:cs="Arial"/>
          <w:b/>
          <w:bCs/>
          <w:sz w:val="24"/>
        </w:rPr>
        <w:t>Electronic Meeting, May. 19-27, 2021</w:t>
      </w:r>
    </w:p>
    <w:p w14:paraId="5F210AFC" w14:textId="77777777" w:rsidR="005A162E" w:rsidRDefault="00841BCD" w:rsidP="005A162E">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p>
    <w:p w14:paraId="07624E8E" w14:textId="3CCEF4FC" w:rsidR="00841BCD" w:rsidRDefault="00841BCD" w:rsidP="005A162E">
      <w:pPr>
        <w:tabs>
          <w:tab w:val="left" w:pos="1985"/>
        </w:tabs>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C97A3A">
        <w:rPr>
          <w:rFonts w:ascii="Arial" w:eastAsia="Calibri" w:hAnsi="Arial" w:cs="Arial"/>
          <w:b/>
          <w:bCs/>
          <w:sz w:val="24"/>
        </w:rPr>
        <w:t xml:space="preserve">On </w:t>
      </w:r>
      <w:r w:rsidR="0097171F">
        <w:rPr>
          <w:rFonts w:ascii="Arial" w:eastAsia="Calibri" w:hAnsi="Arial" w:cs="Arial"/>
          <w:b/>
          <w:bCs/>
          <w:sz w:val="24"/>
        </w:rPr>
        <w:t>IAB-</w:t>
      </w:r>
      <w:r w:rsidR="00C24F40">
        <w:rPr>
          <w:rFonts w:ascii="Arial" w:eastAsia="Calibri" w:hAnsi="Arial" w:cs="Arial"/>
          <w:b/>
          <w:bCs/>
          <w:sz w:val="24"/>
        </w:rPr>
        <w:t>MT</w:t>
      </w:r>
      <w:r w:rsidR="0097171F">
        <w:rPr>
          <w:rFonts w:ascii="Arial" w:eastAsia="Calibri" w:hAnsi="Arial" w:cs="Arial"/>
          <w:b/>
          <w:bCs/>
          <w:sz w:val="24"/>
        </w:rPr>
        <w:t xml:space="preserve"> demodulation requirements</w:t>
      </w:r>
    </w:p>
    <w:p w14:paraId="6A9936F8" w14:textId="67B75F8C" w:rsidR="00651BCD" w:rsidRPr="002112C1" w:rsidRDefault="00651BCD" w:rsidP="005A162E">
      <w:pPr>
        <w:tabs>
          <w:tab w:val="left" w:pos="1985"/>
        </w:tabs>
        <w:ind w:left="1985" w:hanging="1985"/>
        <w:contextualSpacing/>
        <w:rPr>
          <w:rFonts w:ascii="Arial" w:eastAsia="Calibri" w:hAnsi="Arial" w:cs="Arial"/>
          <w:b/>
          <w:sz w:val="24"/>
          <w:szCs w:val="24"/>
          <w:lang w:val="en-150"/>
        </w:rPr>
      </w:pPr>
      <w:r w:rsidRPr="31A7CFFA">
        <w:rPr>
          <w:rFonts w:ascii="Arial" w:eastAsia="Calibri" w:hAnsi="Arial" w:cs="Arial"/>
          <w:b/>
          <w:sz w:val="24"/>
          <w:szCs w:val="24"/>
          <w:lang w:val="en-GB"/>
        </w:rPr>
        <w:t>Agenda item:</w:t>
      </w:r>
      <w:r>
        <w:tab/>
      </w:r>
      <w:r w:rsidRPr="31A7CFFA">
        <w:rPr>
          <w:rFonts w:ascii="Arial" w:eastAsia="Calibri" w:hAnsi="Arial" w:cs="Arial"/>
          <w:b/>
          <w:sz w:val="24"/>
          <w:szCs w:val="24"/>
        </w:rPr>
        <w:t>6</w:t>
      </w:r>
      <w:r w:rsidRPr="31A7CFFA">
        <w:rPr>
          <w:rFonts w:ascii="Arial" w:eastAsia="Calibri" w:hAnsi="Arial" w:cs="Arial"/>
          <w:b/>
          <w:sz w:val="24"/>
          <w:szCs w:val="24"/>
          <w:lang w:val="en-GB"/>
        </w:rPr>
        <w:t>.3.</w:t>
      </w:r>
      <w:r w:rsidR="22AD166D" w:rsidRPr="31A7CFFA">
        <w:rPr>
          <w:rFonts w:ascii="Arial" w:eastAsia="Calibri" w:hAnsi="Arial" w:cs="Arial"/>
          <w:b/>
          <w:bCs/>
          <w:sz w:val="24"/>
          <w:szCs w:val="24"/>
          <w:lang w:val="en-GB"/>
        </w:rPr>
        <w:t>6</w:t>
      </w:r>
      <w:r w:rsidRPr="31A7CFFA">
        <w:rPr>
          <w:rFonts w:ascii="Arial" w:eastAsia="Calibri" w:hAnsi="Arial" w:cs="Arial"/>
          <w:b/>
          <w:sz w:val="24"/>
          <w:szCs w:val="24"/>
          <w:lang w:val="en-GB"/>
        </w:rPr>
        <w:t>.3</w:t>
      </w:r>
      <w:r w:rsidR="002112C1">
        <w:rPr>
          <w:rFonts w:ascii="Arial" w:eastAsia="Calibri" w:hAnsi="Arial" w:cs="Arial"/>
          <w:b/>
          <w:sz w:val="24"/>
          <w:szCs w:val="24"/>
          <w:lang w:val="en-150"/>
        </w:rPr>
        <w:t xml:space="preserve"> </w:t>
      </w:r>
      <w:r w:rsidR="00875299" w:rsidRPr="00875299">
        <w:rPr>
          <w:rFonts w:ascii="Arial" w:eastAsia="Calibri" w:hAnsi="Arial" w:cs="Arial"/>
          <w:b/>
          <w:sz w:val="24"/>
          <w:szCs w:val="24"/>
          <w:lang w:val="en-150"/>
        </w:rPr>
        <w:t>IAB-MT performance requirements</w:t>
      </w:r>
      <w:r w:rsidR="00875299">
        <w:rPr>
          <w:rFonts w:ascii="Arial" w:eastAsia="Calibri" w:hAnsi="Arial" w:cs="Arial"/>
          <w:b/>
          <w:sz w:val="24"/>
          <w:szCs w:val="24"/>
          <w:lang w:val="en-150"/>
        </w:rPr>
        <w:t xml:space="preserve"> [</w:t>
      </w:r>
      <w:r w:rsidR="00765697" w:rsidRPr="00765697">
        <w:rPr>
          <w:rFonts w:ascii="Arial" w:eastAsia="Calibri" w:hAnsi="Arial" w:cs="Arial"/>
          <w:b/>
          <w:sz w:val="24"/>
          <w:szCs w:val="24"/>
          <w:lang w:val="en-150"/>
        </w:rPr>
        <w:t>NR_IAB-Perf</w:t>
      </w:r>
      <w:r w:rsidR="00875299">
        <w:rPr>
          <w:rFonts w:ascii="Arial" w:eastAsia="Calibri" w:hAnsi="Arial" w:cs="Arial"/>
          <w:b/>
          <w:sz w:val="24"/>
          <w:szCs w:val="24"/>
          <w:lang w:val="en-150"/>
        </w:rPr>
        <w:t>]</w:t>
      </w:r>
    </w:p>
    <w:p w14:paraId="61D8F1EF" w14:textId="0D7C81A2" w:rsidR="00147553" w:rsidRDefault="00841BCD" w:rsidP="00841BCD">
      <w:pPr>
        <w:tabs>
          <w:tab w:val="left" w:pos="1985"/>
        </w:tabs>
        <w:contextualSpacing/>
        <w:rPr>
          <w:rFonts w:ascii="Arial" w:eastAsia="Calibri" w:hAnsi="Arial" w:cs="Arial"/>
          <w:b/>
          <w:bCs/>
          <w:sz w:val="24"/>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C97A3A">
        <w:rPr>
          <w:rFonts w:ascii="Arial" w:eastAsia="Calibri" w:hAnsi="Arial" w:cs="Arial"/>
          <w:b/>
          <w:bCs/>
          <w:sz w:val="24"/>
        </w:rPr>
        <w:t>Discussion</w:t>
      </w:r>
    </w:p>
    <w:p w14:paraId="7C85CEA2" w14:textId="77777777" w:rsidR="005A162E" w:rsidRPr="00C97A3A" w:rsidRDefault="005A162E" w:rsidP="00841BCD">
      <w:pPr>
        <w:tabs>
          <w:tab w:val="left" w:pos="1985"/>
        </w:tabs>
        <w:rPr>
          <w:rFonts w:ascii="Arial" w:eastAsia="Calibri" w:hAnsi="Arial" w:cs="Arial"/>
          <w:b/>
          <w:bCs/>
          <w:sz w:val="24"/>
        </w:rPr>
      </w:pPr>
    </w:p>
    <w:p w14:paraId="74BF62F5" w14:textId="77777777" w:rsidR="00841BCD" w:rsidRDefault="00841BCD" w:rsidP="00A37002">
      <w:pPr>
        <w:pStyle w:val="RAN4H1"/>
      </w:pPr>
      <w:r w:rsidRPr="00AE56B1">
        <w:t>Intro</w:t>
      </w:r>
      <w:r w:rsidRPr="00AE56B1">
        <w:rPr>
          <w:rStyle w:val="RAN4H1Char"/>
        </w:rPr>
        <w:t>ductio</w:t>
      </w:r>
      <w:r w:rsidRPr="00AE56B1">
        <w:t>n</w:t>
      </w:r>
    </w:p>
    <w:p w14:paraId="7BCE9FF6" w14:textId="50927BE6" w:rsidR="00AD1CF2" w:rsidRDefault="00E85FB7" w:rsidP="00DB7BAB">
      <w:r>
        <w:t>After</w:t>
      </w:r>
      <w:r w:rsidR="00DB7BAB">
        <w:t xml:space="preserve"> the previous RAN WG4 meeting 9</w:t>
      </w:r>
      <w:r w:rsidR="00AD1CF2">
        <w:t>8</w:t>
      </w:r>
      <w:r>
        <w:t>bis</w:t>
      </w:r>
      <w:r w:rsidR="00DB7BAB">
        <w:t>-e</w:t>
      </w:r>
      <w:r>
        <w:t xml:space="preserve"> only a few </w:t>
      </w:r>
      <w:r w:rsidR="005728D8">
        <w:t>open issues left regarding the</w:t>
      </w:r>
      <w:r w:rsidR="00AD1CF2">
        <w:t xml:space="preserve"> </w:t>
      </w:r>
      <w:r w:rsidR="00DB7BAB">
        <w:t xml:space="preserve">IAB-MT </w:t>
      </w:r>
      <w:r w:rsidR="001C44A5">
        <w:t>demodulation</w:t>
      </w:r>
      <w:r w:rsidR="00DB7BAB">
        <w:t xml:space="preserve"> performance</w:t>
      </w:r>
      <w:r w:rsidR="00C731F3">
        <w:rPr>
          <w:lang w:val="ru-RU"/>
        </w:rPr>
        <w:t xml:space="preserve"> </w:t>
      </w:r>
      <w:r w:rsidR="00C731F3">
        <w:t>and CSI reporting</w:t>
      </w:r>
      <w:r w:rsidR="00DB7BAB">
        <w:t xml:space="preserve"> requirements.</w:t>
      </w:r>
      <w:r w:rsidR="2A8F1FDE">
        <w:t xml:space="preserve"> </w:t>
      </w:r>
      <w:r w:rsidR="00AD1CF2">
        <w:t>The email discussions are</w:t>
      </w:r>
      <w:r w:rsidR="00DB7BAB">
        <w:t xml:space="preserve"> summarized in</w:t>
      </w:r>
      <w:r w:rsidR="006A5FD7">
        <w:t xml:space="preserve"> </w:t>
      </w:r>
      <w:r w:rsidR="005116CC">
        <w:fldChar w:fldCharType="begin"/>
      </w:r>
      <w:r w:rsidR="005116CC">
        <w:instrText xml:space="preserve"> REF _Ref71197207 \r \h </w:instrText>
      </w:r>
      <w:r w:rsidR="005116CC">
        <w:fldChar w:fldCharType="separate"/>
      </w:r>
      <w:r w:rsidR="005116CC">
        <w:t>[1]</w:t>
      </w:r>
      <w:r w:rsidR="005116CC">
        <w:fldChar w:fldCharType="end"/>
      </w:r>
      <w:r w:rsidR="00DB7BAB">
        <w:t>.</w:t>
      </w:r>
    </w:p>
    <w:p w14:paraId="1E17550B" w14:textId="2EA14B28" w:rsidR="006C3CDE" w:rsidRDefault="00AD1CF2" w:rsidP="00605BC7">
      <w:r>
        <w:t>Following</w:t>
      </w:r>
      <w:r w:rsidR="00DB7BAB">
        <w:t xml:space="preserve"> the WF</w:t>
      </w:r>
      <w:r w:rsidR="005116CC">
        <w:t xml:space="preserve"> </w:t>
      </w:r>
      <w:r w:rsidR="005116CC">
        <w:fldChar w:fldCharType="begin"/>
      </w:r>
      <w:r w:rsidR="005116CC">
        <w:instrText xml:space="preserve"> REF _Ref71197219 \r \h </w:instrText>
      </w:r>
      <w:r w:rsidR="005116CC">
        <w:fldChar w:fldCharType="separate"/>
      </w:r>
      <w:r w:rsidR="005116CC">
        <w:t>[2]</w:t>
      </w:r>
      <w:r w:rsidR="005116CC">
        <w:fldChar w:fldCharType="end"/>
      </w:r>
      <w:r w:rsidR="00DB7BAB">
        <w:t xml:space="preserve">, </w:t>
      </w:r>
      <w:r>
        <w:t>in this contribution</w:t>
      </w:r>
      <w:r w:rsidR="004438EF">
        <w:t>,</w:t>
      </w:r>
      <w:r>
        <w:t xml:space="preserve"> we are </w:t>
      </w:r>
      <w:r w:rsidR="00A02AED">
        <w:t xml:space="preserve">clarifying our </w:t>
      </w:r>
      <w:r w:rsidR="003C21E6">
        <w:t xml:space="preserve">view </w:t>
      </w:r>
      <w:r w:rsidR="007F6458">
        <w:t>on the following open issues</w:t>
      </w:r>
      <w:r w:rsidR="00DB7BAB">
        <w:t>:</w:t>
      </w:r>
    </w:p>
    <w:p w14:paraId="62FC8854" w14:textId="77777777" w:rsidR="00410A54" w:rsidRPr="00410A54" w:rsidRDefault="00811644" w:rsidP="00AC3278">
      <w:pPr>
        <w:pStyle w:val="ListParagraph"/>
        <w:numPr>
          <w:ilvl w:val="0"/>
          <w:numId w:val="6"/>
        </w:numPr>
      </w:pPr>
      <w:r>
        <w:t>Down scoping and changing of propagation conditions</w:t>
      </w:r>
    </w:p>
    <w:p w14:paraId="5E30D879" w14:textId="0D06EC97" w:rsidR="00605BC7" w:rsidRPr="00410A54" w:rsidRDefault="004651AF" w:rsidP="00AC3278">
      <w:pPr>
        <w:pStyle w:val="ListParagraph"/>
        <w:numPr>
          <w:ilvl w:val="1"/>
          <w:numId w:val="6"/>
        </w:numPr>
      </w:pPr>
      <w:r>
        <w:t>PRB bundling size</w:t>
      </w:r>
    </w:p>
    <w:p w14:paraId="5DAF09D0" w14:textId="10D10657" w:rsidR="00410A54" w:rsidRDefault="00C158DD" w:rsidP="00AC3278">
      <w:pPr>
        <w:pStyle w:val="ListParagraph"/>
        <w:numPr>
          <w:ilvl w:val="1"/>
          <w:numId w:val="6"/>
        </w:numPr>
      </w:pPr>
      <w:r>
        <w:t>Alignment of simulation results</w:t>
      </w:r>
    </w:p>
    <w:p w14:paraId="1BC40ABF" w14:textId="377ABD7C" w:rsidR="006B3D8A" w:rsidRPr="004651AF" w:rsidRDefault="004651AF" w:rsidP="00AC3278">
      <w:pPr>
        <w:pStyle w:val="ListParagraph"/>
        <w:numPr>
          <w:ilvl w:val="0"/>
          <w:numId w:val="6"/>
        </w:numPr>
      </w:pPr>
      <w:r>
        <w:t>Test tolerances values</w:t>
      </w:r>
    </w:p>
    <w:p w14:paraId="7AC41E7A" w14:textId="65D96A3C" w:rsidR="004651AF" w:rsidRPr="00605BC7" w:rsidRDefault="00C158DD" w:rsidP="00AC3278">
      <w:pPr>
        <w:pStyle w:val="ListParagraph"/>
        <w:numPr>
          <w:ilvl w:val="0"/>
          <w:numId w:val="6"/>
        </w:numPr>
      </w:pPr>
      <w:r>
        <w:t>Formulation of PMI and RI reporting requirements</w:t>
      </w:r>
    </w:p>
    <w:p w14:paraId="60CD7E6D" w14:textId="4EBF4A8E" w:rsidR="007B40AD" w:rsidRPr="00605BC7" w:rsidRDefault="007B40AD" w:rsidP="00AC3278">
      <w:pPr>
        <w:pStyle w:val="ListParagraph"/>
        <w:numPr>
          <w:ilvl w:val="0"/>
          <w:numId w:val="6"/>
        </w:numPr>
      </w:pPr>
      <w:r>
        <w:rPr>
          <w:lang w:val="en-GB"/>
        </w:rPr>
        <w:t>Some editorial observations for CRs</w:t>
      </w:r>
    </w:p>
    <w:p w14:paraId="545678A9" w14:textId="7E19BDE0" w:rsidR="00605BC7" w:rsidRPr="00DD4C0F" w:rsidRDefault="00531016" w:rsidP="00605BC7">
      <w:r>
        <w:t xml:space="preserve">The calibration simulations result related to the change of </w:t>
      </w:r>
      <w:r w:rsidR="006F7D8B">
        <w:t>propagation</w:t>
      </w:r>
      <w:r>
        <w:t xml:space="preserve"> conditions </w:t>
      </w:r>
      <w:r w:rsidR="006F7D8B">
        <w:t>for PDSCH</w:t>
      </w:r>
      <w:r w:rsidR="00CF31A7">
        <w:t>,</w:t>
      </w:r>
      <w:r w:rsidR="006F7D8B">
        <w:t xml:space="preserve"> and PDCCH tests are </w:t>
      </w:r>
      <w:r w:rsidR="00DD4C0F">
        <w:t>presented in the Excel file submitted together with this contribution.</w:t>
      </w:r>
    </w:p>
    <w:p w14:paraId="2ABC2115" w14:textId="40CB258D" w:rsidR="00B54414" w:rsidRDefault="00B54414" w:rsidP="00605BC7"/>
    <w:p w14:paraId="4C6C779A" w14:textId="77777777" w:rsidR="00147553" w:rsidRPr="00605BC7" w:rsidRDefault="00147553" w:rsidP="00605BC7"/>
    <w:p w14:paraId="2EDF1EB7" w14:textId="7640D877" w:rsidR="00864B6F" w:rsidRPr="00593DEC" w:rsidRDefault="00593DEC" w:rsidP="00AC3278">
      <w:pPr>
        <w:pStyle w:val="RAN4H1"/>
      </w:pPr>
      <w:r w:rsidRPr="00593DEC">
        <w:t>Down scoping and changing of propagation conditions</w:t>
      </w:r>
    </w:p>
    <w:p w14:paraId="3672E08B" w14:textId="611CE176" w:rsidR="0076188B" w:rsidRDefault="00DD4B24" w:rsidP="00DA176E">
      <w:r>
        <w:t xml:space="preserve">In the previous meeting the companies </w:t>
      </w:r>
      <w:r w:rsidR="00A45838">
        <w:rPr>
          <w:lang w:val="en-150"/>
        </w:rPr>
        <w:t>have</w:t>
      </w:r>
      <w:r>
        <w:t xml:space="preserve"> contributed their</w:t>
      </w:r>
      <w:r w:rsidR="005C21E7">
        <w:t xml:space="preserve"> PDSCH and PDCCH simulation results with update</w:t>
      </w:r>
      <w:r w:rsidR="00730FAA">
        <w:rPr>
          <w:lang w:val="en-150"/>
        </w:rPr>
        <w:t>d</w:t>
      </w:r>
      <w:r w:rsidR="005C21E7">
        <w:t xml:space="preserve"> propagation conditions</w:t>
      </w:r>
      <w:r w:rsidR="00F101DF">
        <w:t>. However, some of the</w:t>
      </w:r>
      <w:r w:rsidR="00730FAA">
        <w:rPr>
          <w:lang w:val="en-150"/>
        </w:rPr>
        <w:t xml:space="preserve"> PDCCH</w:t>
      </w:r>
      <w:r w:rsidR="00F101DF">
        <w:t xml:space="preserve"> results</w:t>
      </w:r>
      <w:r w:rsidR="001873E6">
        <w:t xml:space="preserve">, especially </w:t>
      </w:r>
      <w:r w:rsidR="00730FAA">
        <w:rPr>
          <w:lang w:val="en-150"/>
        </w:rPr>
        <w:t>Test</w:t>
      </w:r>
      <w:r w:rsidR="001873E6">
        <w:t xml:space="preserve"> case</w:t>
      </w:r>
      <w:r w:rsidR="00730FAA">
        <w:rPr>
          <w:lang w:val="en-150"/>
        </w:rPr>
        <w:t>s</w:t>
      </w:r>
      <w:r w:rsidR="001873E6">
        <w:t xml:space="preserve"> 1 and 3</w:t>
      </w:r>
      <w:r w:rsidR="00B61BD6">
        <w:t>,</w:t>
      </w:r>
      <w:r w:rsidR="001873E6">
        <w:t xml:space="preserve"> were rather different between the companies.</w:t>
      </w:r>
      <w:r w:rsidR="00B61BD6">
        <w:t xml:space="preserve"> </w:t>
      </w:r>
      <w:r w:rsidR="00607298">
        <w:t xml:space="preserve">Therefore, in the WF </w:t>
      </w:r>
      <w:r w:rsidR="00607298">
        <w:fldChar w:fldCharType="begin"/>
      </w:r>
      <w:r w:rsidR="00607298">
        <w:instrText xml:space="preserve"> REF _Ref71197219 \r \h </w:instrText>
      </w:r>
      <w:r w:rsidR="00607298">
        <w:fldChar w:fldCharType="separate"/>
      </w:r>
      <w:r w:rsidR="00607298">
        <w:t>[2]</w:t>
      </w:r>
      <w:r w:rsidR="00607298">
        <w:fldChar w:fldCharType="end"/>
      </w:r>
      <w:r w:rsidR="00607298">
        <w:t xml:space="preserve">, </w:t>
      </w:r>
      <w:r w:rsidR="004A3434">
        <w:t>a mechanism to cope with strong misalignments in the results was discussed:</w:t>
      </w:r>
    </w:p>
    <w:tbl>
      <w:tblPr>
        <w:tblStyle w:val="TableGrid"/>
        <w:tblW w:w="8505" w:type="dxa"/>
        <w:tblInd w:w="421" w:type="dxa"/>
        <w:tblLook w:val="04A0" w:firstRow="1" w:lastRow="0" w:firstColumn="1" w:lastColumn="0" w:noHBand="0" w:noVBand="1"/>
      </w:tblPr>
      <w:tblGrid>
        <w:gridCol w:w="8505"/>
      </w:tblGrid>
      <w:tr w:rsidR="004A3434" w14:paraId="5D209C04" w14:textId="77777777" w:rsidTr="004A3434">
        <w:tc>
          <w:tcPr>
            <w:tcW w:w="8505" w:type="dxa"/>
          </w:tcPr>
          <w:p w14:paraId="41B34262" w14:textId="77777777" w:rsidR="009D453F" w:rsidRPr="009D453F" w:rsidRDefault="009D453F" w:rsidP="00AC3278">
            <w:pPr>
              <w:pStyle w:val="ListParagraph"/>
              <w:numPr>
                <w:ilvl w:val="0"/>
                <w:numId w:val="7"/>
              </w:numPr>
            </w:pPr>
            <w:r w:rsidRPr="009D453F">
              <w:t>Down scoping and changing of propagation conditions</w:t>
            </w:r>
          </w:p>
          <w:p w14:paraId="15067F2C" w14:textId="77777777" w:rsidR="009D453F" w:rsidRPr="009D453F" w:rsidRDefault="009D453F" w:rsidP="00AC3278">
            <w:pPr>
              <w:pStyle w:val="ListParagraph"/>
              <w:numPr>
                <w:ilvl w:val="1"/>
                <w:numId w:val="7"/>
              </w:numPr>
            </w:pPr>
            <w:r w:rsidRPr="009D453F">
              <w:t>Replace propagation conditions (FR1: TDLC300-100 -&gt; TDLA30-10; FR2: TDLA30-300 -&gt; TDLA30-75) and provide simulation results for alignment.</w:t>
            </w:r>
          </w:p>
          <w:p w14:paraId="35497F18" w14:textId="77777777" w:rsidR="009D453F" w:rsidRPr="009D453F" w:rsidRDefault="009D453F" w:rsidP="00AC3278">
            <w:pPr>
              <w:pStyle w:val="ListParagraph"/>
              <w:numPr>
                <w:ilvl w:val="1"/>
                <w:numId w:val="7"/>
              </w:numPr>
            </w:pPr>
            <w:r w:rsidRPr="009D453F">
              <w:t>If less than 3 companies provide results within a span of 2.5 dB the results are considered to be misaligned.</w:t>
            </w:r>
          </w:p>
          <w:p w14:paraId="5F9D99D4" w14:textId="77777777" w:rsidR="009D453F" w:rsidRPr="009D453F" w:rsidRDefault="009D453F" w:rsidP="00AC3278">
            <w:pPr>
              <w:pStyle w:val="ListParagraph"/>
              <w:numPr>
                <w:ilvl w:val="1"/>
                <w:numId w:val="7"/>
              </w:numPr>
            </w:pPr>
            <w:r w:rsidRPr="009D453F">
              <w:t xml:space="preserve">FFS: Consequences of misalignment are: </w:t>
            </w:r>
          </w:p>
          <w:p w14:paraId="3C233940" w14:textId="77777777" w:rsidR="009D453F" w:rsidRPr="009D453F" w:rsidRDefault="009D453F" w:rsidP="00AC3278">
            <w:pPr>
              <w:pStyle w:val="ListParagraph"/>
              <w:numPr>
                <w:ilvl w:val="2"/>
                <w:numId w:val="7"/>
              </w:numPr>
            </w:pPr>
            <w:r w:rsidRPr="009D453F">
              <w:t>Option 6a): Requirements remain in square brackets.</w:t>
            </w:r>
          </w:p>
          <w:p w14:paraId="2E5820EC" w14:textId="77777777" w:rsidR="009D453F" w:rsidRPr="009D453F" w:rsidRDefault="009D453F" w:rsidP="00AC3278">
            <w:pPr>
              <w:pStyle w:val="ListParagraph"/>
              <w:numPr>
                <w:ilvl w:val="2"/>
                <w:numId w:val="7"/>
              </w:numPr>
            </w:pPr>
            <w:r w:rsidRPr="009D453F">
              <w:t>Option 6b): Add extra margin.</w:t>
            </w:r>
          </w:p>
          <w:p w14:paraId="38A64137" w14:textId="17B98B84" w:rsidR="004A3434" w:rsidRPr="009D453F" w:rsidRDefault="009D453F" w:rsidP="00AC3278">
            <w:pPr>
              <w:pStyle w:val="ListParagraph"/>
              <w:numPr>
                <w:ilvl w:val="2"/>
                <w:numId w:val="7"/>
              </w:numPr>
            </w:pPr>
            <w:r w:rsidRPr="009D453F">
              <w:t>Option 6c): Copy-paste requirements from UE specification (including the channel model of the UE specification)</w:t>
            </w:r>
          </w:p>
        </w:tc>
      </w:tr>
    </w:tbl>
    <w:p w14:paraId="247C8FA9" w14:textId="6ABDBBB3" w:rsidR="004A3434" w:rsidRDefault="004A3434" w:rsidP="00DA176E"/>
    <w:p w14:paraId="0BD6ADC7" w14:textId="5D8CC1DE" w:rsidR="00071AA2" w:rsidRDefault="00F2753D" w:rsidP="00DA176E">
      <w:r>
        <w:t xml:space="preserve">In the </w:t>
      </w:r>
      <w:r w:rsidR="00D2495C">
        <w:t xml:space="preserve">Excel file accompanying this contribution, </w:t>
      </w:r>
      <w:r w:rsidR="00024BC0">
        <w:t xml:space="preserve">we are reporting revised PDCCH simulations results. </w:t>
      </w:r>
      <w:r w:rsidR="00E342EF">
        <w:t xml:space="preserve">After the update, </w:t>
      </w:r>
      <w:r w:rsidR="001D7073">
        <w:rPr>
          <w:lang w:val="en-GB"/>
        </w:rPr>
        <w:t>no more outliers</w:t>
      </w:r>
      <w:r w:rsidR="00C72065">
        <w:rPr>
          <w:lang w:val="en-GB"/>
        </w:rPr>
        <w:t xml:space="preserve"> are </w:t>
      </w:r>
      <w:r w:rsidR="001D7073">
        <w:rPr>
          <w:lang w:val="en-GB"/>
        </w:rPr>
        <w:t>present</w:t>
      </w:r>
      <w:r w:rsidR="00E53957">
        <w:t>.</w:t>
      </w:r>
    </w:p>
    <w:p w14:paraId="691FBB8B" w14:textId="465148C6" w:rsidR="00E53957" w:rsidRDefault="00E53957" w:rsidP="00E53957">
      <w:pPr>
        <w:pStyle w:val="RAN4observation0"/>
      </w:pPr>
      <w:r>
        <w:t xml:space="preserve">After our </w:t>
      </w:r>
      <w:r w:rsidR="00724D94">
        <w:t xml:space="preserve">revision of the PDCCH simulation results we </w:t>
      </w:r>
      <w:r w:rsidR="00B428BE">
        <w:t xml:space="preserve">are observing </w:t>
      </w:r>
      <w:r w:rsidR="00E54041">
        <w:rPr>
          <w:lang w:val="en-150"/>
        </w:rPr>
        <w:t>better</w:t>
      </w:r>
      <w:r w:rsidR="00B428BE">
        <w:t xml:space="preserve"> alignment of test requirements between the companies</w:t>
      </w:r>
      <w:r w:rsidR="000E2405">
        <w:t>, at least based on the data available from the RAN4#</w:t>
      </w:r>
      <w:r w:rsidR="00AF4C05">
        <w:t>98bis-e meeting.</w:t>
      </w:r>
    </w:p>
    <w:p w14:paraId="29B28C66" w14:textId="1F0272B8" w:rsidR="00B428BE" w:rsidRDefault="0021787E" w:rsidP="00434779">
      <w:pPr>
        <w:pStyle w:val="RAN4proposal"/>
      </w:pPr>
      <w:r>
        <w:t xml:space="preserve">If </w:t>
      </w:r>
      <w:r w:rsidR="00A60F16">
        <w:t xml:space="preserve">there are no considerable changes </w:t>
      </w:r>
      <w:r w:rsidR="00B749D7">
        <w:rPr>
          <w:lang w:val="en-150"/>
        </w:rPr>
        <w:t>in</w:t>
      </w:r>
      <w:r w:rsidR="00A60F16">
        <w:t xml:space="preserve"> the results provide by </w:t>
      </w:r>
      <w:r w:rsidR="0088049D">
        <w:t>other</w:t>
      </w:r>
      <w:r w:rsidR="00A60F16">
        <w:t xml:space="preserve"> companies in RAN4#98bis-e meeting and</w:t>
      </w:r>
      <w:r w:rsidR="00172D7A">
        <w:t xml:space="preserve"> at least</w:t>
      </w:r>
      <w:r w:rsidR="00A60F16" w:rsidRPr="00A60F16">
        <w:t xml:space="preserve"> 3 companies provide results within a span of 2.5 dB</w:t>
      </w:r>
      <w:r w:rsidR="00172D7A">
        <w:t>,</w:t>
      </w:r>
      <w:r w:rsidR="00573CED">
        <w:t xml:space="preserve"> RAN4 to replace propagation </w:t>
      </w:r>
      <w:r w:rsidR="00573CED">
        <w:lastRenderedPageBreak/>
        <w:t>conditions (</w:t>
      </w:r>
      <w:r w:rsidR="00573CED" w:rsidRPr="00573CED">
        <w:t>FR1: TDLC300-100 -&gt; TDLA30-10; FR2: TDLA30-300 -&gt; TDLA30-75)</w:t>
      </w:r>
      <w:r w:rsidR="007B76CF">
        <w:t xml:space="preserve"> for PDCCH and PDCCH IAB-MT test requirements.</w:t>
      </w:r>
    </w:p>
    <w:p w14:paraId="47E94F51" w14:textId="14D266A1" w:rsidR="007B76CF" w:rsidRPr="007B76CF" w:rsidRDefault="00E368B4" w:rsidP="007B76CF">
      <w:pPr>
        <w:pStyle w:val="RAN4proposal"/>
      </w:pPr>
      <w:r>
        <w:t>If the results are</w:t>
      </w:r>
      <w:r w:rsidR="00781770">
        <w:t xml:space="preserve"> still</w:t>
      </w:r>
      <w:r>
        <w:t xml:space="preserve"> considered to be misaligned, </w:t>
      </w:r>
      <w:r w:rsidR="00601EDB">
        <w:t xml:space="preserve">we prefer to </w:t>
      </w:r>
      <w:r w:rsidR="00601EDB" w:rsidRPr="00601EDB">
        <w:t>Copy-paste requirements from UE specification (including the channel model of the UE specification)</w:t>
      </w:r>
      <w:r w:rsidR="00601EDB">
        <w:t>.</w:t>
      </w:r>
    </w:p>
    <w:p w14:paraId="25C74A66" w14:textId="4EEC08C7" w:rsidR="0076188B" w:rsidRDefault="00601EDB" w:rsidP="00DA176E">
      <w:r>
        <w:t xml:space="preserve">Additionally, </w:t>
      </w:r>
      <w:r w:rsidR="00C72CAB">
        <w:t xml:space="preserve">the issue related to the PRB bundling size </w:t>
      </w:r>
      <w:r w:rsidR="004360A2">
        <w:t>was discussed</w:t>
      </w:r>
      <w:r w:rsidR="0055643B">
        <w:t xml:space="preserve"> </w:t>
      </w:r>
      <w:r w:rsidR="00133101">
        <w:fldChar w:fldCharType="begin"/>
      </w:r>
      <w:r w:rsidR="00133101">
        <w:instrText xml:space="preserve"> REF _Ref71197219 \r \h </w:instrText>
      </w:r>
      <w:r w:rsidR="00133101">
        <w:fldChar w:fldCharType="separate"/>
      </w:r>
      <w:r w:rsidR="00133101">
        <w:t>[2]</w:t>
      </w:r>
      <w:r w:rsidR="00133101">
        <w:fldChar w:fldCharType="end"/>
      </w:r>
      <w:r w:rsidR="004360A2">
        <w:t>:</w:t>
      </w:r>
    </w:p>
    <w:tbl>
      <w:tblPr>
        <w:tblStyle w:val="TableGrid"/>
        <w:tblW w:w="8505" w:type="dxa"/>
        <w:tblInd w:w="421" w:type="dxa"/>
        <w:tblLook w:val="04A0" w:firstRow="1" w:lastRow="0" w:firstColumn="1" w:lastColumn="0" w:noHBand="0" w:noVBand="1"/>
      </w:tblPr>
      <w:tblGrid>
        <w:gridCol w:w="8505"/>
      </w:tblGrid>
      <w:tr w:rsidR="004360A2" w14:paraId="53C664B7" w14:textId="77777777" w:rsidTr="009B5280">
        <w:tc>
          <w:tcPr>
            <w:tcW w:w="8505" w:type="dxa"/>
          </w:tcPr>
          <w:p w14:paraId="50FC685D" w14:textId="77777777" w:rsidR="00BB4E14" w:rsidRPr="00BB4E14" w:rsidRDefault="00BB4E14" w:rsidP="00AC3278">
            <w:pPr>
              <w:pStyle w:val="ListParagraph"/>
              <w:numPr>
                <w:ilvl w:val="0"/>
                <w:numId w:val="7"/>
              </w:numPr>
            </w:pPr>
            <w:r w:rsidRPr="00BB4E14">
              <w:t>PRB bundling size</w:t>
            </w:r>
          </w:p>
          <w:p w14:paraId="066B0C60" w14:textId="7E3C9FA2" w:rsidR="004360A2" w:rsidRPr="009D453F" w:rsidRDefault="00BB4E14" w:rsidP="00AC3278">
            <w:pPr>
              <w:pStyle w:val="ListParagraph"/>
              <w:numPr>
                <w:ilvl w:val="1"/>
                <w:numId w:val="7"/>
              </w:numPr>
            </w:pPr>
            <w:r w:rsidRPr="00BB4E14">
              <w:t>Keep prior agreements that only keep requirements with PRB bundling size 2. For rank 3 case, change PRB bundling size from wideband to 2 and re-simulate that case.</w:t>
            </w:r>
          </w:p>
        </w:tc>
      </w:tr>
    </w:tbl>
    <w:p w14:paraId="0B2EF04A" w14:textId="77777777" w:rsidR="000D40AC" w:rsidRDefault="000D40AC" w:rsidP="00DA176E"/>
    <w:p w14:paraId="7B8BFC93" w14:textId="5DBA85F2" w:rsidR="004360A2" w:rsidRDefault="008D580F" w:rsidP="00DA176E">
      <w:r>
        <w:rPr>
          <w:lang w:val="en-150"/>
        </w:rPr>
        <w:t>Checking again</w:t>
      </w:r>
      <w:r w:rsidR="000D40AC">
        <w:t xml:space="preserve"> the</w:t>
      </w:r>
      <w:r w:rsidR="00E50B57">
        <w:t xml:space="preserve"> PDSCH simulation results</w:t>
      </w:r>
      <w:r w:rsidR="00CA70CA">
        <w:t xml:space="preserve"> for the Test 3</w:t>
      </w:r>
      <w:r w:rsidR="00E50B57">
        <w:t xml:space="preserve"> with </w:t>
      </w:r>
      <w:r w:rsidR="006D4174">
        <w:t>the</w:t>
      </w:r>
      <w:r w:rsidR="00CA70CA">
        <w:t xml:space="preserve"> PRB bundling size </w:t>
      </w:r>
      <w:r w:rsidR="006D4174">
        <w:t xml:space="preserve">2 instead of wideband, we </w:t>
      </w:r>
      <w:r w:rsidR="00751B69">
        <w:t xml:space="preserve">can </w:t>
      </w:r>
      <w:r w:rsidR="006D4174">
        <w:t>see good alignment</w:t>
      </w:r>
      <w:r w:rsidR="00751B69">
        <w:t xml:space="preserve"> </w:t>
      </w:r>
      <w:r w:rsidR="000D4953">
        <w:rPr>
          <w:lang w:val="en-150"/>
        </w:rPr>
        <w:t xml:space="preserve">between </w:t>
      </w:r>
      <w:r w:rsidR="001D7073">
        <w:rPr>
          <w:lang w:val="en-GB"/>
        </w:rPr>
        <w:t>all contributors</w:t>
      </w:r>
      <w:r w:rsidR="006D4174">
        <w:t>.</w:t>
      </w:r>
      <w:r w:rsidR="00751B69">
        <w:t xml:space="preserve"> </w:t>
      </w:r>
    </w:p>
    <w:p w14:paraId="632F114B" w14:textId="0D7CA6D2" w:rsidR="00751B69" w:rsidRDefault="0052690B" w:rsidP="00751B69">
      <w:pPr>
        <w:pStyle w:val="RAN4observation0"/>
      </w:pPr>
      <w:r>
        <w:t xml:space="preserve">The </w:t>
      </w:r>
      <w:r w:rsidR="00CB12CC">
        <w:t xml:space="preserve">simulation results reported for IAB-MT PDSCH </w:t>
      </w:r>
      <w:r w:rsidR="007A7E63">
        <w:t xml:space="preserve">Test 3 with </w:t>
      </w:r>
      <w:r w:rsidR="00634954">
        <w:t>PRB bundling size 2 are well aligned.</w:t>
      </w:r>
    </w:p>
    <w:p w14:paraId="02188A07" w14:textId="568945F7" w:rsidR="00634954" w:rsidRDefault="00624B7D" w:rsidP="00634954">
      <w:pPr>
        <w:pStyle w:val="RAN4proposal"/>
      </w:pPr>
      <w:r>
        <w:t>Keep prior agreements</w:t>
      </w:r>
      <w:r w:rsidR="00994500">
        <w:rPr>
          <w:lang w:val="ru-RU"/>
        </w:rPr>
        <w:t xml:space="preserve"> </w:t>
      </w:r>
      <w:r w:rsidR="00CF389F">
        <w:t>that only</w:t>
      </w:r>
      <w:r w:rsidR="00994500" w:rsidRPr="00994500">
        <w:t xml:space="preserve"> keep requirements with PRB bundling size 2</w:t>
      </w:r>
      <w:r w:rsidR="00CF389F">
        <w:t xml:space="preserve">. </w:t>
      </w:r>
      <w:r w:rsidR="00CF389F" w:rsidRPr="00CF389F">
        <w:t>For rank 3 case, change PRB bundling size from wideband to 2</w:t>
      </w:r>
      <w:r w:rsidR="00CF389F">
        <w:t xml:space="preserve"> and update the requirement.</w:t>
      </w:r>
    </w:p>
    <w:p w14:paraId="67216D35" w14:textId="31D2D969" w:rsidR="00CF389F" w:rsidRDefault="00CF389F" w:rsidP="00CF389F"/>
    <w:p w14:paraId="00EB5422" w14:textId="5623B024" w:rsidR="00544253" w:rsidRDefault="00544253" w:rsidP="00CF389F"/>
    <w:p w14:paraId="32293F1A" w14:textId="5D690E5C" w:rsidR="00544253" w:rsidRDefault="00544253" w:rsidP="00544253">
      <w:pPr>
        <w:pStyle w:val="RAN4H1"/>
      </w:pPr>
      <w:r>
        <w:t>Test tolerances</w:t>
      </w:r>
    </w:p>
    <w:p w14:paraId="45352912" w14:textId="11E0D0EA" w:rsidR="00544253" w:rsidRDefault="00544253" w:rsidP="00544253">
      <w:r>
        <w:rPr>
          <w:lang w:val="en-GB"/>
        </w:rPr>
        <w:t>One open issue from last meeting is the test tolerances to be used</w:t>
      </w:r>
      <w:r>
        <w:t xml:space="preserve"> </w:t>
      </w:r>
      <w:r>
        <w:fldChar w:fldCharType="begin"/>
      </w:r>
      <w:r>
        <w:instrText xml:space="preserve"> REF _Ref71197219 \r \h </w:instrText>
      </w:r>
      <w:r>
        <w:fldChar w:fldCharType="separate"/>
      </w:r>
      <w:r>
        <w:t>[2]</w:t>
      </w:r>
      <w:r>
        <w:fldChar w:fldCharType="end"/>
      </w:r>
      <w:r>
        <w:t>:</w:t>
      </w:r>
    </w:p>
    <w:tbl>
      <w:tblPr>
        <w:tblStyle w:val="TableGrid"/>
        <w:tblW w:w="8505" w:type="dxa"/>
        <w:tblInd w:w="421" w:type="dxa"/>
        <w:tblLook w:val="04A0" w:firstRow="1" w:lastRow="0" w:firstColumn="1" w:lastColumn="0" w:noHBand="0" w:noVBand="1"/>
      </w:tblPr>
      <w:tblGrid>
        <w:gridCol w:w="8505"/>
      </w:tblGrid>
      <w:tr w:rsidR="00544253" w14:paraId="17B44B07" w14:textId="77777777" w:rsidTr="009872C5">
        <w:tc>
          <w:tcPr>
            <w:tcW w:w="8505" w:type="dxa"/>
          </w:tcPr>
          <w:p w14:paraId="283AF97E" w14:textId="77777777" w:rsidR="00544253" w:rsidRPr="00544253" w:rsidRDefault="00544253" w:rsidP="00AC3278">
            <w:pPr>
              <w:numPr>
                <w:ilvl w:val="0"/>
                <w:numId w:val="8"/>
              </w:numPr>
              <w:rPr>
                <w:lang w:val="en-GB"/>
              </w:rPr>
            </w:pPr>
            <w:r w:rsidRPr="00544253">
              <w:rPr>
                <w:lang w:val="en-GB"/>
              </w:rPr>
              <w:t>Test tolerances</w:t>
            </w:r>
          </w:p>
          <w:p w14:paraId="798220F3" w14:textId="77777777" w:rsidR="00544253" w:rsidRPr="00544253" w:rsidRDefault="00544253" w:rsidP="00AC3278">
            <w:pPr>
              <w:numPr>
                <w:ilvl w:val="1"/>
                <w:numId w:val="8"/>
              </w:numPr>
              <w:rPr>
                <w:lang w:val="en-GB"/>
              </w:rPr>
            </w:pPr>
            <w:r w:rsidRPr="00544253">
              <w:rPr>
                <w:lang w:val="en-GB"/>
              </w:rPr>
              <w:t>Option 1: TT=0.3dB for static channel, TT=0.6dB for fading channel for both conducted and radiated testing.</w:t>
            </w:r>
          </w:p>
          <w:p w14:paraId="68AB8904" w14:textId="363F5329" w:rsidR="00544253" w:rsidRPr="00544253" w:rsidRDefault="00544253" w:rsidP="00AC3278">
            <w:pPr>
              <w:numPr>
                <w:ilvl w:val="1"/>
                <w:numId w:val="8"/>
              </w:numPr>
              <w:rPr>
                <w:lang w:val="en-GB"/>
              </w:rPr>
            </w:pPr>
            <w:r w:rsidRPr="00544253">
              <w:rPr>
                <w:lang w:val="en-GB"/>
              </w:rPr>
              <w:t>Option 2: Reuse UE TT values from TS 38.521-4.</w:t>
            </w:r>
          </w:p>
        </w:tc>
      </w:tr>
    </w:tbl>
    <w:p w14:paraId="38C77015" w14:textId="36662E80" w:rsidR="00544253" w:rsidRDefault="00544253" w:rsidP="00CF389F"/>
    <w:p w14:paraId="0912BFD7" w14:textId="6B267858" w:rsidR="00544253" w:rsidRDefault="00544253" w:rsidP="00CF389F">
      <w:pPr>
        <w:rPr>
          <w:lang w:val="en-GB"/>
        </w:rPr>
      </w:pPr>
      <w:r>
        <w:rPr>
          <w:lang w:val="en-GB"/>
        </w:rPr>
        <w:t>The discussion on topic seemed to have two differing underlying assumptions:</w:t>
      </w:r>
    </w:p>
    <w:p w14:paraId="5B953EAC" w14:textId="2366E1BA" w:rsidR="00544253" w:rsidRDefault="00544253" w:rsidP="00AC3278">
      <w:pPr>
        <w:pStyle w:val="ListParagraph"/>
        <w:numPr>
          <w:ilvl w:val="0"/>
          <w:numId w:val="9"/>
        </w:numPr>
        <w:rPr>
          <w:lang w:val="en-GB"/>
        </w:rPr>
      </w:pPr>
      <w:r>
        <w:rPr>
          <w:lang w:val="en-GB"/>
        </w:rPr>
        <w:t>BS test equipment is used; hence the TT should be the same as for BS specifications.</w:t>
      </w:r>
    </w:p>
    <w:p w14:paraId="0B68947B" w14:textId="16205750" w:rsidR="00544253" w:rsidRPr="00544253" w:rsidRDefault="00544253" w:rsidP="00AC3278">
      <w:pPr>
        <w:pStyle w:val="ListParagraph"/>
        <w:numPr>
          <w:ilvl w:val="0"/>
          <w:numId w:val="9"/>
        </w:numPr>
        <w:rPr>
          <w:lang w:val="en-GB"/>
        </w:rPr>
      </w:pPr>
      <w:r>
        <w:rPr>
          <w:lang w:val="en-GB"/>
        </w:rPr>
        <w:t>UE test equipment is used; hence the TT should be the same as for UE specifications.</w:t>
      </w:r>
    </w:p>
    <w:p w14:paraId="77840B2F" w14:textId="10EF1D41" w:rsidR="00544253" w:rsidRDefault="00544253" w:rsidP="00CF389F">
      <w:pPr>
        <w:rPr>
          <w:lang w:val="en-GB"/>
        </w:rPr>
      </w:pPr>
      <w:r>
        <w:rPr>
          <w:lang w:val="en-GB"/>
        </w:rPr>
        <w:t>It was previously decided that both test setups must be usable, in order to not privilege one side or the other.</w:t>
      </w:r>
    </w:p>
    <w:p w14:paraId="404211EB" w14:textId="446096B9" w:rsidR="00544253" w:rsidRDefault="00544253" w:rsidP="00544253">
      <w:pPr>
        <w:pStyle w:val="RAN4observation0"/>
      </w:pPr>
      <w:r>
        <w:t>Previous agreements require that both BS and UE test equipment can be used without increasing test difficulty.</w:t>
      </w:r>
    </w:p>
    <w:p w14:paraId="48830C66" w14:textId="1AD58EEE" w:rsidR="00544253" w:rsidRDefault="00544253" w:rsidP="00544253">
      <w:pPr>
        <w:rPr>
          <w:lang w:val="en-GB"/>
        </w:rPr>
      </w:pPr>
      <w:r>
        <w:rPr>
          <w:lang w:val="en-GB"/>
        </w:rPr>
        <w:t>Hence, the only logical solution to use the most lenient TT, which seems to be the UE TT values from TS 38.521-4.</w:t>
      </w:r>
    </w:p>
    <w:p w14:paraId="0DD8FD62" w14:textId="2F4D55C0" w:rsidR="00544253" w:rsidRPr="00544253" w:rsidRDefault="00544253" w:rsidP="00544253">
      <w:pPr>
        <w:pStyle w:val="RAN4proposal"/>
        <w:rPr>
          <w:lang w:val="en-GB"/>
        </w:rPr>
      </w:pPr>
      <w:r>
        <w:rPr>
          <w:lang w:val="en-GB"/>
        </w:rPr>
        <w:t>RAN4 to use UE TT values from TS 38.521-4.</w:t>
      </w:r>
    </w:p>
    <w:p w14:paraId="716B875F" w14:textId="77777777" w:rsidR="00544253" w:rsidRDefault="00544253" w:rsidP="00CF389F"/>
    <w:p w14:paraId="6DFDF0ED" w14:textId="77777777" w:rsidR="000D4953" w:rsidRDefault="000D4953" w:rsidP="00CF389F"/>
    <w:p w14:paraId="6ACBDBFF" w14:textId="4D48D0D0" w:rsidR="00593DEC" w:rsidRDefault="00C23B7B" w:rsidP="00C23B7B">
      <w:pPr>
        <w:pStyle w:val="RAN4H1"/>
      </w:pPr>
      <w:r>
        <w:rPr>
          <w:lang w:val="en-150"/>
        </w:rPr>
        <w:t>CSI reporting requirements</w:t>
      </w:r>
    </w:p>
    <w:p w14:paraId="3A5CF651" w14:textId="5EEF3957" w:rsidR="00A74CEE" w:rsidRPr="00960A95" w:rsidRDefault="00D85129" w:rsidP="00CF389F">
      <w:pPr>
        <w:rPr>
          <w:lang w:val="en-150"/>
        </w:rPr>
      </w:pPr>
      <w:r>
        <w:t xml:space="preserve">In the previous meeting it was agreed to </w:t>
      </w:r>
      <w:r w:rsidR="00960A95">
        <w:rPr>
          <w:lang w:val="en-150"/>
        </w:rPr>
        <w:t>include</w:t>
      </w:r>
      <w:r w:rsidR="0055643B">
        <w:t xml:space="preserve"> PMI and RI reporting requirements for IAB MT</w:t>
      </w:r>
      <w:r w:rsidR="004A1F6D">
        <w:rPr>
          <w:lang w:val="en-GB"/>
        </w:rPr>
        <w:t xml:space="preserve"> </w:t>
      </w:r>
      <w:r w:rsidR="00133101">
        <w:fldChar w:fldCharType="begin"/>
      </w:r>
      <w:r w:rsidR="00133101">
        <w:instrText xml:space="preserve"> REF _Ref71197219 \r \h </w:instrText>
      </w:r>
      <w:r w:rsidR="00133101">
        <w:fldChar w:fldCharType="separate"/>
      </w:r>
      <w:r w:rsidR="00133101">
        <w:t>[2]</w:t>
      </w:r>
      <w:r w:rsidR="00133101">
        <w:fldChar w:fldCharType="end"/>
      </w:r>
      <w:r w:rsidR="00960A95">
        <w:rPr>
          <w:lang w:val="en-150"/>
        </w:rPr>
        <w:t xml:space="preserve"> with a declaration of support. However, </w:t>
      </w:r>
      <w:r w:rsidR="00916384">
        <w:rPr>
          <w:lang w:val="en-150"/>
        </w:rPr>
        <w:t>the</w:t>
      </w:r>
      <w:r w:rsidR="00960A95">
        <w:rPr>
          <w:lang w:val="en-150"/>
        </w:rPr>
        <w:t xml:space="preserve"> details of </w:t>
      </w:r>
      <w:r w:rsidR="00916384">
        <w:rPr>
          <w:lang w:val="en-150"/>
        </w:rPr>
        <w:t>requirements still left open:</w:t>
      </w:r>
    </w:p>
    <w:tbl>
      <w:tblPr>
        <w:tblStyle w:val="TableGrid"/>
        <w:tblW w:w="8505" w:type="dxa"/>
        <w:tblInd w:w="421" w:type="dxa"/>
        <w:tblLook w:val="04A0" w:firstRow="1" w:lastRow="0" w:firstColumn="1" w:lastColumn="0" w:noHBand="0" w:noVBand="1"/>
      </w:tblPr>
      <w:tblGrid>
        <w:gridCol w:w="8505"/>
      </w:tblGrid>
      <w:tr w:rsidR="00133101" w14:paraId="238CC687" w14:textId="77777777" w:rsidTr="009B5280">
        <w:tc>
          <w:tcPr>
            <w:tcW w:w="8505" w:type="dxa"/>
          </w:tcPr>
          <w:p w14:paraId="19C115EA" w14:textId="77777777" w:rsidR="00F63970" w:rsidRPr="00F63970" w:rsidRDefault="00F63970" w:rsidP="00AC3278">
            <w:pPr>
              <w:pStyle w:val="ListParagraph"/>
              <w:numPr>
                <w:ilvl w:val="0"/>
                <w:numId w:val="7"/>
              </w:numPr>
            </w:pPr>
            <w:r w:rsidRPr="00F63970">
              <w:t>PMI inclusion</w:t>
            </w:r>
          </w:p>
          <w:p w14:paraId="1F7272D3" w14:textId="77777777" w:rsidR="00F63970" w:rsidRPr="00F63970" w:rsidRDefault="00F63970" w:rsidP="00AC3278">
            <w:pPr>
              <w:pStyle w:val="ListParagraph"/>
              <w:numPr>
                <w:ilvl w:val="1"/>
                <w:numId w:val="7"/>
              </w:numPr>
            </w:pPr>
            <w:r w:rsidRPr="00F63970">
              <w:t>Include PMI requirements, and a declaration of PMI support.</w:t>
            </w:r>
          </w:p>
          <w:p w14:paraId="33D30D4F" w14:textId="77777777" w:rsidR="0023741D" w:rsidRPr="0023741D" w:rsidRDefault="0023741D" w:rsidP="00AC3278">
            <w:pPr>
              <w:pStyle w:val="ListParagraph"/>
              <w:numPr>
                <w:ilvl w:val="0"/>
                <w:numId w:val="7"/>
              </w:numPr>
            </w:pPr>
            <w:r w:rsidRPr="0023741D">
              <w:t>PMI CSI-RS Resource type and report config</w:t>
            </w:r>
          </w:p>
          <w:p w14:paraId="42B26E55" w14:textId="77777777" w:rsidR="0023741D" w:rsidRPr="0023741D" w:rsidRDefault="0023741D" w:rsidP="00AC3278">
            <w:pPr>
              <w:pStyle w:val="ListParagraph"/>
              <w:numPr>
                <w:ilvl w:val="1"/>
                <w:numId w:val="7"/>
              </w:numPr>
            </w:pPr>
            <w:r w:rsidRPr="0023741D">
              <w:t xml:space="preserve">“Adopt PMI reporting requirements as they exist in 38.101-4”, means to take the same gamma values from 38.101-4. </w:t>
            </w:r>
          </w:p>
          <w:p w14:paraId="523F9C87" w14:textId="77777777" w:rsidR="0023741D" w:rsidRPr="0023741D" w:rsidRDefault="0023741D" w:rsidP="00AC3278">
            <w:pPr>
              <w:pStyle w:val="ListParagraph"/>
              <w:numPr>
                <w:ilvl w:val="1"/>
                <w:numId w:val="7"/>
              </w:numPr>
            </w:pPr>
            <w:r w:rsidRPr="0023741D">
              <w:t>Test parameters should be still updated to be compliant with the BS testing approach. Periodic CSI-RS resource and reporting type is preferred.</w:t>
            </w:r>
          </w:p>
          <w:p w14:paraId="6D64C53A" w14:textId="77777777" w:rsidR="0023741D" w:rsidRPr="0023741D" w:rsidRDefault="0023741D" w:rsidP="00AC3278">
            <w:pPr>
              <w:pStyle w:val="ListParagraph"/>
              <w:numPr>
                <w:ilvl w:val="2"/>
                <w:numId w:val="7"/>
              </w:numPr>
            </w:pPr>
            <w:r w:rsidRPr="0023741D">
              <w:t>FFS</w:t>
            </w:r>
          </w:p>
          <w:p w14:paraId="4DEF2846" w14:textId="77777777" w:rsidR="0023741D" w:rsidRPr="0023741D" w:rsidRDefault="0023741D" w:rsidP="00AC3278">
            <w:pPr>
              <w:pStyle w:val="ListParagraph"/>
              <w:numPr>
                <w:ilvl w:val="3"/>
                <w:numId w:val="7"/>
              </w:numPr>
            </w:pPr>
            <w:r w:rsidRPr="0023741D">
              <w:t>Option 2a: Change report configuration and CSI-RS resource type from aperiodic to periodic</w:t>
            </w:r>
          </w:p>
          <w:p w14:paraId="6AE8D5FA" w14:textId="152B4FA0" w:rsidR="0023741D" w:rsidRDefault="0023741D" w:rsidP="00AC3278">
            <w:pPr>
              <w:pStyle w:val="ListParagraph"/>
              <w:numPr>
                <w:ilvl w:val="3"/>
                <w:numId w:val="7"/>
              </w:numPr>
            </w:pPr>
            <w:r w:rsidRPr="0023741D">
              <w:t>Option 2b: Limit requirements to only include periodic NZP CSI-RS and reporting.</w:t>
            </w:r>
          </w:p>
          <w:p w14:paraId="399A6B17" w14:textId="77777777" w:rsidR="009270F7" w:rsidRPr="009270F7" w:rsidRDefault="009270F7" w:rsidP="009270F7"/>
          <w:p w14:paraId="15E1089B" w14:textId="77777777" w:rsidR="009270F7" w:rsidRPr="009270F7" w:rsidRDefault="009270F7" w:rsidP="00AC3278">
            <w:pPr>
              <w:pStyle w:val="ListParagraph"/>
              <w:numPr>
                <w:ilvl w:val="0"/>
                <w:numId w:val="7"/>
              </w:numPr>
            </w:pPr>
            <w:r w:rsidRPr="009270F7">
              <w:t>RI inclusion</w:t>
            </w:r>
          </w:p>
          <w:p w14:paraId="44E958D8" w14:textId="77777777" w:rsidR="00133101" w:rsidRDefault="009270F7" w:rsidP="00AC3278">
            <w:pPr>
              <w:pStyle w:val="ListParagraph"/>
              <w:numPr>
                <w:ilvl w:val="1"/>
                <w:numId w:val="7"/>
              </w:numPr>
            </w:pPr>
            <w:r w:rsidRPr="009270F7">
              <w:t>Include RI requirements, and a declaration of RI support.</w:t>
            </w:r>
          </w:p>
          <w:p w14:paraId="57A87F76" w14:textId="77777777" w:rsidR="009270F7" w:rsidRPr="009270F7" w:rsidRDefault="009270F7" w:rsidP="00AC3278">
            <w:pPr>
              <w:pStyle w:val="ListParagraph"/>
              <w:numPr>
                <w:ilvl w:val="0"/>
                <w:numId w:val="7"/>
              </w:numPr>
            </w:pPr>
            <w:r w:rsidRPr="009270F7">
              <w:t>RI CSI-RS Resource type and report config</w:t>
            </w:r>
          </w:p>
          <w:p w14:paraId="762EC541" w14:textId="77777777" w:rsidR="009270F7" w:rsidRPr="009270F7" w:rsidRDefault="009270F7" w:rsidP="00AC3278">
            <w:pPr>
              <w:pStyle w:val="ListParagraph"/>
              <w:numPr>
                <w:ilvl w:val="1"/>
                <w:numId w:val="7"/>
              </w:numPr>
            </w:pPr>
            <w:r w:rsidRPr="009270F7">
              <w:t xml:space="preserve">“Adopt RI reporting requirements as they exist in 38.101-4”, means to take the same gamma values from 38.101-4. </w:t>
            </w:r>
          </w:p>
          <w:p w14:paraId="7B524453" w14:textId="77777777" w:rsidR="009270F7" w:rsidRPr="009270F7" w:rsidRDefault="009270F7" w:rsidP="00AC3278">
            <w:pPr>
              <w:pStyle w:val="ListParagraph"/>
              <w:numPr>
                <w:ilvl w:val="1"/>
                <w:numId w:val="7"/>
              </w:numPr>
            </w:pPr>
            <w:r w:rsidRPr="009270F7">
              <w:t>Test parameters should be still updated to be compliant with the BS testing approach. Periodic CSI-RS resource and reporting type is preferred.</w:t>
            </w:r>
          </w:p>
          <w:p w14:paraId="1E140BC8" w14:textId="77777777" w:rsidR="009270F7" w:rsidRPr="009270F7" w:rsidRDefault="009270F7" w:rsidP="00AC3278">
            <w:pPr>
              <w:pStyle w:val="ListParagraph"/>
              <w:numPr>
                <w:ilvl w:val="1"/>
                <w:numId w:val="7"/>
              </w:numPr>
            </w:pPr>
            <w:r w:rsidRPr="009270F7">
              <w:t>FFS</w:t>
            </w:r>
          </w:p>
          <w:p w14:paraId="0214B33A" w14:textId="77777777" w:rsidR="009270F7" w:rsidRPr="009270F7" w:rsidRDefault="009270F7" w:rsidP="00AC3278">
            <w:pPr>
              <w:pStyle w:val="ListParagraph"/>
              <w:numPr>
                <w:ilvl w:val="2"/>
                <w:numId w:val="7"/>
              </w:numPr>
            </w:pPr>
            <w:r w:rsidRPr="009270F7">
              <w:t>Option 2a: Change report configuration and CSI-RS resource type from aperiodic to periodic</w:t>
            </w:r>
          </w:p>
          <w:p w14:paraId="0F7F102B" w14:textId="77777777" w:rsidR="009270F7" w:rsidRDefault="009270F7" w:rsidP="00AC3278">
            <w:pPr>
              <w:pStyle w:val="ListParagraph"/>
              <w:numPr>
                <w:ilvl w:val="2"/>
                <w:numId w:val="7"/>
              </w:numPr>
            </w:pPr>
            <w:r w:rsidRPr="009270F7">
              <w:t>Option 2b: Limit requirements to only include periodic NZP CSI-RS and reporting.</w:t>
            </w:r>
          </w:p>
          <w:p w14:paraId="0ABA0090" w14:textId="77777777" w:rsidR="00CF5C1D" w:rsidRPr="00CF5C1D" w:rsidRDefault="00CF5C1D" w:rsidP="00AC3278">
            <w:pPr>
              <w:pStyle w:val="ListParagraph"/>
              <w:numPr>
                <w:ilvl w:val="0"/>
                <w:numId w:val="7"/>
              </w:numPr>
            </w:pPr>
            <w:r w:rsidRPr="00CF5C1D">
              <w:t>CSI configurations</w:t>
            </w:r>
          </w:p>
          <w:p w14:paraId="6FD9E983" w14:textId="77777777" w:rsidR="009270F7" w:rsidRDefault="00CF5C1D" w:rsidP="00AC3278">
            <w:pPr>
              <w:pStyle w:val="ListParagraph"/>
              <w:numPr>
                <w:ilvl w:val="1"/>
                <w:numId w:val="7"/>
              </w:numPr>
            </w:pPr>
            <w:r w:rsidRPr="00CF5C1D">
              <w:t>Define CSI-RS configurations for IAB-MT CSI reporting tests. Follow configurations from UE testing.</w:t>
            </w:r>
          </w:p>
          <w:p w14:paraId="7B9A3010" w14:textId="77777777" w:rsidR="00CF5C1D" w:rsidRPr="00CF5C1D" w:rsidRDefault="00CF5C1D" w:rsidP="00AC3278">
            <w:pPr>
              <w:pStyle w:val="ListParagraph"/>
              <w:numPr>
                <w:ilvl w:val="0"/>
                <w:numId w:val="7"/>
              </w:numPr>
            </w:pPr>
            <w:r w:rsidRPr="00CF5C1D">
              <w:t>PDCCH configuration</w:t>
            </w:r>
          </w:p>
          <w:p w14:paraId="6AD4CBB0" w14:textId="77777777" w:rsidR="00CF5C1D" w:rsidRDefault="00CF5C1D" w:rsidP="00AC3278">
            <w:pPr>
              <w:pStyle w:val="ListParagraph"/>
              <w:numPr>
                <w:ilvl w:val="1"/>
                <w:numId w:val="7"/>
              </w:numPr>
            </w:pPr>
            <w:r w:rsidRPr="00CF5C1D">
              <w:t>Not define PDCCH configuration for CSI reporting tests.</w:t>
            </w:r>
          </w:p>
          <w:p w14:paraId="5218280D" w14:textId="77777777" w:rsidR="00CF5C1D" w:rsidRPr="00CF5C1D" w:rsidRDefault="00CF5C1D" w:rsidP="00AC3278">
            <w:pPr>
              <w:pStyle w:val="ListParagraph"/>
              <w:numPr>
                <w:ilvl w:val="0"/>
                <w:numId w:val="7"/>
              </w:numPr>
            </w:pPr>
            <w:r w:rsidRPr="00CF5C1D">
              <w:t>Reporting channel</w:t>
            </w:r>
          </w:p>
          <w:p w14:paraId="14EB579C" w14:textId="03C564FA" w:rsidR="00CF5C1D" w:rsidRPr="009D453F" w:rsidRDefault="00CF5C1D" w:rsidP="00AC3278">
            <w:pPr>
              <w:pStyle w:val="ListParagraph"/>
              <w:numPr>
                <w:ilvl w:val="1"/>
                <w:numId w:val="7"/>
              </w:numPr>
            </w:pPr>
            <w:r w:rsidRPr="00CF5C1D">
              <w:t>Do not define the physical channel for the CSI report and leave it up to the implementation.</w:t>
            </w:r>
          </w:p>
        </w:tc>
      </w:tr>
    </w:tbl>
    <w:p w14:paraId="13B8AF23" w14:textId="76B42864" w:rsidR="0055643B" w:rsidRDefault="0055643B" w:rsidP="00CF389F"/>
    <w:p w14:paraId="3F3B8921" w14:textId="75FBE3B9" w:rsidR="00973BEF" w:rsidRPr="00973BEF" w:rsidRDefault="00385F1B" w:rsidP="00CF389F">
      <w:pPr>
        <w:rPr>
          <w:lang w:val="en-150"/>
        </w:rPr>
      </w:pPr>
      <w:r>
        <w:t>Following the agreements above we</w:t>
      </w:r>
      <w:r w:rsidR="00384C63">
        <w:t xml:space="preserve"> hav</w:t>
      </w:r>
      <w:r w:rsidR="002B1988">
        <w:t>e submitted a</w:t>
      </w:r>
      <w:r w:rsidR="00384C63">
        <w:t xml:space="preserve"> CR for the TS 38.1</w:t>
      </w:r>
      <w:r w:rsidR="002B1988">
        <w:t>74 [</w:t>
      </w:r>
      <w:r w:rsidR="004A1F6D">
        <w:rPr>
          <w:lang w:val="en-GB"/>
        </w:rPr>
        <w:t>???</w:t>
      </w:r>
      <w:r w:rsidR="002B1988">
        <w:t>] describing the PMI and RI reporting requirements.</w:t>
      </w:r>
      <w:r w:rsidR="00973BEF">
        <w:rPr>
          <w:lang w:val="en-150"/>
        </w:rPr>
        <w:t xml:space="preserve"> During the drafting work we have</w:t>
      </w:r>
      <w:r w:rsidR="00F34A98">
        <w:rPr>
          <w:lang w:val="en-150"/>
        </w:rPr>
        <w:t xml:space="preserve"> we have made </w:t>
      </w:r>
      <w:r w:rsidR="000F6091">
        <w:rPr>
          <w:lang w:val="en-150"/>
        </w:rPr>
        <w:t>several</w:t>
      </w:r>
      <w:r w:rsidR="00F34A98">
        <w:rPr>
          <w:lang w:val="en-150"/>
        </w:rPr>
        <w:t xml:space="preserve"> observations listed below.</w:t>
      </w:r>
    </w:p>
    <w:p w14:paraId="258D9252" w14:textId="3E114B20" w:rsidR="006B4349" w:rsidRDefault="007D64BC" w:rsidP="00F34A98">
      <w:pPr>
        <w:pStyle w:val="RAN4observation0"/>
        <w:rPr>
          <w:lang w:val="en-150"/>
        </w:rPr>
      </w:pPr>
      <w:r>
        <w:rPr>
          <w:lang w:val="en-150"/>
        </w:rPr>
        <w:t>The main difference between</w:t>
      </w:r>
      <w:r w:rsidR="0027308D">
        <w:rPr>
          <w:lang w:val="en-150"/>
        </w:rPr>
        <w:t xml:space="preserve"> UE</w:t>
      </w:r>
      <w:r w:rsidR="00D301CB">
        <w:rPr>
          <w:lang w:val="en-150"/>
        </w:rPr>
        <w:t xml:space="preserve"> </w:t>
      </w:r>
      <w:r w:rsidR="00DF7A70">
        <w:rPr>
          <w:lang w:val="en-150"/>
        </w:rPr>
        <w:t xml:space="preserve">radiated </w:t>
      </w:r>
      <w:r w:rsidR="002317F8">
        <w:rPr>
          <w:lang w:val="en-150"/>
        </w:rPr>
        <w:t>PMI</w:t>
      </w:r>
      <w:r w:rsidR="00DF7A70">
        <w:rPr>
          <w:lang w:val="en-150"/>
        </w:rPr>
        <w:t xml:space="preserve"> reporting</w:t>
      </w:r>
      <w:r w:rsidR="00D301CB">
        <w:rPr>
          <w:lang w:val="en-150"/>
        </w:rPr>
        <w:t xml:space="preserve"> Test 1 and Test 2</w:t>
      </w:r>
      <w:r w:rsidR="00DF7A70">
        <w:rPr>
          <w:lang w:val="en-150"/>
        </w:rPr>
        <w:t xml:space="preserve"> parameters</w:t>
      </w:r>
      <w:r w:rsidR="00D301CB">
        <w:rPr>
          <w:lang w:val="en-150"/>
        </w:rPr>
        <w:t xml:space="preserve"> is in TDD </w:t>
      </w:r>
      <w:r w:rsidR="00DF7A70">
        <w:rPr>
          <w:lang w:val="en-150"/>
        </w:rPr>
        <w:t xml:space="preserve">DL-UL configuration. </w:t>
      </w:r>
      <w:r w:rsidR="000F6091">
        <w:rPr>
          <w:lang w:val="en-150"/>
        </w:rPr>
        <w:t xml:space="preserve">However, </w:t>
      </w:r>
      <w:r w:rsidR="00CA02C8">
        <w:rPr>
          <w:lang w:val="en-150"/>
        </w:rPr>
        <w:t xml:space="preserve">it was agreed to </w:t>
      </w:r>
      <w:r w:rsidR="000F6091">
        <w:rPr>
          <w:lang w:val="en-150"/>
        </w:rPr>
        <w:t xml:space="preserve">follow </w:t>
      </w:r>
      <w:r w:rsidR="00B148FF">
        <w:rPr>
          <w:lang w:val="en-150"/>
        </w:rPr>
        <w:t>BS-</w:t>
      </w:r>
      <w:r w:rsidR="00CA02C8">
        <w:rPr>
          <w:lang w:val="en-150"/>
        </w:rPr>
        <w:t>s</w:t>
      </w:r>
      <w:r w:rsidR="00B148FF">
        <w:rPr>
          <w:lang w:val="en-150"/>
        </w:rPr>
        <w:t>tyle testing for IAB-MT</w:t>
      </w:r>
      <w:r w:rsidR="0027308D">
        <w:rPr>
          <w:lang w:val="en-150"/>
        </w:rPr>
        <w:t>.</w:t>
      </w:r>
      <w:r w:rsidR="00007539">
        <w:rPr>
          <w:lang w:val="en-150"/>
        </w:rPr>
        <w:t xml:space="preserve"> </w:t>
      </w:r>
      <w:r w:rsidR="0027308D">
        <w:rPr>
          <w:lang w:val="en-150"/>
        </w:rPr>
        <w:t>Thus,</w:t>
      </w:r>
      <w:r w:rsidR="00007539">
        <w:rPr>
          <w:lang w:val="en-150"/>
        </w:rPr>
        <w:t xml:space="preserve"> the</w:t>
      </w:r>
      <w:r w:rsidR="0027308D">
        <w:rPr>
          <w:lang w:val="en-150"/>
        </w:rPr>
        <w:t>re is no</w:t>
      </w:r>
      <w:r w:rsidR="00007539">
        <w:rPr>
          <w:lang w:val="en-150"/>
        </w:rPr>
        <w:t xml:space="preserve"> dependency on the TDD</w:t>
      </w:r>
      <w:r w:rsidR="0027308D">
        <w:rPr>
          <w:lang w:val="en-150"/>
        </w:rPr>
        <w:t xml:space="preserve"> DL-UL</w:t>
      </w:r>
      <w:r w:rsidR="00007539">
        <w:rPr>
          <w:lang w:val="en-150"/>
        </w:rPr>
        <w:t xml:space="preserve"> pattern. Moreover, the</w:t>
      </w:r>
      <w:r w:rsidR="00FE7999">
        <w:rPr>
          <w:lang w:val="en-150"/>
        </w:rPr>
        <w:t xml:space="preserve"> minimum requirements for the both tests are the same.</w:t>
      </w:r>
    </w:p>
    <w:p w14:paraId="5B8BA4C7" w14:textId="17985C63" w:rsidR="00FE7999" w:rsidRDefault="008028B8" w:rsidP="008028B8">
      <w:pPr>
        <w:pStyle w:val="RAN4proposal"/>
        <w:rPr>
          <w:lang w:val="en-150"/>
        </w:rPr>
      </w:pPr>
      <w:r>
        <w:rPr>
          <w:lang w:val="en-150"/>
        </w:rPr>
        <w:t>Keep only one</w:t>
      </w:r>
      <w:r w:rsidR="00126E79">
        <w:rPr>
          <w:lang w:val="en-150"/>
        </w:rPr>
        <w:t xml:space="preserve"> radiated</w:t>
      </w:r>
      <w:r>
        <w:rPr>
          <w:lang w:val="en-150"/>
        </w:rPr>
        <w:t xml:space="preserve"> </w:t>
      </w:r>
      <w:r w:rsidR="002317F8">
        <w:rPr>
          <w:lang w:val="en-150"/>
        </w:rPr>
        <w:t xml:space="preserve">test </w:t>
      </w:r>
      <w:r w:rsidR="00314CA6">
        <w:rPr>
          <w:lang w:val="en-GB"/>
        </w:rPr>
        <w:t>(e.g., test 1)</w:t>
      </w:r>
      <w:r w:rsidR="002317F8">
        <w:t xml:space="preserve"> </w:t>
      </w:r>
      <w:r w:rsidR="002317F8">
        <w:rPr>
          <w:lang w:val="en-150"/>
        </w:rPr>
        <w:t>for</w:t>
      </w:r>
      <w:r w:rsidR="0040528D">
        <w:rPr>
          <w:lang w:val="en-150"/>
        </w:rPr>
        <w:t xml:space="preserve"> IAB-MT</w:t>
      </w:r>
      <w:r w:rsidR="0075102B">
        <w:rPr>
          <w:lang w:val="en-150"/>
        </w:rPr>
        <w:t xml:space="preserve"> </w:t>
      </w:r>
      <w:r w:rsidR="0040528D">
        <w:rPr>
          <w:lang w:val="en-150"/>
        </w:rPr>
        <w:t>PMI</w:t>
      </w:r>
      <w:r w:rsidR="008C3027">
        <w:rPr>
          <w:lang w:val="en-150"/>
        </w:rPr>
        <w:t xml:space="preserve"> reporting.</w:t>
      </w:r>
    </w:p>
    <w:p w14:paraId="4B1D09F8" w14:textId="77777777" w:rsidR="00E00A20" w:rsidRPr="00E00A20" w:rsidRDefault="00E00A20" w:rsidP="00E00A20"/>
    <w:p w14:paraId="37C2F0D6" w14:textId="3F7A9AF0" w:rsidR="00347908" w:rsidRDefault="00360FC3" w:rsidP="00347908">
      <w:pPr>
        <w:pStyle w:val="RAN4observation0"/>
        <w:rPr>
          <w:lang w:val="en-150"/>
        </w:rPr>
      </w:pPr>
      <w:r>
        <w:rPr>
          <w:lang w:val="en-150"/>
        </w:rPr>
        <w:t xml:space="preserve">It was agreed to leave </w:t>
      </w:r>
      <w:r w:rsidR="008D41C6">
        <w:rPr>
          <w:lang w:val="en-150"/>
        </w:rPr>
        <w:t xml:space="preserve">CSI-RS </w:t>
      </w:r>
      <w:r w:rsidR="001F3659">
        <w:rPr>
          <w:lang w:val="en-150"/>
        </w:rPr>
        <w:t xml:space="preserve">parameters, up to implementation in IAB-MT </w:t>
      </w:r>
      <w:r>
        <w:rPr>
          <w:lang w:val="en-150"/>
        </w:rPr>
        <w:t>PDSCH testing</w:t>
      </w:r>
      <w:r w:rsidR="00667110">
        <w:rPr>
          <w:lang w:val="en-150"/>
        </w:rPr>
        <w:t>, if they are used</w:t>
      </w:r>
      <w:r w:rsidR="001F3659">
        <w:rPr>
          <w:lang w:val="en-150"/>
        </w:rPr>
        <w:t xml:space="preserve">. In IAB-MT PMI </w:t>
      </w:r>
      <w:r w:rsidR="00211904">
        <w:rPr>
          <w:lang w:val="en-150"/>
        </w:rPr>
        <w:t>reporting requirements, NZP CSI-RS for CSI acquisition shall be present because they are</w:t>
      </w:r>
      <w:r w:rsidR="00B33384">
        <w:rPr>
          <w:lang w:val="en-150"/>
        </w:rPr>
        <w:t xml:space="preserve"> </w:t>
      </w:r>
      <w:r w:rsidR="004D0868">
        <w:rPr>
          <w:lang w:val="en-150"/>
        </w:rPr>
        <w:t>needed</w:t>
      </w:r>
      <w:r w:rsidR="00B33384">
        <w:rPr>
          <w:lang w:val="en-150"/>
        </w:rPr>
        <w:t xml:space="preserve"> to perform CIS measurements. However, the ZP CSI-RS and CSI-IM </w:t>
      </w:r>
      <w:r w:rsidR="00AA1FEA">
        <w:rPr>
          <w:lang w:val="en-150"/>
        </w:rPr>
        <w:t xml:space="preserve">configurations are not </w:t>
      </w:r>
      <w:r w:rsidR="000C0C81">
        <w:rPr>
          <w:lang w:val="en-150"/>
        </w:rPr>
        <w:t>necessary</w:t>
      </w:r>
      <w:r w:rsidR="00AA1FEA">
        <w:rPr>
          <w:lang w:val="en-150"/>
        </w:rPr>
        <w:t xml:space="preserve"> in the test because there is no</w:t>
      </w:r>
      <w:r w:rsidR="008D5442">
        <w:rPr>
          <w:lang w:val="en-150"/>
        </w:rPr>
        <w:t xml:space="preserve"> interference.</w:t>
      </w:r>
    </w:p>
    <w:p w14:paraId="69FE411C" w14:textId="34145E4A" w:rsidR="008D5442" w:rsidRDefault="004540DB" w:rsidP="008D5442">
      <w:pPr>
        <w:pStyle w:val="RAN4proposal"/>
        <w:rPr>
          <w:lang w:val="en-150"/>
        </w:rPr>
      </w:pPr>
      <w:r>
        <w:rPr>
          <w:lang w:val="en-150"/>
        </w:rPr>
        <w:t>Define only</w:t>
      </w:r>
      <w:r w:rsidR="00F52D51">
        <w:rPr>
          <w:lang w:val="en-150"/>
        </w:rPr>
        <w:t xml:space="preserve"> NZP CSI-RS for CSI </w:t>
      </w:r>
      <w:r>
        <w:rPr>
          <w:lang w:val="en-150"/>
        </w:rPr>
        <w:t xml:space="preserve">acquisition configuration in </w:t>
      </w:r>
      <w:r w:rsidR="000E6041">
        <w:rPr>
          <w:lang w:val="en-150"/>
        </w:rPr>
        <w:t>CQI/</w:t>
      </w:r>
      <w:r w:rsidR="007E52AD">
        <w:rPr>
          <w:lang w:val="en-150"/>
        </w:rPr>
        <w:t>P</w:t>
      </w:r>
      <w:r>
        <w:rPr>
          <w:lang w:val="en-150"/>
        </w:rPr>
        <w:t>MI</w:t>
      </w:r>
      <w:r w:rsidR="000E6041">
        <w:rPr>
          <w:lang w:val="en-150"/>
        </w:rPr>
        <w:t>/RI</w:t>
      </w:r>
      <w:r>
        <w:rPr>
          <w:lang w:val="en-150"/>
        </w:rPr>
        <w:t xml:space="preserve"> reporting test</w:t>
      </w:r>
      <w:r w:rsidR="007E52AD">
        <w:rPr>
          <w:lang w:val="en-150"/>
        </w:rPr>
        <w:t xml:space="preserve"> parameters.</w:t>
      </w:r>
    </w:p>
    <w:p w14:paraId="0C7205A4" w14:textId="77777777" w:rsidR="00E00A20" w:rsidRPr="00E00A20" w:rsidRDefault="00E00A20" w:rsidP="00E00A20"/>
    <w:p w14:paraId="1FBB7BDE" w14:textId="2613EF18" w:rsidR="008D5442" w:rsidRDefault="00D5066B" w:rsidP="00FB2CBC">
      <w:pPr>
        <w:pStyle w:val="RAN4observation0"/>
        <w:rPr>
          <w:lang w:val="en-150"/>
        </w:rPr>
      </w:pPr>
      <w:r>
        <w:t>In the current</w:t>
      </w:r>
      <w:r w:rsidR="00800249">
        <w:t xml:space="preserve"> UE</w:t>
      </w:r>
      <w:r>
        <w:t xml:space="preserve"> </w:t>
      </w:r>
      <w:r w:rsidR="00800249">
        <w:t xml:space="preserve">PDSCH reference channels </w:t>
      </w:r>
      <w:r w:rsidR="00CD4C86">
        <w:t xml:space="preserve">used for CSI reporting requirements, </w:t>
      </w:r>
      <w:r w:rsidR="00E34E0E">
        <w:t>the physical resources for CSI-RS are always allocated</w:t>
      </w:r>
      <w:r w:rsidR="00891851">
        <w:t xml:space="preserve"> in </w:t>
      </w:r>
      <w:r w:rsidR="00567DA7">
        <w:t xml:space="preserve">every two </w:t>
      </w:r>
      <w:r w:rsidR="00F30D1F">
        <w:t>radio frames</w:t>
      </w:r>
      <w:r w:rsidR="00FA186A">
        <w:rPr>
          <w:lang w:val="en-150"/>
        </w:rPr>
        <w:t>, regardless of whether CSI-RS are transmitted or not</w:t>
      </w:r>
      <w:r w:rsidR="00E34E0E">
        <w:t xml:space="preserve">. It is also </w:t>
      </w:r>
      <w:r w:rsidR="009C2D91">
        <w:t>kept</w:t>
      </w:r>
      <w:r w:rsidR="00074A51">
        <w:t xml:space="preserve"> like that in IAB-MT PDSCH test parameters, e.g.,</w:t>
      </w:r>
      <w:r w:rsidR="00FB2CBC">
        <w:rPr>
          <w:lang w:val="en-150"/>
        </w:rPr>
        <w:t xml:space="preserve"> </w:t>
      </w:r>
      <w:r w:rsidR="00FB2CBC" w:rsidRPr="00FB2CBC">
        <w:rPr>
          <w:lang w:val="en-150"/>
        </w:rPr>
        <w:t>scheduling</w:t>
      </w:r>
      <w:r w:rsidR="00FB2CBC">
        <w:rPr>
          <w:lang w:val="en-150"/>
        </w:rPr>
        <w:t xml:space="preserve"> of</w:t>
      </w:r>
      <w:r w:rsidR="00FB2CBC" w:rsidRPr="00FB2CBC">
        <w:rPr>
          <w:lang w:val="en-150"/>
        </w:rPr>
        <w:t xml:space="preserve"> PDSCH</w:t>
      </w:r>
      <w:r w:rsidR="00FB2CBC">
        <w:rPr>
          <w:lang w:val="en-150"/>
        </w:rPr>
        <w:t xml:space="preserve"> is skipped in</w:t>
      </w:r>
      <w:r w:rsidR="00FB2CBC" w:rsidRPr="00FB2CBC">
        <w:rPr>
          <w:lang w:val="en-150"/>
        </w:rPr>
        <w:t xml:space="preserve"> </w:t>
      </w:r>
      <w:r w:rsidR="00935F58" w:rsidRPr="00935F58">
        <w:rPr>
          <w:lang w:val="en-150"/>
        </w:rPr>
        <w:t>slot#80, 81 for FR2</w:t>
      </w:r>
      <w:r w:rsidR="00FB2CBC">
        <w:rPr>
          <w:lang w:val="en-150"/>
        </w:rPr>
        <w:t>.</w:t>
      </w:r>
      <w:r w:rsidR="00BB6869">
        <w:rPr>
          <w:lang w:val="en-150"/>
        </w:rPr>
        <w:t xml:space="preserve"> </w:t>
      </w:r>
      <w:r w:rsidR="0072624A">
        <w:rPr>
          <w:lang w:val="en-150"/>
        </w:rPr>
        <w:t xml:space="preserve"> Hence, it is easier to</w:t>
      </w:r>
      <w:r w:rsidR="001975B5">
        <w:rPr>
          <w:lang w:val="en-150"/>
        </w:rPr>
        <w:t xml:space="preserve"> for test implementation to </w:t>
      </w:r>
      <w:r w:rsidR="004A4FAD">
        <w:rPr>
          <w:lang w:val="en-150"/>
        </w:rPr>
        <w:t>use already allocated periodic</w:t>
      </w:r>
      <w:r w:rsidR="002F33B7">
        <w:rPr>
          <w:lang w:val="en-150"/>
        </w:rPr>
        <w:t xml:space="preserve"> </w:t>
      </w:r>
      <w:r w:rsidR="00AC3278">
        <w:rPr>
          <w:lang w:val="en-150"/>
        </w:rPr>
        <w:t>resources</w:t>
      </w:r>
      <w:r w:rsidR="004A4FAD">
        <w:rPr>
          <w:lang w:val="en-150"/>
        </w:rPr>
        <w:t xml:space="preserve"> and send CSI-RS signals periodically </w:t>
      </w:r>
      <w:r w:rsidR="00D95E86">
        <w:rPr>
          <w:lang w:val="en-150"/>
        </w:rPr>
        <w:t>in those.</w:t>
      </w:r>
    </w:p>
    <w:p w14:paraId="38481E39" w14:textId="0D4F265E" w:rsidR="00D95E86" w:rsidRPr="00D95E86" w:rsidRDefault="00D95E86" w:rsidP="00AC3278">
      <w:pPr>
        <w:pStyle w:val="RAN4proposal"/>
      </w:pPr>
      <w:r w:rsidRPr="009A37A3">
        <w:t>Change report configuration and CSI-RS resource type from aperiodic to periodic</w:t>
      </w:r>
      <w:r>
        <w:rPr>
          <w:lang w:val="en-150"/>
        </w:rPr>
        <w:t xml:space="preserve"> for IAB-MT P</w:t>
      </w:r>
      <w:r w:rsidR="00711B36">
        <w:rPr>
          <w:lang w:val="en-150"/>
        </w:rPr>
        <w:t>M</w:t>
      </w:r>
      <w:r>
        <w:rPr>
          <w:lang w:val="en-150"/>
        </w:rPr>
        <w:t xml:space="preserve">I and RI </w:t>
      </w:r>
      <w:r w:rsidR="00FE048A">
        <w:rPr>
          <w:lang w:val="en-150"/>
        </w:rPr>
        <w:t>reporting requirements</w:t>
      </w:r>
      <w:r>
        <w:t>.</w:t>
      </w:r>
    </w:p>
    <w:p w14:paraId="307FAA0F" w14:textId="77777777" w:rsidR="00E00A20" w:rsidRPr="00E00A20" w:rsidRDefault="00E00A20" w:rsidP="00E00A20"/>
    <w:p w14:paraId="56BD8CE2" w14:textId="07F0622B" w:rsidR="00605DA2" w:rsidRDefault="00B271F1" w:rsidP="00FE048A">
      <w:pPr>
        <w:pStyle w:val="RAN4observation0"/>
        <w:rPr>
          <w:lang w:val="en-150"/>
        </w:rPr>
      </w:pPr>
      <w:r>
        <w:rPr>
          <w:lang w:val="en-150"/>
        </w:rPr>
        <w:t xml:space="preserve">If CSI-RS resource type is change from aperiodic to periodic, we do not expect that the minimal performance requirements in PMI and RI reporting can get worse because </w:t>
      </w:r>
      <w:r w:rsidR="006A4DAD">
        <w:rPr>
          <w:lang w:val="en-150"/>
        </w:rPr>
        <w:t>with periodic configuration the RSs are transmitted with</w:t>
      </w:r>
      <w:r w:rsidR="008A6968">
        <w:rPr>
          <w:lang w:val="en-150"/>
        </w:rPr>
        <w:t xml:space="preserve"> the</w:t>
      </w:r>
      <w:r w:rsidR="006A4DAD">
        <w:rPr>
          <w:lang w:val="en-150"/>
        </w:rPr>
        <w:t xml:space="preserve"> maximum possible periodicity.</w:t>
      </w:r>
    </w:p>
    <w:p w14:paraId="514AEDD4" w14:textId="2DA26135" w:rsidR="009A37A3" w:rsidRPr="00A45838" w:rsidRDefault="007166CA" w:rsidP="009A37A3">
      <w:pPr>
        <w:pStyle w:val="RAN4proposal"/>
        <w:rPr>
          <w:lang w:val="en-150"/>
        </w:rPr>
      </w:pPr>
      <w:r>
        <w:rPr>
          <w:lang w:val="en-150"/>
        </w:rPr>
        <w:t>I</w:t>
      </w:r>
      <w:r w:rsidR="00F91281">
        <w:rPr>
          <w:lang w:val="en-150"/>
        </w:rPr>
        <w:t xml:space="preserve">f the </w:t>
      </w:r>
      <w:r w:rsidR="00F91281" w:rsidRPr="00F91281">
        <w:rPr>
          <w:lang w:val="en-150"/>
        </w:rPr>
        <w:t>report configuration and CSI-RS resource type</w:t>
      </w:r>
      <w:r>
        <w:rPr>
          <w:lang w:val="en-150"/>
        </w:rPr>
        <w:t xml:space="preserve"> is changed</w:t>
      </w:r>
      <w:r w:rsidR="00F91281" w:rsidRPr="00F91281">
        <w:rPr>
          <w:lang w:val="en-150"/>
        </w:rPr>
        <w:t xml:space="preserve"> from aperiodic to periodic</w:t>
      </w:r>
      <w:r w:rsidR="00413AF0">
        <w:rPr>
          <w:lang w:val="en-150"/>
        </w:rPr>
        <w:t xml:space="preserve"> </w:t>
      </w:r>
      <w:r w:rsidR="00413AF0" w:rsidRPr="00413AF0">
        <w:rPr>
          <w:lang w:val="en-150"/>
        </w:rPr>
        <w:t>for IAB-MT MPI and RI reporting requirements</w:t>
      </w:r>
      <w:r w:rsidR="00413AF0">
        <w:rPr>
          <w:lang w:val="en-150"/>
        </w:rPr>
        <w:t xml:space="preserve">, re-use already existing UE </w:t>
      </w:r>
      <w:r w:rsidR="0055310F">
        <w:rPr>
          <w:lang w:val="en-GB"/>
        </w:rPr>
        <w:t>minimum performance</w:t>
      </w:r>
      <w:r w:rsidR="00413AF0">
        <w:rPr>
          <w:lang w:val="en-150"/>
        </w:rPr>
        <w:t xml:space="preserve"> </w:t>
      </w:r>
      <w:r>
        <w:rPr>
          <w:lang w:val="en-150"/>
        </w:rPr>
        <w:t>requirements.</w:t>
      </w:r>
    </w:p>
    <w:p w14:paraId="220C482C" w14:textId="44683C18" w:rsidR="00C23B7B" w:rsidRDefault="00C23B7B" w:rsidP="009A37A3"/>
    <w:p w14:paraId="6DD64500" w14:textId="77777777" w:rsidR="00A45838" w:rsidRPr="009A37A3" w:rsidRDefault="00A45838" w:rsidP="009A37A3"/>
    <w:p w14:paraId="2A17B932" w14:textId="300070B3" w:rsidR="00E1750C" w:rsidRDefault="0014665C" w:rsidP="00C23B7B">
      <w:pPr>
        <w:pStyle w:val="RAN4H1"/>
      </w:pPr>
      <w:r>
        <w:t>Editorial issues</w:t>
      </w:r>
    </w:p>
    <w:p w14:paraId="1BF05EF8" w14:textId="62B41CF0" w:rsidR="0058055E" w:rsidRPr="0058055E" w:rsidRDefault="0058055E" w:rsidP="0058055E">
      <w:pPr>
        <w:rPr>
          <w:lang w:val="en-150"/>
        </w:rPr>
      </w:pPr>
      <w:r>
        <w:rPr>
          <w:lang w:val="en-150"/>
        </w:rPr>
        <w:t>The following editorial issues left without agreement after the pre</w:t>
      </w:r>
      <w:r w:rsidR="000578C7">
        <w:rPr>
          <w:lang w:val="en-150"/>
        </w:rPr>
        <w:t>vious meeting:</w:t>
      </w:r>
    </w:p>
    <w:tbl>
      <w:tblPr>
        <w:tblStyle w:val="TableGrid"/>
        <w:tblW w:w="8505" w:type="dxa"/>
        <w:tblInd w:w="421" w:type="dxa"/>
        <w:tblLook w:val="04A0" w:firstRow="1" w:lastRow="0" w:firstColumn="1" w:lastColumn="0" w:noHBand="0" w:noVBand="1"/>
      </w:tblPr>
      <w:tblGrid>
        <w:gridCol w:w="8505"/>
      </w:tblGrid>
      <w:tr w:rsidR="0014665C" w14:paraId="5F8286C8" w14:textId="77777777" w:rsidTr="00E5208C">
        <w:tc>
          <w:tcPr>
            <w:tcW w:w="8505" w:type="dxa"/>
          </w:tcPr>
          <w:p w14:paraId="32748DAC" w14:textId="77777777" w:rsidR="005B33E9" w:rsidRPr="005B33E9" w:rsidRDefault="005B33E9" w:rsidP="00AC3278">
            <w:pPr>
              <w:pStyle w:val="ListParagraph"/>
              <w:numPr>
                <w:ilvl w:val="0"/>
                <w:numId w:val="7"/>
              </w:numPr>
            </w:pPr>
            <w:r w:rsidRPr="005B33E9">
              <w:t>IAB-types</w:t>
            </w:r>
          </w:p>
          <w:p w14:paraId="3C6BCFE2" w14:textId="77777777" w:rsidR="005B33E9" w:rsidRPr="005B33E9" w:rsidRDefault="005B33E9" w:rsidP="00AC3278">
            <w:pPr>
              <w:pStyle w:val="ListParagraph"/>
              <w:numPr>
                <w:ilvl w:val="1"/>
                <w:numId w:val="7"/>
              </w:numPr>
            </w:pPr>
            <w:r w:rsidRPr="005B33E9">
              <w:t>Option 1: Use types following the form “IAB type 1-H/1-O/2-O” exclusively.</w:t>
            </w:r>
          </w:p>
          <w:p w14:paraId="29EAD8AD" w14:textId="3626931E" w:rsidR="0014665C" w:rsidRDefault="005B33E9" w:rsidP="00AC3278">
            <w:pPr>
              <w:pStyle w:val="ListParagraph"/>
              <w:numPr>
                <w:ilvl w:val="1"/>
                <w:numId w:val="7"/>
              </w:numPr>
            </w:pPr>
            <w:r w:rsidRPr="005B33E9">
              <w:t>Option 2: Use types following both the forms “IAB type 1-H/1-O/2-O” and “IAB-DU/MT type 1-H/1-O/2-O”, where appropriate.</w:t>
            </w:r>
          </w:p>
          <w:p w14:paraId="00E6BDCB" w14:textId="77777777" w:rsidR="004A0E15" w:rsidRPr="004A0E15" w:rsidRDefault="004A0E15" w:rsidP="004A0E15"/>
          <w:p w14:paraId="573D74E1" w14:textId="131AEE9A" w:rsidR="004A0E15" w:rsidRDefault="004A0E15" w:rsidP="00AC3278">
            <w:pPr>
              <w:pStyle w:val="ListParagraph"/>
              <w:numPr>
                <w:ilvl w:val="0"/>
                <w:numId w:val="7"/>
              </w:numPr>
            </w:pPr>
            <w:r>
              <w:rPr>
                <w:lang w:val="en-150"/>
              </w:rPr>
              <w:t>A</w:t>
            </w:r>
            <w:proofErr w:type="spellStart"/>
            <w:r w:rsidRPr="004A0E15">
              <w:t>pplicability</w:t>
            </w:r>
            <w:proofErr w:type="spellEnd"/>
            <w:r w:rsidRPr="004A0E15">
              <w:t xml:space="preserve"> rules for IAB-MT,</w:t>
            </w:r>
          </w:p>
          <w:p w14:paraId="39331B58" w14:textId="77777777" w:rsidR="004A0E15" w:rsidRDefault="004A0E15" w:rsidP="00AC3278">
            <w:pPr>
              <w:pStyle w:val="ListParagraph"/>
              <w:numPr>
                <w:ilvl w:val="1"/>
                <w:numId w:val="7"/>
              </w:numPr>
            </w:pPr>
            <w:r w:rsidRPr="004A0E15">
              <w:t>Option 1: Same as IAB-DU part, create one common general section 8.2.1 to include the test applicability rules for both demodulation performance requirements and CSI reporting;</w:t>
            </w:r>
          </w:p>
          <w:p w14:paraId="6BA62266" w14:textId="32D53A87" w:rsidR="005B33E9" w:rsidRPr="004A0E15" w:rsidRDefault="004A0E15" w:rsidP="00AC3278">
            <w:pPr>
              <w:pStyle w:val="ListParagraph"/>
              <w:numPr>
                <w:ilvl w:val="1"/>
                <w:numId w:val="7"/>
              </w:numPr>
            </w:pPr>
            <w:r w:rsidRPr="004A0E15">
              <w:t>Option 2: Same as the existing 38.101-4, create two separate general sections under section 8.2.2 for demodulation requirements and under section 8.2.3 for CSI reporting. The general section 8.2.1 can include some common information for both demodulation performance requirements and CSI reporting.</w:t>
            </w:r>
          </w:p>
        </w:tc>
      </w:tr>
    </w:tbl>
    <w:p w14:paraId="18F53B29" w14:textId="65DD8FA0" w:rsidR="004A0E15" w:rsidRDefault="004A0E15" w:rsidP="0014665C">
      <w:pPr>
        <w:rPr>
          <w:lang w:val="en-150"/>
        </w:rPr>
      </w:pPr>
    </w:p>
    <w:p w14:paraId="7FDBDDD0" w14:textId="117012C4" w:rsidR="000578C7" w:rsidRPr="000F6EC4" w:rsidRDefault="00410C33" w:rsidP="0014665C">
      <w:pPr>
        <w:rPr>
          <w:lang w:val="en-150"/>
        </w:rPr>
      </w:pPr>
      <w:r>
        <w:rPr>
          <w:lang w:val="en-150"/>
        </w:rPr>
        <w:t>In our opinion, in most places it is enough to use term</w:t>
      </w:r>
      <w:r w:rsidR="00D960EC">
        <w:rPr>
          <w:lang w:val="en-150"/>
        </w:rPr>
        <w:t>s</w:t>
      </w:r>
      <w:r>
        <w:rPr>
          <w:lang w:val="en-150"/>
        </w:rPr>
        <w:t xml:space="preserve"> </w:t>
      </w:r>
      <w:r w:rsidRPr="00410C33">
        <w:rPr>
          <w:lang w:val="en-150"/>
        </w:rPr>
        <w:t>“IAB type 1-H/1-O/2-O”</w:t>
      </w:r>
      <w:r>
        <w:rPr>
          <w:lang w:val="en-150"/>
        </w:rPr>
        <w:t>. However, we do not object</w:t>
      </w:r>
      <w:r w:rsidR="000F6EC4">
        <w:rPr>
          <w:lang w:val="en-150"/>
        </w:rPr>
        <w:t xml:space="preserve"> against using terms </w:t>
      </w:r>
      <w:r w:rsidR="000F6EC4" w:rsidRPr="005B33E9">
        <w:t>“IAB-DU/MT type 1-H/1-O/2-O”</w:t>
      </w:r>
      <w:r w:rsidR="000F6EC4">
        <w:rPr>
          <w:lang w:val="en-150"/>
        </w:rPr>
        <w:t xml:space="preserve"> if it is needed</w:t>
      </w:r>
      <w:r w:rsidR="00D73ABC">
        <w:rPr>
          <w:lang w:val="en-GB"/>
        </w:rPr>
        <w:t xml:space="preserve"> for clarity</w:t>
      </w:r>
      <w:r w:rsidR="000F6EC4">
        <w:rPr>
          <w:lang w:val="en-150"/>
        </w:rPr>
        <w:t>.</w:t>
      </w:r>
    </w:p>
    <w:p w14:paraId="4DEA551B" w14:textId="3D2D7D35" w:rsidR="00526997" w:rsidRDefault="000578C7" w:rsidP="000578C7">
      <w:pPr>
        <w:pStyle w:val="RAN4proposal"/>
      </w:pPr>
      <w:r w:rsidRPr="005B33E9">
        <w:t>Use types following both the forms “IAB type 1-H/1-O/2-O” and “IAB-DU/MT type 1-H/1-O/2-O”, where appropriate.</w:t>
      </w:r>
    </w:p>
    <w:p w14:paraId="152920D7" w14:textId="77777777" w:rsidR="000578C7" w:rsidRPr="000578C7" w:rsidRDefault="000578C7" w:rsidP="000578C7"/>
    <w:p w14:paraId="189B581A" w14:textId="59494403" w:rsidR="000578C7" w:rsidRDefault="00560DDF" w:rsidP="006A7B06">
      <w:pPr>
        <w:pStyle w:val="RAN4observation0"/>
        <w:rPr>
          <w:lang w:val="en-150"/>
        </w:rPr>
      </w:pPr>
      <w:r>
        <w:t xml:space="preserve">While </w:t>
      </w:r>
      <w:r w:rsidR="00C56C9E">
        <w:t>preparing</w:t>
      </w:r>
      <w:r>
        <w:t xml:space="preserve"> the</w:t>
      </w:r>
      <w:r w:rsidR="00BD1DDF">
        <w:t xml:space="preserve"> CR on the</w:t>
      </w:r>
      <w:r w:rsidR="00C56C9E">
        <w:t xml:space="preserve"> IAB-MT</w:t>
      </w:r>
      <w:r>
        <w:t xml:space="preserve"> </w:t>
      </w:r>
      <w:r w:rsidR="006523F8">
        <w:t>CSI reporting requirements</w:t>
      </w:r>
      <w:r w:rsidR="00270D73">
        <w:t xml:space="preserve"> </w:t>
      </w:r>
      <w:r w:rsidR="00C56C9E">
        <w:t>section</w:t>
      </w:r>
      <w:r w:rsidR="007D7C94">
        <w:t>s</w:t>
      </w:r>
      <w:r w:rsidR="00C56C9E">
        <w:t xml:space="preserve"> in TS 38.</w:t>
      </w:r>
      <w:r w:rsidR="00B50CDA">
        <w:t>174</w:t>
      </w:r>
      <w:r w:rsidR="007D7C94">
        <w:t xml:space="preserve"> [3]</w:t>
      </w:r>
      <w:r w:rsidR="00B50CDA">
        <w:t>, we have noticed that there is a need in General section</w:t>
      </w:r>
      <w:r w:rsidR="00270D73">
        <w:t xml:space="preserve"> (a subsection of</w:t>
      </w:r>
      <w:r w:rsidR="001519C7">
        <w:rPr>
          <w:lang w:val="en-150"/>
        </w:rPr>
        <w:t xml:space="preserve"> clause</w:t>
      </w:r>
      <w:r w:rsidR="00270D73">
        <w:t xml:space="preserve"> </w:t>
      </w:r>
      <w:r w:rsidR="001519C7" w:rsidRPr="001519C7">
        <w:rPr>
          <w:lang w:val="en-150"/>
        </w:rPr>
        <w:t>11.2.3.2</w:t>
      </w:r>
      <w:r w:rsidR="00340346">
        <w:t xml:space="preserve"> “</w:t>
      </w:r>
      <w:r w:rsidR="001519C7" w:rsidRPr="001519C7">
        <w:rPr>
          <w:lang w:val="en-150"/>
        </w:rPr>
        <w:t>Performance requirements for IAB type 2-O</w:t>
      </w:r>
      <w:r w:rsidR="00340346">
        <w:t>”</w:t>
      </w:r>
      <w:r w:rsidR="00270D73">
        <w:t>)</w:t>
      </w:r>
      <w:r w:rsidR="00B50CDA">
        <w:t xml:space="preserve"> </w:t>
      </w:r>
      <w:r w:rsidR="00064F3F">
        <w:rPr>
          <w:lang w:val="en-150"/>
        </w:rPr>
        <w:t xml:space="preserve">to </w:t>
      </w:r>
      <w:r w:rsidR="006A7B06">
        <w:rPr>
          <w:lang w:val="en-150"/>
        </w:rPr>
        <w:t>specify c</w:t>
      </w:r>
      <w:r w:rsidR="006A7B06" w:rsidRPr="006A7B06">
        <w:rPr>
          <w:lang w:val="en-150"/>
        </w:rPr>
        <w:t>ommon test parameters</w:t>
      </w:r>
      <w:r w:rsidR="006A7B06">
        <w:rPr>
          <w:lang w:val="en-150"/>
        </w:rPr>
        <w:t xml:space="preserve"> for all CSI </w:t>
      </w:r>
      <w:r w:rsidR="00C5538E">
        <w:rPr>
          <w:lang w:val="en-150"/>
        </w:rPr>
        <w:t xml:space="preserve">reporting tests. </w:t>
      </w:r>
      <w:r w:rsidR="000E26E8">
        <w:rPr>
          <w:lang w:val="en-150"/>
        </w:rPr>
        <w:t>Therefore, there is a need for such General section in any case that can also include Applicability rules.</w:t>
      </w:r>
    </w:p>
    <w:p w14:paraId="7955B17B" w14:textId="2A50081E" w:rsidR="000E26E8" w:rsidRPr="000E26E8" w:rsidRDefault="006E5A8B" w:rsidP="001E4167">
      <w:pPr>
        <w:pStyle w:val="RAN4proposal"/>
        <w:rPr>
          <w:lang w:val="en-150"/>
        </w:rPr>
      </w:pPr>
      <w:r>
        <w:rPr>
          <w:lang w:val="en-150"/>
        </w:rPr>
        <w:t xml:space="preserve">Same as existing </w:t>
      </w:r>
      <w:r w:rsidR="00675EE0">
        <w:rPr>
          <w:lang w:val="en-GB"/>
        </w:rPr>
        <w:t xml:space="preserve">TS </w:t>
      </w:r>
      <w:r w:rsidR="00754995">
        <w:rPr>
          <w:lang w:val="en-150"/>
        </w:rPr>
        <w:t>38.101-4, create</w:t>
      </w:r>
      <w:r w:rsidR="0034789A">
        <w:rPr>
          <w:lang w:val="en-150"/>
        </w:rPr>
        <w:t xml:space="preserve"> </w:t>
      </w:r>
      <w:r w:rsidR="00675EE0">
        <w:rPr>
          <w:lang w:val="en-GB"/>
        </w:rPr>
        <w:t>separate “g</w:t>
      </w:r>
      <w:proofErr w:type="spellStart"/>
      <w:r w:rsidR="00754995">
        <w:t>eneral</w:t>
      </w:r>
      <w:proofErr w:type="spellEnd"/>
      <w:r w:rsidR="00675EE0">
        <w:rPr>
          <w:lang w:val="en-GB"/>
        </w:rPr>
        <w:t>”</w:t>
      </w:r>
      <w:r w:rsidR="00754995">
        <w:rPr>
          <w:lang w:val="en-150"/>
        </w:rPr>
        <w:t xml:space="preserve"> sections</w:t>
      </w:r>
      <w:r w:rsidR="0062275A">
        <w:rPr>
          <w:lang w:val="en-150"/>
        </w:rPr>
        <w:t xml:space="preserve"> for </w:t>
      </w:r>
      <w:r w:rsidR="0034789A">
        <w:rPr>
          <w:lang w:val="en-150"/>
        </w:rPr>
        <w:t xml:space="preserve">IAB-DU demodulation performance requirements, </w:t>
      </w:r>
      <w:r w:rsidR="00EE25FE">
        <w:rPr>
          <w:lang w:val="en-150"/>
        </w:rPr>
        <w:t>IAB-MT demodulation performance requirements, and IAB-MT CSI reporting requirements.</w:t>
      </w:r>
      <w:r w:rsidR="00675EE0">
        <w:rPr>
          <w:lang w:val="en-GB"/>
        </w:rPr>
        <w:t xml:space="preserve"> The general section contain</w:t>
      </w:r>
      <w:r w:rsidR="00EB3893">
        <w:rPr>
          <w:lang w:val="en-150"/>
        </w:rPr>
        <w:t>s</w:t>
      </w:r>
      <w:r w:rsidR="00675EE0">
        <w:rPr>
          <w:lang w:val="en-GB"/>
        </w:rPr>
        <w:t xml:space="preserve"> applicability rules for each.</w:t>
      </w:r>
    </w:p>
    <w:p w14:paraId="11A334CE" w14:textId="77777777" w:rsidR="000578C7" w:rsidRPr="000578C7" w:rsidRDefault="000578C7" w:rsidP="000578C7"/>
    <w:p w14:paraId="02C020A3" w14:textId="77777777" w:rsidR="00CD7492" w:rsidRDefault="00CD7492" w:rsidP="00A37002">
      <w:pPr>
        <w:pStyle w:val="RAN4H1"/>
      </w:pPr>
      <w:r w:rsidRPr="00A37002">
        <w:t>Conclusion</w:t>
      </w:r>
    </w:p>
    <w:p w14:paraId="11E2C75A" w14:textId="4C1E555D" w:rsidR="0074215B" w:rsidRDefault="001C44A5" w:rsidP="001C44A5">
      <w:r>
        <w:t>In this contribution</w:t>
      </w:r>
      <w:r w:rsidR="00FD5C1E">
        <w:t>,</w:t>
      </w:r>
      <w:r>
        <w:t xml:space="preserve"> we </w:t>
      </w:r>
      <w:r w:rsidR="00AF2CDF">
        <w:rPr>
          <w:lang w:val="en-150"/>
        </w:rPr>
        <w:t>discuss the update of minim</w:t>
      </w:r>
      <w:r w:rsidR="00AC0BF4">
        <w:rPr>
          <w:lang w:val="en-150"/>
        </w:rPr>
        <w:t>al</w:t>
      </w:r>
      <w:r w:rsidR="00AF2CDF">
        <w:rPr>
          <w:lang w:val="en-150"/>
        </w:rPr>
        <w:t xml:space="preserve"> IAB-MT demodulation performance requirements </w:t>
      </w:r>
      <w:r w:rsidR="0074215B">
        <w:rPr>
          <w:lang w:val="en-150"/>
        </w:rPr>
        <w:t>due to the change of propagation conditions and PRB bundling.</w:t>
      </w:r>
      <w:r w:rsidR="003D4AF1">
        <w:rPr>
          <w:lang w:val="en-150"/>
        </w:rPr>
        <w:t xml:space="preserve"> The proposal</w:t>
      </w:r>
      <w:r w:rsidR="00AC0BF4">
        <w:rPr>
          <w:lang w:val="en-150"/>
        </w:rPr>
        <w:t>s</w:t>
      </w:r>
      <w:r w:rsidR="003D4AF1">
        <w:rPr>
          <w:lang w:val="en-150"/>
        </w:rPr>
        <w:t xml:space="preserve"> and observations are based on the revised PDSCH simulation results. </w:t>
      </w:r>
      <w:r w:rsidR="005C19A3">
        <w:rPr>
          <w:lang w:val="en-150"/>
        </w:rPr>
        <w:t>We also clarify further</w:t>
      </w:r>
      <w:r w:rsidR="00AC0BF4">
        <w:rPr>
          <w:lang w:val="en-150"/>
        </w:rPr>
        <w:t xml:space="preserve"> our</w:t>
      </w:r>
      <w:r w:rsidR="005C19A3">
        <w:rPr>
          <w:lang w:val="en-150"/>
        </w:rPr>
        <w:t xml:space="preserve"> </w:t>
      </w:r>
      <w:r w:rsidR="00FE2BC1">
        <w:rPr>
          <w:lang w:val="en-150"/>
        </w:rPr>
        <w:t>view</w:t>
      </w:r>
      <w:r w:rsidR="005C19A3">
        <w:rPr>
          <w:lang w:val="en-150"/>
        </w:rPr>
        <w:t xml:space="preserve"> on</w:t>
      </w:r>
      <w:r w:rsidR="002113BC">
        <w:t xml:space="preserve"> </w:t>
      </w:r>
      <w:r w:rsidR="005C19A3">
        <w:rPr>
          <w:lang w:val="en-150"/>
        </w:rPr>
        <w:t xml:space="preserve">IAB-MT </w:t>
      </w:r>
      <w:r w:rsidR="002113BC">
        <w:t>SCI reporting requirements</w:t>
      </w:r>
      <w:r>
        <w:t>.</w:t>
      </w:r>
      <w:r w:rsidR="005C19A3">
        <w:rPr>
          <w:lang w:val="en-150"/>
        </w:rPr>
        <w:t xml:space="preserve"> Finally, we </w:t>
      </w:r>
      <w:r w:rsidR="00FE2BC1">
        <w:rPr>
          <w:lang w:val="en-150"/>
        </w:rPr>
        <w:t xml:space="preserve">a few editorial issues related to the creation of new IAB specification are </w:t>
      </w:r>
      <w:r w:rsidR="00BC07FE">
        <w:rPr>
          <w:lang w:val="en-150"/>
        </w:rPr>
        <w:t>commented</w:t>
      </w:r>
      <w:r w:rsidR="00FE2BC1">
        <w:rPr>
          <w:lang w:val="en-150"/>
        </w:rPr>
        <w:t xml:space="preserve"> as well. </w:t>
      </w:r>
      <w:r>
        <w:br/>
      </w:r>
    </w:p>
    <w:p w14:paraId="525F23E8" w14:textId="5BC4399B" w:rsidR="001C44A5" w:rsidRDefault="001C44A5" w:rsidP="001C44A5">
      <w:r>
        <w:t>We have made the following observations and proposals:</w:t>
      </w:r>
    </w:p>
    <w:p w14:paraId="3AB10629" w14:textId="795038F5" w:rsidR="0077603E" w:rsidRPr="001B6EBD" w:rsidRDefault="00BC07FE" w:rsidP="005C23A4">
      <w:pPr>
        <w:rPr>
          <w:b/>
          <w:bCs/>
          <w:u w:val="single"/>
          <w:lang w:val="en-150"/>
        </w:rPr>
      </w:pPr>
      <w:r w:rsidRPr="001B6EBD">
        <w:rPr>
          <w:b/>
          <w:bCs/>
          <w:u w:val="single"/>
          <w:lang w:val="en-150"/>
        </w:rPr>
        <w:t xml:space="preserve">On </w:t>
      </w:r>
      <w:r w:rsidR="00851909" w:rsidRPr="001B6EBD">
        <w:rPr>
          <w:b/>
          <w:bCs/>
          <w:u w:val="single"/>
          <w:lang w:val="en-150"/>
        </w:rPr>
        <w:t>d</w:t>
      </w:r>
      <w:r w:rsidRPr="001B6EBD">
        <w:rPr>
          <w:b/>
          <w:bCs/>
          <w:u w:val="single"/>
          <w:lang w:val="en-150"/>
        </w:rPr>
        <w:t>own scoping and changing of propagation conditions</w:t>
      </w:r>
    </w:p>
    <w:p w14:paraId="7010CA3B" w14:textId="77777777" w:rsidR="00851909" w:rsidRDefault="00851909" w:rsidP="00AC3278">
      <w:pPr>
        <w:pStyle w:val="RAN4Observation"/>
        <w:numPr>
          <w:ilvl w:val="0"/>
          <w:numId w:val="10"/>
        </w:numPr>
      </w:pPr>
      <w:r>
        <w:t xml:space="preserve">After our revision of the PDCCH simulation results we are observing </w:t>
      </w:r>
      <w:r w:rsidRPr="00851909">
        <w:rPr>
          <w:lang w:val="en-150"/>
        </w:rPr>
        <w:t>better</w:t>
      </w:r>
      <w:r>
        <w:t xml:space="preserve"> alignment of test requirements between the companies, at least based on the data available from the RAN4#98bis-e meeting.</w:t>
      </w:r>
    </w:p>
    <w:p w14:paraId="4F2B36DD" w14:textId="77777777" w:rsidR="00851909" w:rsidRDefault="00851909" w:rsidP="00AC3278">
      <w:pPr>
        <w:pStyle w:val="RAN4proposal"/>
        <w:numPr>
          <w:ilvl w:val="0"/>
          <w:numId w:val="11"/>
        </w:numPr>
      </w:pPr>
      <w:r>
        <w:t xml:space="preserve">If there are no considerable changes </w:t>
      </w:r>
      <w:r w:rsidRPr="00851909">
        <w:rPr>
          <w:lang w:val="en-150"/>
        </w:rPr>
        <w:t>in</w:t>
      </w:r>
      <w:r>
        <w:t xml:space="preserve"> the results provide by other companies in RAN4#98bis-e meeting and at least</w:t>
      </w:r>
      <w:r w:rsidRPr="00A60F16">
        <w:t xml:space="preserve"> 3 companies provide results within a span of 2.5 dB</w:t>
      </w:r>
      <w:r>
        <w:t>, RAN4 to replace propagation conditions (</w:t>
      </w:r>
      <w:r w:rsidRPr="00573CED">
        <w:t>FR1: TDLC300-100 -&gt; TDLA30-10; FR2: TDLA30-300 -&gt; TDLA30-75)</w:t>
      </w:r>
      <w:r>
        <w:t xml:space="preserve"> for PDCCH and PDCCH IAB-MT test requirements.</w:t>
      </w:r>
    </w:p>
    <w:p w14:paraId="47E498D2" w14:textId="77777777" w:rsidR="00851909" w:rsidRPr="007B76CF" w:rsidRDefault="00851909" w:rsidP="00851909">
      <w:pPr>
        <w:pStyle w:val="RAN4proposal"/>
      </w:pPr>
      <w:r>
        <w:t xml:space="preserve">If the results are still considered to be misaligned, we prefer to </w:t>
      </w:r>
      <w:r w:rsidRPr="00601EDB">
        <w:t>Copy-paste requirements from UE specification (including the channel model of the UE specification)</w:t>
      </w:r>
      <w:r>
        <w:t>.</w:t>
      </w:r>
    </w:p>
    <w:p w14:paraId="3FE65890" w14:textId="77777777" w:rsidR="00C169D7" w:rsidRDefault="00C169D7" w:rsidP="00C169D7">
      <w:pPr>
        <w:pStyle w:val="RAN4observation0"/>
      </w:pPr>
      <w:r>
        <w:t>The simulation results reported for IAB-MT PDSCH Test 3 with PRB bundling size 2 are well aligned.</w:t>
      </w:r>
    </w:p>
    <w:p w14:paraId="02E0578B" w14:textId="77777777" w:rsidR="00C169D7" w:rsidRDefault="00C169D7" w:rsidP="00C169D7">
      <w:pPr>
        <w:pStyle w:val="RAN4proposal"/>
      </w:pPr>
      <w:r>
        <w:t>Keep prior agreements</w:t>
      </w:r>
      <w:r>
        <w:rPr>
          <w:lang w:val="ru-RU"/>
        </w:rPr>
        <w:t xml:space="preserve"> </w:t>
      </w:r>
      <w:r>
        <w:t>that only</w:t>
      </w:r>
      <w:r w:rsidRPr="00994500">
        <w:t xml:space="preserve"> keep requirements with PRB bundling size 2</w:t>
      </w:r>
      <w:r>
        <w:t xml:space="preserve">. </w:t>
      </w:r>
      <w:r w:rsidRPr="00CF389F">
        <w:t>For rank 3 case, change PRB bundling size from wideband to 2</w:t>
      </w:r>
      <w:r>
        <w:t xml:space="preserve"> and update the requirement.</w:t>
      </w:r>
    </w:p>
    <w:p w14:paraId="4A259C55" w14:textId="77777777" w:rsidR="0074215B" w:rsidRDefault="0074215B" w:rsidP="005C23A4"/>
    <w:p w14:paraId="422AF88B" w14:textId="72EA2B9A" w:rsidR="00C169D7" w:rsidRPr="001B6EBD" w:rsidRDefault="00EA1FA1" w:rsidP="005C23A4">
      <w:pPr>
        <w:rPr>
          <w:b/>
          <w:bCs/>
          <w:u w:val="single"/>
          <w:lang w:val="en-150"/>
        </w:rPr>
      </w:pPr>
      <w:r w:rsidRPr="001B6EBD">
        <w:rPr>
          <w:b/>
          <w:bCs/>
          <w:u w:val="single"/>
          <w:lang w:val="en-150"/>
        </w:rPr>
        <w:t>On test tolerances</w:t>
      </w:r>
    </w:p>
    <w:p w14:paraId="00F34CC4" w14:textId="77777777" w:rsidR="00EA1FA1" w:rsidRDefault="00EA1FA1" w:rsidP="00EA1FA1">
      <w:pPr>
        <w:pStyle w:val="RAN4observation0"/>
      </w:pPr>
      <w:r>
        <w:t>Previous agreements require that both BS and UE test equipment can be used without increasing test difficulty.</w:t>
      </w:r>
    </w:p>
    <w:p w14:paraId="345BA2CD" w14:textId="3032122D" w:rsidR="00C169D7" w:rsidRPr="00EA1FA1" w:rsidRDefault="00EA1FA1" w:rsidP="005C23A4">
      <w:pPr>
        <w:pStyle w:val="RAN4proposal"/>
        <w:rPr>
          <w:lang w:val="en-GB"/>
        </w:rPr>
      </w:pPr>
      <w:r>
        <w:rPr>
          <w:lang w:val="en-GB"/>
        </w:rPr>
        <w:t>RAN4 to use UE TT values from TS 38.521-4.</w:t>
      </w:r>
    </w:p>
    <w:p w14:paraId="1C0FF3B2" w14:textId="77777777" w:rsidR="00851909" w:rsidRDefault="00851909" w:rsidP="005C23A4"/>
    <w:p w14:paraId="4ACB3EC0" w14:textId="2F0859B8" w:rsidR="002D1F7D" w:rsidRPr="001B6EBD" w:rsidRDefault="002D1F7D" w:rsidP="005C23A4">
      <w:pPr>
        <w:rPr>
          <w:b/>
          <w:bCs/>
          <w:u w:val="single"/>
          <w:lang w:val="en-150"/>
        </w:rPr>
      </w:pPr>
      <w:r w:rsidRPr="001B6EBD">
        <w:rPr>
          <w:b/>
          <w:bCs/>
          <w:u w:val="single"/>
          <w:lang w:val="en-150"/>
        </w:rPr>
        <w:t>On CSI reporting requirements</w:t>
      </w:r>
    </w:p>
    <w:p w14:paraId="14BF4B0A" w14:textId="77777777" w:rsidR="002D1F7D" w:rsidRDefault="002D1F7D" w:rsidP="002D1F7D">
      <w:pPr>
        <w:pStyle w:val="RAN4observation0"/>
        <w:rPr>
          <w:lang w:val="en-150"/>
        </w:rPr>
      </w:pPr>
      <w:r>
        <w:rPr>
          <w:lang w:val="en-150"/>
        </w:rPr>
        <w:t>The main difference between UE radiated PMI reporting Test 1 and Test 2 parameters is in TDD DL-UL configuration. However, it was agreed to follow BS-style testing for IAB-MT. Thus, there is no dependency on the TDD DL-UL pattern. Moreover, the minimum requirements for the both tests are the same.</w:t>
      </w:r>
    </w:p>
    <w:p w14:paraId="09AE8A77" w14:textId="77777777" w:rsidR="002D1F7D" w:rsidRDefault="002D1F7D" w:rsidP="002D1F7D">
      <w:pPr>
        <w:pStyle w:val="RAN4proposal"/>
        <w:rPr>
          <w:lang w:val="en-150"/>
        </w:rPr>
      </w:pPr>
      <w:r>
        <w:rPr>
          <w:lang w:val="en-150"/>
        </w:rPr>
        <w:t xml:space="preserve">Keep only one radiated test </w:t>
      </w:r>
      <w:r>
        <w:rPr>
          <w:lang w:val="en-GB"/>
        </w:rPr>
        <w:t>(e.g., test 1)</w:t>
      </w:r>
      <w:r>
        <w:t xml:space="preserve"> </w:t>
      </w:r>
      <w:r>
        <w:rPr>
          <w:lang w:val="en-150"/>
        </w:rPr>
        <w:t>for IAB-MT PMI reporting.</w:t>
      </w:r>
    </w:p>
    <w:p w14:paraId="0802A3D1" w14:textId="77777777" w:rsidR="002D1F7D" w:rsidRPr="00E00A20" w:rsidRDefault="002D1F7D" w:rsidP="002D1F7D"/>
    <w:p w14:paraId="68533F52" w14:textId="77777777" w:rsidR="002D1F7D" w:rsidRDefault="002D1F7D" w:rsidP="002D1F7D">
      <w:pPr>
        <w:pStyle w:val="RAN4observation0"/>
        <w:rPr>
          <w:lang w:val="en-150"/>
        </w:rPr>
      </w:pPr>
      <w:r>
        <w:rPr>
          <w:lang w:val="en-150"/>
        </w:rPr>
        <w:t>It was agreed to leave CSI-RS parameters, up to implementation in IAB-MT PDSCH testing, if they are used. In IAB-MT PMI reporting requirements, NZP CSI-RS for CSI acquisition shall be present because they are needed to perform CIS measurements. However, the ZP CSI-RS and CSI-IM configurations are not necessary in the test because there is no interference.</w:t>
      </w:r>
    </w:p>
    <w:p w14:paraId="5CB1280B" w14:textId="77777777" w:rsidR="002D1F7D" w:rsidRDefault="002D1F7D" w:rsidP="002D1F7D">
      <w:pPr>
        <w:pStyle w:val="RAN4proposal"/>
        <w:rPr>
          <w:lang w:val="en-150"/>
        </w:rPr>
      </w:pPr>
      <w:r>
        <w:rPr>
          <w:lang w:val="en-150"/>
        </w:rPr>
        <w:t>Define only NZP CSI-RS for CSI acquisition configuration in CQI/PMI/RI reporting test parameters.</w:t>
      </w:r>
    </w:p>
    <w:p w14:paraId="135A267C" w14:textId="77777777" w:rsidR="002D1F7D" w:rsidRPr="00E00A20" w:rsidRDefault="002D1F7D" w:rsidP="002D1F7D"/>
    <w:p w14:paraId="04831986" w14:textId="09A5A247" w:rsidR="002D1F7D" w:rsidRDefault="002D1F7D" w:rsidP="002D1F7D">
      <w:pPr>
        <w:pStyle w:val="RAN4observation0"/>
        <w:rPr>
          <w:lang w:val="en-150"/>
        </w:rPr>
      </w:pPr>
      <w:r>
        <w:t>In the current UE PDSCH reference channels used for CSI reporting requirements, the physical resources for CSI-RS are always allocated in every two radio frames</w:t>
      </w:r>
      <w:r>
        <w:rPr>
          <w:lang w:val="en-150"/>
        </w:rPr>
        <w:t>, regardless of whether CSI-RS are transmitted or not</w:t>
      </w:r>
      <w:r>
        <w:t>. It is also kept like that in IAB-MT PDSCH test parameters, e.g.,</w:t>
      </w:r>
      <w:r>
        <w:rPr>
          <w:lang w:val="en-150"/>
        </w:rPr>
        <w:t xml:space="preserve"> </w:t>
      </w:r>
      <w:r w:rsidRPr="00FB2CBC">
        <w:rPr>
          <w:lang w:val="en-150"/>
        </w:rPr>
        <w:t>scheduling</w:t>
      </w:r>
      <w:r>
        <w:rPr>
          <w:lang w:val="en-150"/>
        </w:rPr>
        <w:t xml:space="preserve"> of</w:t>
      </w:r>
      <w:r w:rsidRPr="00FB2CBC">
        <w:rPr>
          <w:lang w:val="en-150"/>
        </w:rPr>
        <w:t xml:space="preserve"> PDSCH</w:t>
      </w:r>
      <w:r>
        <w:rPr>
          <w:lang w:val="en-150"/>
        </w:rPr>
        <w:t xml:space="preserve"> is skipped in</w:t>
      </w:r>
      <w:r w:rsidRPr="00FB2CBC">
        <w:rPr>
          <w:lang w:val="en-150"/>
        </w:rPr>
        <w:t xml:space="preserve"> </w:t>
      </w:r>
      <w:r w:rsidRPr="00935F58">
        <w:rPr>
          <w:lang w:val="en-150"/>
        </w:rPr>
        <w:t>slot#80, 81 for FR2</w:t>
      </w:r>
      <w:r>
        <w:rPr>
          <w:lang w:val="en-150"/>
        </w:rPr>
        <w:t>.  Hence, it is easier to for test implementation to use already allocated periodic</w:t>
      </w:r>
      <w:r w:rsidR="002F33B7">
        <w:rPr>
          <w:lang w:val="en-150"/>
        </w:rPr>
        <w:t xml:space="preserve"> resources</w:t>
      </w:r>
      <w:r>
        <w:rPr>
          <w:lang w:val="en-150"/>
        </w:rPr>
        <w:t xml:space="preserve"> and send CSI-RS signals periodically in those.</w:t>
      </w:r>
    </w:p>
    <w:p w14:paraId="3476DF2E" w14:textId="77777777" w:rsidR="00D95E86" w:rsidRPr="00D95E86" w:rsidRDefault="002D1F7D" w:rsidP="00AC3278">
      <w:pPr>
        <w:pStyle w:val="RAN4proposal"/>
      </w:pPr>
      <w:r w:rsidRPr="009A37A3">
        <w:t>Change report configuration and CSI-RS resource type from aperiodic to periodic</w:t>
      </w:r>
      <w:r>
        <w:rPr>
          <w:lang w:val="en-150"/>
        </w:rPr>
        <w:t xml:space="preserve"> for IAB-MT PMI and RI reporting requirements</w:t>
      </w:r>
      <w:r>
        <w:t>.</w:t>
      </w:r>
    </w:p>
    <w:p w14:paraId="4F5CB5B6" w14:textId="77777777" w:rsidR="002D1F7D" w:rsidRPr="00E00A20" w:rsidRDefault="002D1F7D" w:rsidP="002D1F7D"/>
    <w:p w14:paraId="32B3E454" w14:textId="77777777" w:rsidR="002D1F7D" w:rsidRDefault="002D1F7D" w:rsidP="002D1F7D">
      <w:pPr>
        <w:pStyle w:val="RAN4observation0"/>
        <w:rPr>
          <w:lang w:val="en-150"/>
        </w:rPr>
      </w:pPr>
      <w:r>
        <w:rPr>
          <w:lang w:val="en-150"/>
        </w:rPr>
        <w:t>If CSI-RS resource type is change from aperiodic to periodic, we do not expect that the minimal performance requirements in PMI and RI reporting can get worse because with periodic configuration the RSs are transmitted with the maximum possible periodicity.</w:t>
      </w:r>
    </w:p>
    <w:p w14:paraId="3A4B42DB" w14:textId="77777777" w:rsidR="002D1F7D" w:rsidRPr="00A45838" w:rsidRDefault="002D1F7D" w:rsidP="002D1F7D">
      <w:pPr>
        <w:pStyle w:val="RAN4proposal"/>
        <w:rPr>
          <w:lang w:val="en-150"/>
        </w:rPr>
      </w:pPr>
      <w:r>
        <w:rPr>
          <w:lang w:val="en-150"/>
        </w:rPr>
        <w:t xml:space="preserve">If the </w:t>
      </w:r>
      <w:r w:rsidRPr="00F91281">
        <w:rPr>
          <w:lang w:val="en-150"/>
        </w:rPr>
        <w:t>report configuration and CSI-RS resource type</w:t>
      </w:r>
      <w:r>
        <w:rPr>
          <w:lang w:val="en-150"/>
        </w:rPr>
        <w:t xml:space="preserve"> is changed</w:t>
      </w:r>
      <w:r w:rsidRPr="00F91281">
        <w:rPr>
          <w:lang w:val="en-150"/>
        </w:rPr>
        <w:t xml:space="preserve"> from aperiodic to periodic</w:t>
      </w:r>
      <w:r>
        <w:rPr>
          <w:lang w:val="en-150"/>
        </w:rPr>
        <w:t xml:space="preserve"> </w:t>
      </w:r>
      <w:r w:rsidRPr="00413AF0">
        <w:rPr>
          <w:lang w:val="en-150"/>
        </w:rPr>
        <w:t>for IAB-MT MPI and RI reporting requirements</w:t>
      </w:r>
      <w:r>
        <w:rPr>
          <w:lang w:val="en-150"/>
        </w:rPr>
        <w:t xml:space="preserve">, re-use already existing UE </w:t>
      </w:r>
      <w:r>
        <w:rPr>
          <w:lang w:val="en-GB"/>
        </w:rPr>
        <w:t>minimum performance</w:t>
      </w:r>
      <w:r>
        <w:rPr>
          <w:lang w:val="en-150"/>
        </w:rPr>
        <w:t xml:space="preserve"> requirements.</w:t>
      </w:r>
    </w:p>
    <w:p w14:paraId="75361EC7" w14:textId="77777777" w:rsidR="002D1F7D" w:rsidRPr="002D1F7D" w:rsidRDefault="002D1F7D" w:rsidP="005C23A4">
      <w:pPr>
        <w:rPr>
          <w:lang w:val="en-150"/>
        </w:rPr>
      </w:pPr>
    </w:p>
    <w:p w14:paraId="322701A5" w14:textId="38BC6101" w:rsidR="002D1F7D" w:rsidRPr="001B6EBD" w:rsidRDefault="001B6EBD" w:rsidP="005C23A4">
      <w:pPr>
        <w:rPr>
          <w:b/>
          <w:bCs/>
          <w:u w:val="single"/>
          <w:lang w:val="en-150"/>
        </w:rPr>
      </w:pPr>
      <w:r w:rsidRPr="001B6EBD">
        <w:rPr>
          <w:b/>
          <w:bCs/>
          <w:u w:val="single"/>
          <w:lang w:val="en-150"/>
        </w:rPr>
        <w:t>On editorial issues</w:t>
      </w:r>
    </w:p>
    <w:p w14:paraId="37F690C4" w14:textId="77777777" w:rsidR="001B6EBD" w:rsidRDefault="001B6EBD" w:rsidP="001B6EBD">
      <w:pPr>
        <w:pStyle w:val="RAN4proposal"/>
      </w:pPr>
      <w:r w:rsidRPr="005B33E9">
        <w:t>Use types following both the forms “IAB type 1-H/1-O/2-O” and “IAB-DU/MT type 1-H/1-O/2-O”, where appropriate.</w:t>
      </w:r>
    </w:p>
    <w:p w14:paraId="091C7DA8" w14:textId="77777777" w:rsidR="001B6EBD" w:rsidRPr="000578C7" w:rsidRDefault="001B6EBD" w:rsidP="001B6EBD"/>
    <w:p w14:paraId="250D5054" w14:textId="77777777" w:rsidR="001B6EBD" w:rsidRDefault="001B6EBD" w:rsidP="001B6EBD">
      <w:pPr>
        <w:pStyle w:val="RAN4observation0"/>
        <w:rPr>
          <w:lang w:val="en-150"/>
        </w:rPr>
      </w:pPr>
      <w:r>
        <w:t>While preparing the CR on the IAB-MT CSI reporting requirements sections in TS 38.174 [3], we have noticed that there is a need in General section (a subsection of</w:t>
      </w:r>
      <w:r>
        <w:rPr>
          <w:lang w:val="en-150"/>
        </w:rPr>
        <w:t xml:space="preserve"> clause</w:t>
      </w:r>
      <w:r>
        <w:t xml:space="preserve"> </w:t>
      </w:r>
      <w:r w:rsidRPr="001519C7">
        <w:rPr>
          <w:lang w:val="en-150"/>
        </w:rPr>
        <w:t>11.2.3.2</w:t>
      </w:r>
      <w:r>
        <w:t xml:space="preserve"> “</w:t>
      </w:r>
      <w:r w:rsidRPr="001519C7">
        <w:rPr>
          <w:lang w:val="en-150"/>
        </w:rPr>
        <w:t>Performance requirements for IAB type 2-O</w:t>
      </w:r>
      <w:r>
        <w:t xml:space="preserve">”) </w:t>
      </w:r>
      <w:r>
        <w:rPr>
          <w:lang w:val="en-150"/>
        </w:rPr>
        <w:t>to specify c</w:t>
      </w:r>
      <w:r w:rsidRPr="006A7B06">
        <w:rPr>
          <w:lang w:val="en-150"/>
        </w:rPr>
        <w:t>ommon test parameters</w:t>
      </w:r>
      <w:r>
        <w:rPr>
          <w:lang w:val="en-150"/>
        </w:rPr>
        <w:t xml:space="preserve"> for all CSI reporting tests. Therefore, there is a need for such General section in any case that can also include Applicability rules.</w:t>
      </w:r>
    </w:p>
    <w:p w14:paraId="0ACF6622" w14:textId="77777777" w:rsidR="001B6EBD" w:rsidRPr="000E26E8" w:rsidRDefault="001B6EBD" w:rsidP="001B6EBD">
      <w:pPr>
        <w:pStyle w:val="RAN4proposal"/>
        <w:rPr>
          <w:lang w:val="en-150"/>
        </w:rPr>
      </w:pPr>
      <w:r>
        <w:rPr>
          <w:lang w:val="en-150"/>
        </w:rPr>
        <w:t xml:space="preserve">Same as existing </w:t>
      </w:r>
      <w:r>
        <w:rPr>
          <w:lang w:val="en-GB"/>
        </w:rPr>
        <w:t xml:space="preserve">TS </w:t>
      </w:r>
      <w:r>
        <w:rPr>
          <w:lang w:val="en-150"/>
        </w:rPr>
        <w:t xml:space="preserve">38.101-4, create </w:t>
      </w:r>
      <w:r>
        <w:rPr>
          <w:lang w:val="en-GB"/>
        </w:rPr>
        <w:t>separate “g</w:t>
      </w:r>
      <w:proofErr w:type="spellStart"/>
      <w:r>
        <w:t>eneral</w:t>
      </w:r>
      <w:proofErr w:type="spellEnd"/>
      <w:r>
        <w:rPr>
          <w:lang w:val="en-GB"/>
        </w:rPr>
        <w:t>”</w:t>
      </w:r>
      <w:r>
        <w:rPr>
          <w:lang w:val="en-150"/>
        </w:rPr>
        <w:t xml:space="preserve"> sections for IAB-DU demodulation performance requirements, IAB-MT demodulation performance requirements, and IAB-MT CSI reporting requirements.</w:t>
      </w:r>
      <w:r>
        <w:rPr>
          <w:lang w:val="en-GB"/>
        </w:rPr>
        <w:t xml:space="preserve"> The general section contain</w:t>
      </w:r>
      <w:r>
        <w:rPr>
          <w:lang w:val="en-150"/>
        </w:rPr>
        <w:t>s</w:t>
      </w:r>
      <w:r>
        <w:rPr>
          <w:lang w:val="en-GB"/>
        </w:rPr>
        <w:t xml:space="preserve"> applicability rules for each.</w:t>
      </w:r>
    </w:p>
    <w:p w14:paraId="6B477E00" w14:textId="77777777" w:rsidR="001B6EBD" w:rsidRPr="001B6EBD" w:rsidRDefault="001B6EBD" w:rsidP="005C23A4">
      <w:pPr>
        <w:rPr>
          <w:lang w:val="en-150"/>
        </w:rPr>
      </w:pPr>
    </w:p>
    <w:p w14:paraId="40EAAAB7" w14:textId="77777777" w:rsidR="001B6EBD" w:rsidRPr="006449C1" w:rsidRDefault="001B6EBD" w:rsidP="005C23A4"/>
    <w:p w14:paraId="5ADFF7D8" w14:textId="77777777" w:rsidR="003B659E" w:rsidRPr="0095295C" w:rsidRDefault="003B659E" w:rsidP="005C23A4">
      <w:pPr>
        <w:pStyle w:val="RAN4H1"/>
        <w:numPr>
          <w:ilvl w:val="0"/>
          <w:numId w:val="0"/>
        </w:numPr>
        <w:ind w:left="360" w:hanging="360"/>
      </w:pPr>
      <w:r w:rsidRPr="0095295C">
        <w:t>References</w:t>
      </w:r>
    </w:p>
    <w:p w14:paraId="5AF8D0E7" w14:textId="22A138F0" w:rsidR="00CB2156" w:rsidRPr="00817BFE" w:rsidRDefault="006D2CE8" w:rsidP="00AC3278">
      <w:pPr>
        <w:pStyle w:val="ListParagraph"/>
        <w:numPr>
          <w:ilvl w:val="0"/>
          <w:numId w:val="5"/>
        </w:numPr>
        <w:ind w:right="-22"/>
        <w:rPr>
          <w:lang w:val="en-GB"/>
        </w:rPr>
      </w:pPr>
      <w:bookmarkStart w:id="2" w:name="_Ref71197207"/>
      <w:r>
        <w:t xml:space="preserve">R4-2106141 </w:t>
      </w:r>
      <w:r w:rsidR="00817BFE" w:rsidRPr="00817BFE">
        <w:t xml:space="preserve">Email discussion summary for [98-bis-e][319] </w:t>
      </w:r>
      <w:proofErr w:type="spellStart"/>
      <w:r w:rsidR="00817BFE" w:rsidRPr="00817BFE">
        <w:t>NR_IAB_Demod</w:t>
      </w:r>
      <w:proofErr w:type="spellEnd"/>
      <w:r w:rsidR="00817BFE">
        <w:t>, RAN4#98bis-e, Nokia, Nokia Shanghai Bell.</w:t>
      </w:r>
      <w:bookmarkEnd w:id="2"/>
    </w:p>
    <w:p w14:paraId="1E1217A5" w14:textId="56267E90" w:rsidR="00817BFE" w:rsidRDefault="0054773F" w:rsidP="00AC3278">
      <w:pPr>
        <w:pStyle w:val="ListParagraph"/>
        <w:numPr>
          <w:ilvl w:val="0"/>
          <w:numId w:val="5"/>
        </w:numPr>
        <w:ind w:right="-22"/>
        <w:rPr>
          <w:lang w:val="en-GB"/>
        </w:rPr>
      </w:pPr>
      <w:bookmarkStart w:id="3" w:name="_Ref71197219"/>
      <w:r>
        <w:t>R4-2106172, WF on Rel-16 NR IAB demodulation requirements, RAN4#</w:t>
      </w:r>
      <w:r w:rsidR="0054421A">
        <w:t>98bis-e, Nokia, Nokia Shanghai Bell.</w:t>
      </w:r>
      <w:bookmarkEnd w:id="3"/>
    </w:p>
    <w:p w14:paraId="222401AA" w14:textId="2EDEB09C" w:rsidR="00F50800" w:rsidRPr="00F50800" w:rsidRDefault="0059298E" w:rsidP="00AC3278">
      <w:pPr>
        <w:pStyle w:val="ListParagraph"/>
        <w:numPr>
          <w:ilvl w:val="0"/>
          <w:numId w:val="5"/>
        </w:numPr>
        <w:ind w:right="-22"/>
        <w:rPr>
          <w:lang w:val="en-GB"/>
        </w:rPr>
      </w:pPr>
      <w:r w:rsidRPr="0059298E">
        <w:rPr>
          <w:lang w:val="en-150"/>
        </w:rPr>
        <w:t>R4-2111237</w:t>
      </w:r>
      <w:r>
        <w:rPr>
          <w:lang w:val="en-150"/>
        </w:rPr>
        <w:t>,</w:t>
      </w:r>
      <w:r w:rsidR="00924FD2">
        <w:rPr>
          <w:lang w:val="en-150"/>
        </w:rPr>
        <w:t xml:space="preserve"> </w:t>
      </w:r>
      <w:r w:rsidR="00924FD2" w:rsidRPr="00924FD2">
        <w:rPr>
          <w:lang w:val="en-150"/>
        </w:rPr>
        <w:t xml:space="preserve">TS 38.174 </w:t>
      </w:r>
      <w:proofErr w:type="spellStart"/>
      <w:r w:rsidR="00924FD2" w:rsidRPr="00924FD2">
        <w:rPr>
          <w:lang w:val="en-150"/>
        </w:rPr>
        <w:t>draftCR</w:t>
      </w:r>
      <w:proofErr w:type="spellEnd"/>
      <w:r w:rsidR="00924FD2" w:rsidRPr="00924FD2">
        <w:rPr>
          <w:lang w:val="en-150"/>
        </w:rPr>
        <w:t xml:space="preserve"> CSI reporting radiated performance requirements</w:t>
      </w:r>
      <w:r>
        <w:rPr>
          <w:lang w:val="en-150"/>
        </w:rPr>
        <w:t xml:space="preserve">, </w:t>
      </w:r>
      <w:r>
        <w:t>RAN4#9</w:t>
      </w:r>
      <w:r>
        <w:rPr>
          <w:lang w:val="en-150"/>
        </w:rPr>
        <w:t>9</w:t>
      </w:r>
      <w:r>
        <w:t>-e, Nokia, Nokia Shanghai Bell.</w:t>
      </w:r>
    </w:p>
    <w:sectPr w:rsidR="00F50800" w:rsidRPr="00F50800"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042A61" w14:textId="77777777" w:rsidR="00EC242D" w:rsidRDefault="00EC242D" w:rsidP="00001C9B">
      <w:pPr>
        <w:spacing w:after="0" w:line="240" w:lineRule="auto"/>
      </w:pPr>
      <w:r>
        <w:separator/>
      </w:r>
    </w:p>
  </w:endnote>
  <w:endnote w:type="continuationSeparator" w:id="0">
    <w:p w14:paraId="772EA635" w14:textId="77777777" w:rsidR="00EC242D" w:rsidRDefault="00EC242D" w:rsidP="00001C9B">
      <w:pPr>
        <w:spacing w:after="0" w:line="240" w:lineRule="auto"/>
      </w:pPr>
      <w:r>
        <w:continuationSeparator/>
      </w:r>
    </w:p>
  </w:endnote>
  <w:endnote w:type="continuationNotice" w:id="1">
    <w:p w14:paraId="6977F6CD" w14:textId="77777777" w:rsidR="00EC242D" w:rsidRDefault="00EC242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CEEDA1" w14:textId="77777777" w:rsidR="00EC242D" w:rsidRDefault="00EC242D" w:rsidP="00001C9B">
      <w:pPr>
        <w:spacing w:after="0" w:line="240" w:lineRule="auto"/>
      </w:pPr>
      <w:r>
        <w:separator/>
      </w:r>
    </w:p>
  </w:footnote>
  <w:footnote w:type="continuationSeparator" w:id="0">
    <w:p w14:paraId="047D4D11" w14:textId="77777777" w:rsidR="00EC242D" w:rsidRDefault="00EC242D" w:rsidP="00001C9B">
      <w:pPr>
        <w:spacing w:after="0" w:line="240" w:lineRule="auto"/>
      </w:pPr>
      <w:r>
        <w:continuationSeparator/>
      </w:r>
    </w:p>
  </w:footnote>
  <w:footnote w:type="continuationNotice" w:id="1">
    <w:p w14:paraId="2D21DD67" w14:textId="77777777" w:rsidR="00EC242D" w:rsidRDefault="00EC242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920D50"/>
    <w:multiLevelType w:val="hybridMultilevel"/>
    <w:tmpl w:val="D53E64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25141FC"/>
    <w:multiLevelType w:val="hybridMultilevel"/>
    <w:tmpl w:val="5DCE0A2A"/>
    <w:lvl w:ilvl="0" w:tplc="BB1CC8B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59DA53A9"/>
    <w:multiLevelType w:val="hybridMultilevel"/>
    <w:tmpl w:val="8BB40D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74AD5B88"/>
    <w:multiLevelType w:val="hybridMultilevel"/>
    <w:tmpl w:val="7C52EF3C"/>
    <w:lvl w:ilvl="0" w:tplc="63A2A574">
      <w:start w:val="1"/>
      <w:numFmt w:val="bullet"/>
      <w:lvlText w:val="•"/>
      <w:lvlJc w:val="left"/>
      <w:pPr>
        <w:tabs>
          <w:tab w:val="num" w:pos="720"/>
        </w:tabs>
        <w:ind w:left="720" w:hanging="360"/>
      </w:pPr>
      <w:rPr>
        <w:rFonts w:ascii="Arial" w:hAnsi="Arial" w:hint="default"/>
      </w:rPr>
    </w:lvl>
    <w:lvl w:ilvl="1" w:tplc="D0FAB71C">
      <w:numFmt w:val="bullet"/>
      <w:lvlText w:val="–"/>
      <w:lvlJc w:val="left"/>
      <w:pPr>
        <w:tabs>
          <w:tab w:val="num" w:pos="1440"/>
        </w:tabs>
        <w:ind w:left="1440" w:hanging="360"/>
      </w:pPr>
      <w:rPr>
        <w:rFonts w:ascii="Arial" w:hAnsi="Arial" w:hint="default"/>
      </w:rPr>
    </w:lvl>
    <w:lvl w:ilvl="2" w:tplc="28548D96" w:tentative="1">
      <w:start w:val="1"/>
      <w:numFmt w:val="bullet"/>
      <w:lvlText w:val="•"/>
      <w:lvlJc w:val="left"/>
      <w:pPr>
        <w:tabs>
          <w:tab w:val="num" w:pos="2160"/>
        </w:tabs>
        <w:ind w:left="2160" w:hanging="360"/>
      </w:pPr>
      <w:rPr>
        <w:rFonts w:ascii="Arial" w:hAnsi="Arial" w:hint="default"/>
      </w:rPr>
    </w:lvl>
    <w:lvl w:ilvl="3" w:tplc="40904002" w:tentative="1">
      <w:start w:val="1"/>
      <w:numFmt w:val="bullet"/>
      <w:lvlText w:val="•"/>
      <w:lvlJc w:val="left"/>
      <w:pPr>
        <w:tabs>
          <w:tab w:val="num" w:pos="2880"/>
        </w:tabs>
        <w:ind w:left="2880" w:hanging="360"/>
      </w:pPr>
      <w:rPr>
        <w:rFonts w:ascii="Arial" w:hAnsi="Arial" w:hint="default"/>
      </w:rPr>
    </w:lvl>
    <w:lvl w:ilvl="4" w:tplc="D62E5386" w:tentative="1">
      <w:start w:val="1"/>
      <w:numFmt w:val="bullet"/>
      <w:lvlText w:val="•"/>
      <w:lvlJc w:val="left"/>
      <w:pPr>
        <w:tabs>
          <w:tab w:val="num" w:pos="3600"/>
        </w:tabs>
        <w:ind w:left="3600" w:hanging="360"/>
      </w:pPr>
      <w:rPr>
        <w:rFonts w:ascii="Arial" w:hAnsi="Arial" w:hint="default"/>
      </w:rPr>
    </w:lvl>
    <w:lvl w:ilvl="5" w:tplc="B9A8FAEC" w:tentative="1">
      <w:start w:val="1"/>
      <w:numFmt w:val="bullet"/>
      <w:lvlText w:val="•"/>
      <w:lvlJc w:val="left"/>
      <w:pPr>
        <w:tabs>
          <w:tab w:val="num" w:pos="4320"/>
        </w:tabs>
        <w:ind w:left="4320" w:hanging="360"/>
      </w:pPr>
      <w:rPr>
        <w:rFonts w:ascii="Arial" w:hAnsi="Arial" w:hint="default"/>
      </w:rPr>
    </w:lvl>
    <w:lvl w:ilvl="6" w:tplc="C478AA9A" w:tentative="1">
      <w:start w:val="1"/>
      <w:numFmt w:val="bullet"/>
      <w:lvlText w:val="•"/>
      <w:lvlJc w:val="left"/>
      <w:pPr>
        <w:tabs>
          <w:tab w:val="num" w:pos="5040"/>
        </w:tabs>
        <w:ind w:left="5040" w:hanging="360"/>
      </w:pPr>
      <w:rPr>
        <w:rFonts w:ascii="Arial" w:hAnsi="Arial" w:hint="default"/>
      </w:rPr>
    </w:lvl>
    <w:lvl w:ilvl="7" w:tplc="4BDA786C" w:tentative="1">
      <w:start w:val="1"/>
      <w:numFmt w:val="bullet"/>
      <w:lvlText w:val="•"/>
      <w:lvlJc w:val="left"/>
      <w:pPr>
        <w:tabs>
          <w:tab w:val="num" w:pos="5760"/>
        </w:tabs>
        <w:ind w:left="5760" w:hanging="360"/>
      </w:pPr>
      <w:rPr>
        <w:rFonts w:ascii="Arial" w:hAnsi="Arial" w:hint="default"/>
      </w:rPr>
    </w:lvl>
    <w:lvl w:ilvl="8" w:tplc="6130FBF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7B762CBC"/>
    <w:multiLevelType w:val="hybridMultilevel"/>
    <w:tmpl w:val="29D43214"/>
    <w:lvl w:ilvl="0" w:tplc="989AE484">
      <w:numFmt w:val="bullet"/>
      <w:lvlText w:val="-"/>
      <w:lvlJc w:val="left"/>
      <w:pPr>
        <w:ind w:left="720" w:hanging="360"/>
      </w:pPr>
      <w:rPr>
        <w:rFonts w:ascii="Times New Roman" w:eastAsiaTheme="minorHAnsi"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6"/>
  </w:num>
  <w:num w:numId="5">
    <w:abstractNumId w:val="4"/>
  </w:num>
  <w:num w:numId="6">
    <w:abstractNumId w:val="8"/>
  </w:num>
  <w:num w:numId="7">
    <w:abstractNumId w:val="5"/>
  </w:num>
  <w:num w:numId="8">
    <w:abstractNumId w:val="7"/>
  </w:num>
  <w:num w:numId="9">
    <w:abstractNumId w:val="0"/>
  </w:num>
  <w:num w:numId="10">
    <w:abstractNumId w:val="1"/>
    <w:lvlOverride w:ilvl="0">
      <w:startOverride w:val="1"/>
    </w:lvlOverride>
  </w:num>
  <w:num w:numId="11">
    <w:abstractNumId w:val="2"/>
    <w:lvlOverride w:ilvl="0">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hyphenationZone w:val="425"/>
  <w:characterSpacingControl w:val="doNotCompress"/>
  <w:savePreviewPicture/>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A0MjU2MLWwNDAyM7FU0lEKTi0uzszPAykwtKgFALKsRRktAAAA"/>
  </w:docVars>
  <w:rsids>
    <w:rsidRoot w:val="00841BCD"/>
    <w:rsid w:val="0000182B"/>
    <w:rsid w:val="00001C9B"/>
    <w:rsid w:val="00004F71"/>
    <w:rsid w:val="00007539"/>
    <w:rsid w:val="000168B2"/>
    <w:rsid w:val="00021896"/>
    <w:rsid w:val="000245C2"/>
    <w:rsid w:val="00024BC0"/>
    <w:rsid w:val="00024F54"/>
    <w:rsid w:val="00025F4D"/>
    <w:rsid w:val="00030A3E"/>
    <w:rsid w:val="0003528F"/>
    <w:rsid w:val="00035A7A"/>
    <w:rsid w:val="00046A38"/>
    <w:rsid w:val="0005046D"/>
    <w:rsid w:val="00050697"/>
    <w:rsid w:val="00050F32"/>
    <w:rsid w:val="000523A3"/>
    <w:rsid w:val="000528A1"/>
    <w:rsid w:val="000578C7"/>
    <w:rsid w:val="00057C03"/>
    <w:rsid w:val="0006089F"/>
    <w:rsid w:val="000611D0"/>
    <w:rsid w:val="00061B0B"/>
    <w:rsid w:val="00064279"/>
    <w:rsid w:val="000648BF"/>
    <w:rsid w:val="00064F3F"/>
    <w:rsid w:val="00070807"/>
    <w:rsid w:val="00070D00"/>
    <w:rsid w:val="00071AA2"/>
    <w:rsid w:val="00072309"/>
    <w:rsid w:val="00074A51"/>
    <w:rsid w:val="00084B13"/>
    <w:rsid w:val="0008612A"/>
    <w:rsid w:val="00087E4D"/>
    <w:rsid w:val="0009074C"/>
    <w:rsid w:val="000919D9"/>
    <w:rsid w:val="0009624D"/>
    <w:rsid w:val="000A0489"/>
    <w:rsid w:val="000A1247"/>
    <w:rsid w:val="000A373E"/>
    <w:rsid w:val="000A4602"/>
    <w:rsid w:val="000A4ACE"/>
    <w:rsid w:val="000A63F4"/>
    <w:rsid w:val="000A64E8"/>
    <w:rsid w:val="000B0056"/>
    <w:rsid w:val="000C0C81"/>
    <w:rsid w:val="000C5921"/>
    <w:rsid w:val="000C5964"/>
    <w:rsid w:val="000C6A6E"/>
    <w:rsid w:val="000D2CBD"/>
    <w:rsid w:val="000D30E1"/>
    <w:rsid w:val="000D40AC"/>
    <w:rsid w:val="000D4953"/>
    <w:rsid w:val="000E062B"/>
    <w:rsid w:val="000E2405"/>
    <w:rsid w:val="000E26E8"/>
    <w:rsid w:val="000E4D44"/>
    <w:rsid w:val="000E6041"/>
    <w:rsid w:val="000E6439"/>
    <w:rsid w:val="000F607D"/>
    <w:rsid w:val="000F6091"/>
    <w:rsid w:val="000F6EC4"/>
    <w:rsid w:val="00102A51"/>
    <w:rsid w:val="001117AD"/>
    <w:rsid w:val="00116EBD"/>
    <w:rsid w:val="00125EBD"/>
    <w:rsid w:val="00126E79"/>
    <w:rsid w:val="00133101"/>
    <w:rsid w:val="0013542B"/>
    <w:rsid w:val="001359B9"/>
    <w:rsid w:val="00136624"/>
    <w:rsid w:val="00140EA7"/>
    <w:rsid w:val="001426FC"/>
    <w:rsid w:val="001427B3"/>
    <w:rsid w:val="0014543A"/>
    <w:rsid w:val="00145BC8"/>
    <w:rsid w:val="0014665C"/>
    <w:rsid w:val="00147553"/>
    <w:rsid w:val="001519C7"/>
    <w:rsid w:val="00160973"/>
    <w:rsid w:val="001621A7"/>
    <w:rsid w:val="00162F09"/>
    <w:rsid w:val="00166BB1"/>
    <w:rsid w:val="00170B08"/>
    <w:rsid w:val="00170F5D"/>
    <w:rsid w:val="00171D91"/>
    <w:rsid w:val="00172D7A"/>
    <w:rsid w:val="0017303F"/>
    <w:rsid w:val="001737D6"/>
    <w:rsid w:val="0017384C"/>
    <w:rsid w:val="001745F8"/>
    <w:rsid w:val="001838CF"/>
    <w:rsid w:val="00183915"/>
    <w:rsid w:val="0018433C"/>
    <w:rsid w:val="001873E6"/>
    <w:rsid w:val="001875A7"/>
    <w:rsid w:val="001879D2"/>
    <w:rsid w:val="00191A9E"/>
    <w:rsid w:val="00193F91"/>
    <w:rsid w:val="001975B5"/>
    <w:rsid w:val="001A12C7"/>
    <w:rsid w:val="001A133D"/>
    <w:rsid w:val="001A3290"/>
    <w:rsid w:val="001A3BA4"/>
    <w:rsid w:val="001A4303"/>
    <w:rsid w:val="001A49DF"/>
    <w:rsid w:val="001A6E8B"/>
    <w:rsid w:val="001A7493"/>
    <w:rsid w:val="001B2CDC"/>
    <w:rsid w:val="001B3B0E"/>
    <w:rsid w:val="001B41F9"/>
    <w:rsid w:val="001B5E0A"/>
    <w:rsid w:val="001B6EBD"/>
    <w:rsid w:val="001C1807"/>
    <w:rsid w:val="001C1C0C"/>
    <w:rsid w:val="001C1D96"/>
    <w:rsid w:val="001C2291"/>
    <w:rsid w:val="001C2B4C"/>
    <w:rsid w:val="001C44A5"/>
    <w:rsid w:val="001C6111"/>
    <w:rsid w:val="001C735D"/>
    <w:rsid w:val="001D3164"/>
    <w:rsid w:val="001D6532"/>
    <w:rsid w:val="001D7073"/>
    <w:rsid w:val="001E2605"/>
    <w:rsid w:val="001E30F6"/>
    <w:rsid w:val="001E4167"/>
    <w:rsid w:val="001E4F8A"/>
    <w:rsid w:val="001E6FB4"/>
    <w:rsid w:val="001F34B9"/>
    <w:rsid w:val="001F3659"/>
    <w:rsid w:val="001F462A"/>
    <w:rsid w:val="001F4D08"/>
    <w:rsid w:val="001F64BF"/>
    <w:rsid w:val="00200958"/>
    <w:rsid w:val="002016C3"/>
    <w:rsid w:val="002112C1"/>
    <w:rsid w:val="002113BC"/>
    <w:rsid w:val="00211904"/>
    <w:rsid w:val="00213C76"/>
    <w:rsid w:val="0021787E"/>
    <w:rsid w:val="00220959"/>
    <w:rsid w:val="00222285"/>
    <w:rsid w:val="00225B51"/>
    <w:rsid w:val="002317F8"/>
    <w:rsid w:val="002324C6"/>
    <w:rsid w:val="00233B0A"/>
    <w:rsid w:val="00235246"/>
    <w:rsid w:val="00235A2A"/>
    <w:rsid w:val="00235F5C"/>
    <w:rsid w:val="0023741D"/>
    <w:rsid w:val="00240A2A"/>
    <w:rsid w:val="00254382"/>
    <w:rsid w:val="00256625"/>
    <w:rsid w:val="00257C62"/>
    <w:rsid w:val="0026150D"/>
    <w:rsid w:val="002619B4"/>
    <w:rsid w:val="002630FD"/>
    <w:rsid w:val="00270A18"/>
    <w:rsid w:val="00270D73"/>
    <w:rsid w:val="0027289A"/>
    <w:rsid w:val="002729C9"/>
    <w:rsid w:val="0027308D"/>
    <w:rsid w:val="00277539"/>
    <w:rsid w:val="002804FD"/>
    <w:rsid w:val="002833CE"/>
    <w:rsid w:val="0028610E"/>
    <w:rsid w:val="00292837"/>
    <w:rsid w:val="00296627"/>
    <w:rsid w:val="0029709F"/>
    <w:rsid w:val="002A0657"/>
    <w:rsid w:val="002A1F68"/>
    <w:rsid w:val="002A4E6B"/>
    <w:rsid w:val="002A7DB3"/>
    <w:rsid w:val="002B0684"/>
    <w:rsid w:val="002B1988"/>
    <w:rsid w:val="002B4922"/>
    <w:rsid w:val="002B5C02"/>
    <w:rsid w:val="002C003B"/>
    <w:rsid w:val="002C16F8"/>
    <w:rsid w:val="002C1D39"/>
    <w:rsid w:val="002C27D8"/>
    <w:rsid w:val="002C2D19"/>
    <w:rsid w:val="002D10FA"/>
    <w:rsid w:val="002D1F7D"/>
    <w:rsid w:val="002D4001"/>
    <w:rsid w:val="002D4C55"/>
    <w:rsid w:val="002D68E2"/>
    <w:rsid w:val="002D7505"/>
    <w:rsid w:val="002E1085"/>
    <w:rsid w:val="002E10C6"/>
    <w:rsid w:val="002E5911"/>
    <w:rsid w:val="002F0B25"/>
    <w:rsid w:val="002F1F41"/>
    <w:rsid w:val="002F339F"/>
    <w:rsid w:val="002F33B7"/>
    <w:rsid w:val="002F7600"/>
    <w:rsid w:val="002F7637"/>
    <w:rsid w:val="002F7EB1"/>
    <w:rsid w:val="00300449"/>
    <w:rsid w:val="00302102"/>
    <w:rsid w:val="00302EBC"/>
    <w:rsid w:val="00310D39"/>
    <w:rsid w:val="003118D1"/>
    <w:rsid w:val="00314CA6"/>
    <w:rsid w:val="00316D1D"/>
    <w:rsid w:val="00320717"/>
    <w:rsid w:val="00321BD6"/>
    <w:rsid w:val="00321EDC"/>
    <w:rsid w:val="00330497"/>
    <w:rsid w:val="003316F8"/>
    <w:rsid w:val="003343F0"/>
    <w:rsid w:val="00340115"/>
    <w:rsid w:val="00340346"/>
    <w:rsid w:val="00340C31"/>
    <w:rsid w:val="00343787"/>
    <w:rsid w:val="0034789A"/>
    <w:rsid w:val="00347908"/>
    <w:rsid w:val="00350222"/>
    <w:rsid w:val="00351503"/>
    <w:rsid w:val="00351BB6"/>
    <w:rsid w:val="00353114"/>
    <w:rsid w:val="0035383C"/>
    <w:rsid w:val="003538B9"/>
    <w:rsid w:val="00354545"/>
    <w:rsid w:val="00355342"/>
    <w:rsid w:val="0035553B"/>
    <w:rsid w:val="00360FC3"/>
    <w:rsid w:val="00363919"/>
    <w:rsid w:val="00364D13"/>
    <w:rsid w:val="00370CD6"/>
    <w:rsid w:val="003738F3"/>
    <w:rsid w:val="003756FE"/>
    <w:rsid w:val="00377969"/>
    <w:rsid w:val="00382CD0"/>
    <w:rsid w:val="003836BC"/>
    <w:rsid w:val="00384C63"/>
    <w:rsid w:val="00385F1B"/>
    <w:rsid w:val="00387696"/>
    <w:rsid w:val="00391BD1"/>
    <w:rsid w:val="003954D3"/>
    <w:rsid w:val="003969F7"/>
    <w:rsid w:val="003A1095"/>
    <w:rsid w:val="003A2104"/>
    <w:rsid w:val="003A2793"/>
    <w:rsid w:val="003A2ECE"/>
    <w:rsid w:val="003A7540"/>
    <w:rsid w:val="003A7B91"/>
    <w:rsid w:val="003A7D86"/>
    <w:rsid w:val="003B063E"/>
    <w:rsid w:val="003B1C71"/>
    <w:rsid w:val="003B25E3"/>
    <w:rsid w:val="003B2665"/>
    <w:rsid w:val="003B6554"/>
    <w:rsid w:val="003B659E"/>
    <w:rsid w:val="003C2139"/>
    <w:rsid w:val="003C21E6"/>
    <w:rsid w:val="003C2CF3"/>
    <w:rsid w:val="003C3E80"/>
    <w:rsid w:val="003C46DC"/>
    <w:rsid w:val="003C7941"/>
    <w:rsid w:val="003D1963"/>
    <w:rsid w:val="003D2BC8"/>
    <w:rsid w:val="003D3614"/>
    <w:rsid w:val="003D4AF1"/>
    <w:rsid w:val="003D53FA"/>
    <w:rsid w:val="003D618A"/>
    <w:rsid w:val="003D633B"/>
    <w:rsid w:val="003E1491"/>
    <w:rsid w:val="003E21C4"/>
    <w:rsid w:val="003E2FD6"/>
    <w:rsid w:val="003E321C"/>
    <w:rsid w:val="003E35B4"/>
    <w:rsid w:val="003E50E8"/>
    <w:rsid w:val="003E7374"/>
    <w:rsid w:val="003F29F2"/>
    <w:rsid w:val="003F5E4C"/>
    <w:rsid w:val="003F5EBC"/>
    <w:rsid w:val="004022BD"/>
    <w:rsid w:val="00402587"/>
    <w:rsid w:val="004036C2"/>
    <w:rsid w:val="0040528D"/>
    <w:rsid w:val="0040600E"/>
    <w:rsid w:val="00406495"/>
    <w:rsid w:val="004065A3"/>
    <w:rsid w:val="004070A0"/>
    <w:rsid w:val="00410A54"/>
    <w:rsid w:val="00410C33"/>
    <w:rsid w:val="00411C39"/>
    <w:rsid w:val="00411FD0"/>
    <w:rsid w:val="00412D38"/>
    <w:rsid w:val="00413AF0"/>
    <w:rsid w:val="00414E92"/>
    <w:rsid w:val="0041783C"/>
    <w:rsid w:val="004202D3"/>
    <w:rsid w:val="00421051"/>
    <w:rsid w:val="00422826"/>
    <w:rsid w:val="00425E83"/>
    <w:rsid w:val="00426613"/>
    <w:rsid w:val="00427ABA"/>
    <w:rsid w:val="0043290F"/>
    <w:rsid w:val="004335F6"/>
    <w:rsid w:val="00434779"/>
    <w:rsid w:val="004360A2"/>
    <w:rsid w:val="0043750A"/>
    <w:rsid w:val="00437569"/>
    <w:rsid w:val="004400F6"/>
    <w:rsid w:val="0044074C"/>
    <w:rsid w:val="00440A0A"/>
    <w:rsid w:val="0044112A"/>
    <w:rsid w:val="0044292A"/>
    <w:rsid w:val="004438EF"/>
    <w:rsid w:val="00450BFB"/>
    <w:rsid w:val="00452EDD"/>
    <w:rsid w:val="004540DB"/>
    <w:rsid w:val="00456279"/>
    <w:rsid w:val="004567F4"/>
    <w:rsid w:val="004572F3"/>
    <w:rsid w:val="0046203E"/>
    <w:rsid w:val="00462C3D"/>
    <w:rsid w:val="004651AF"/>
    <w:rsid w:val="004721A2"/>
    <w:rsid w:val="004738CC"/>
    <w:rsid w:val="00476D82"/>
    <w:rsid w:val="00480ABD"/>
    <w:rsid w:val="004878AA"/>
    <w:rsid w:val="00487F02"/>
    <w:rsid w:val="00491EB8"/>
    <w:rsid w:val="004947C2"/>
    <w:rsid w:val="00495B23"/>
    <w:rsid w:val="004A0813"/>
    <w:rsid w:val="004A0E15"/>
    <w:rsid w:val="004A1F6D"/>
    <w:rsid w:val="004A27C8"/>
    <w:rsid w:val="004A28F6"/>
    <w:rsid w:val="004A3434"/>
    <w:rsid w:val="004A4FAD"/>
    <w:rsid w:val="004A65EA"/>
    <w:rsid w:val="004A7643"/>
    <w:rsid w:val="004B0E82"/>
    <w:rsid w:val="004B6B34"/>
    <w:rsid w:val="004C0D4E"/>
    <w:rsid w:val="004C1752"/>
    <w:rsid w:val="004C2F6D"/>
    <w:rsid w:val="004C4E89"/>
    <w:rsid w:val="004C7374"/>
    <w:rsid w:val="004C7B6D"/>
    <w:rsid w:val="004D0246"/>
    <w:rsid w:val="004D07C3"/>
    <w:rsid w:val="004D0868"/>
    <w:rsid w:val="004D0BE2"/>
    <w:rsid w:val="004D1395"/>
    <w:rsid w:val="004D1E2F"/>
    <w:rsid w:val="004D78DD"/>
    <w:rsid w:val="004D7BA7"/>
    <w:rsid w:val="004E1167"/>
    <w:rsid w:val="004E5E66"/>
    <w:rsid w:val="004E7601"/>
    <w:rsid w:val="004F02F0"/>
    <w:rsid w:val="004F194E"/>
    <w:rsid w:val="004F2772"/>
    <w:rsid w:val="005004C4"/>
    <w:rsid w:val="005035E4"/>
    <w:rsid w:val="00503B4D"/>
    <w:rsid w:val="00504EE9"/>
    <w:rsid w:val="00506B72"/>
    <w:rsid w:val="005076A2"/>
    <w:rsid w:val="00510717"/>
    <w:rsid w:val="005116CC"/>
    <w:rsid w:val="005121AE"/>
    <w:rsid w:val="00512E0D"/>
    <w:rsid w:val="0051389C"/>
    <w:rsid w:val="00516D59"/>
    <w:rsid w:val="00516DDF"/>
    <w:rsid w:val="0051784E"/>
    <w:rsid w:val="00521FC3"/>
    <w:rsid w:val="0052551D"/>
    <w:rsid w:val="0052690B"/>
    <w:rsid w:val="00526997"/>
    <w:rsid w:val="00526B79"/>
    <w:rsid w:val="00531016"/>
    <w:rsid w:val="005324E1"/>
    <w:rsid w:val="005349A9"/>
    <w:rsid w:val="00535966"/>
    <w:rsid w:val="00543F89"/>
    <w:rsid w:val="0054421A"/>
    <w:rsid w:val="00544253"/>
    <w:rsid w:val="0054442C"/>
    <w:rsid w:val="00546AFA"/>
    <w:rsid w:val="0054773F"/>
    <w:rsid w:val="00550285"/>
    <w:rsid w:val="005512FA"/>
    <w:rsid w:val="00551C08"/>
    <w:rsid w:val="0055310F"/>
    <w:rsid w:val="0055643B"/>
    <w:rsid w:val="0055655B"/>
    <w:rsid w:val="00556FF1"/>
    <w:rsid w:val="00557FD4"/>
    <w:rsid w:val="00560DDF"/>
    <w:rsid w:val="00562644"/>
    <w:rsid w:val="00562936"/>
    <w:rsid w:val="00563A62"/>
    <w:rsid w:val="00565140"/>
    <w:rsid w:val="00567DA7"/>
    <w:rsid w:val="0057114E"/>
    <w:rsid w:val="005724AC"/>
    <w:rsid w:val="00572772"/>
    <w:rsid w:val="005728D8"/>
    <w:rsid w:val="00573CED"/>
    <w:rsid w:val="00574044"/>
    <w:rsid w:val="00577D2F"/>
    <w:rsid w:val="0058055E"/>
    <w:rsid w:val="005836F8"/>
    <w:rsid w:val="00584303"/>
    <w:rsid w:val="005876A0"/>
    <w:rsid w:val="005918FA"/>
    <w:rsid w:val="0059298E"/>
    <w:rsid w:val="00593DEC"/>
    <w:rsid w:val="00596913"/>
    <w:rsid w:val="00597BB7"/>
    <w:rsid w:val="005A162E"/>
    <w:rsid w:val="005A3280"/>
    <w:rsid w:val="005B11C9"/>
    <w:rsid w:val="005B145B"/>
    <w:rsid w:val="005B1C9E"/>
    <w:rsid w:val="005B230A"/>
    <w:rsid w:val="005B33E9"/>
    <w:rsid w:val="005B3692"/>
    <w:rsid w:val="005B453A"/>
    <w:rsid w:val="005C19A3"/>
    <w:rsid w:val="005C1E8A"/>
    <w:rsid w:val="005C21E7"/>
    <w:rsid w:val="005C23A4"/>
    <w:rsid w:val="005C33FF"/>
    <w:rsid w:val="005C4980"/>
    <w:rsid w:val="005D0F99"/>
    <w:rsid w:val="005D1CDF"/>
    <w:rsid w:val="005D5DA3"/>
    <w:rsid w:val="005D75AD"/>
    <w:rsid w:val="005E0BA4"/>
    <w:rsid w:val="005E14BE"/>
    <w:rsid w:val="005E14FF"/>
    <w:rsid w:val="005E61A8"/>
    <w:rsid w:val="005E6FCB"/>
    <w:rsid w:val="005F20BC"/>
    <w:rsid w:val="005F2980"/>
    <w:rsid w:val="005F6419"/>
    <w:rsid w:val="006006E8"/>
    <w:rsid w:val="00601860"/>
    <w:rsid w:val="00601EDB"/>
    <w:rsid w:val="00605BC7"/>
    <w:rsid w:val="00605DA2"/>
    <w:rsid w:val="00607298"/>
    <w:rsid w:val="00607EA7"/>
    <w:rsid w:val="00611BAB"/>
    <w:rsid w:val="0061489D"/>
    <w:rsid w:val="00614B06"/>
    <w:rsid w:val="00617400"/>
    <w:rsid w:val="00617643"/>
    <w:rsid w:val="006177BD"/>
    <w:rsid w:val="00621C0F"/>
    <w:rsid w:val="00621DAB"/>
    <w:rsid w:val="0062275A"/>
    <w:rsid w:val="00624B7D"/>
    <w:rsid w:val="0063425C"/>
    <w:rsid w:val="00634954"/>
    <w:rsid w:val="00635539"/>
    <w:rsid w:val="00635C0C"/>
    <w:rsid w:val="00637AE7"/>
    <w:rsid w:val="006412C7"/>
    <w:rsid w:val="00643488"/>
    <w:rsid w:val="006438CF"/>
    <w:rsid w:val="0064432E"/>
    <w:rsid w:val="00644388"/>
    <w:rsid w:val="00644617"/>
    <w:rsid w:val="006449C1"/>
    <w:rsid w:val="00646EB3"/>
    <w:rsid w:val="00647846"/>
    <w:rsid w:val="00651BCD"/>
    <w:rsid w:val="006523F8"/>
    <w:rsid w:val="00654238"/>
    <w:rsid w:val="00660C0B"/>
    <w:rsid w:val="00663DE6"/>
    <w:rsid w:val="00664950"/>
    <w:rsid w:val="00667110"/>
    <w:rsid w:val="006702DB"/>
    <w:rsid w:val="00670434"/>
    <w:rsid w:val="006726D9"/>
    <w:rsid w:val="00675C57"/>
    <w:rsid w:val="00675EE0"/>
    <w:rsid w:val="00681CFA"/>
    <w:rsid w:val="00683220"/>
    <w:rsid w:val="00686E5F"/>
    <w:rsid w:val="00687A8E"/>
    <w:rsid w:val="00687FA0"/>
    <w:rsid w:val="006903A5"/>
    <w:rsid w:val="006940BC"/>
    <w:rsid w:val="00697E99"/>
    <w:rsid w:val="006A065F"/>
    <w:rsid w:val="006A0DBE"/>
    <w:rsid w:val="006A4DAD"/>
    <w:rsid w:val="006A4FF9"/>
    <w:rsid w:val="006A5FD7"/>
    <w:rsid w:val="006A78E8"/>
    <w:rsid w:val="006A7B06"/>
    <w:rsid w:val="006B3D8A"/>
    <w:rsid w:val="006B4349"/>
    <w:rsid w:val="006B69A3"/>
    <w:rsid w:val="006B7010"/>
    <w:rsid w:val="006C2416"/>
    <w:rsid w:val="006C3CDE"/>
    <w:rsid w:val="006D129B"/>
    <w:rsid w:val="006D27FC"/>
    <w:rsid w:val="006D2CE8"/>
    <w:rsid w:val="006D3625"/>
    <w:rsid w:val="006D3D78"/>
    <w:rsid w:val="006D4174"/>
    <w:rsid w:val="006D4378"/>
    <w:rsid w:val="006D6BC0"/>
    <w:rsid w:val="006D7B7B"/>
    <w:rsid w:val="006D7F54"/>
    <w:rsid w:val="006E1220"/>
    <w:rsid w:val="006E1AEE"/>
    <w:rsid w:val="006E5A8B"/>
    <w:rsid w:val="006E5FBA"/>
    <w:rsid w:val="006F3272"/>
    <w:rsid w:val="006F7D8B"/>
    <w:rsid w:val="00701D8C"/>
    <w:rsid w:val="007024BD"/>
    <w:rsid w:val="00704037"/>
    <w:rsid w:val="007054FA"/>
    <w:rsid w:val="0071118A"/>
    <w:rsid w:val="00711B36"/>
    <w:rsid w:val="00711FCF"/>
    <w:rsid w:val="00712307"/>
    <w:rsid w:val="007145FF"/>
    <w:rsid w:val="007166CA"/>
    <w:rsid w:val="00724D94"/>
    <w:rsid w:val="00726234"/>
    <w:rsid w:val="0072624A"/>
    <w:rsid w:val="00730FAA"/>
    <w:rsid w:val="0073261F"/>
    <w:rsid w:val="00732F7E"/>
    <w:rsid w:val="00733B26"/>
    <w:rsid w:val="0073440E"/>
    <w:rsid w:val="00735158"/>
    <w:rsid w:val="00735FD6"/>
    <w:rsid w:val="00736CEE"/>
    <w:rsid w:val="00741DC9"/>
    <w:rsid w:val="0074215B"/>
    <w:rsid w:val="00743610"/>
    <w:rsid w:val="00750964"/>
    <w:rsid w:val="0075102B"/>
    <w:rsid w:val="00751515"/>
    <w:rsid w:val="00751B69"/>
    <w:rsid w:val="0075236F"/>
    <w:rsid w:val="00754083"/>
    <w:rsid w:val="0075457C"/>
    <w:rsid w:val="00754995"/>
    <w:rsid w:val="00754FF1"/>
    <w:rsid w:val="00755D21"/>
    <w:rsid w:val="0076188B"/>
    <w:rsid w:val="007622FA"/>
    <w:rsid w:val="00762385"/>
    <w:rsid w:val="007633BD"/>
    <w:rsid w:val="00763A4A"/>
    <w:rsid w:val="00765697"/>
    <w:rsid w:val="007676CC"/>
    <w:rsid w:val="0077603E"/>
    <w:rsid w:val="00781770"/>
    <w:rsid w:val="00783368"/>
    <w:rsid w:val="00783B35"/>
    <w:rsid w:val="00785232"/>
    <w:rsid w:val="007903E4"/>
    <w:rsid w:val="00791021"/>
    <w:rsid w:val="00793F16"/>
    <w:rsid w:val="00794F1A"/>
    <w:rsid w:val="00797AC8"/>
    <w:rsid w:val="007A085A"/>
    <w:rsid w:val="007A08FF"/>
    <w:rsid w:val="007A3B46"/>
    <w:rsid w:val="007A4BD2"/>
    <w:rsid w:val="007A6D60"/>
    <w:rsid w:val="007A7B49"/>
    <w:rsid w:val="007A7E63"/>
    <w:rsid w:val="007B0D17"/>
    <w:rsid w:val="007B39D1"/>
    <w:rsid w:val="007B40AD"/>
    <w:rsid w:val="007B4F91"/>
    <w:rsid w:val="007B57D1"/>
    <w:rsid w:val="007B69A7"/>
    <w:rsid w:val="007B69CC"/>
    <w:rsid w:val="007B76CF"/>
    <w:rsid w:val="007C3012"/>
    <w:rsid w:val="007C32CD"/>
    <w:rsid w:val="007C3CD2"/>
    <w:rsid w:val="007C3ED0"/>
    <w:rsid w:val="007C4A1E"/>
    <w:rsid w:val="007C623B"/>
    <w:rsid w:val="007D145B"/>
    <w:rsid w:val="007D3580"/>
    <w:rsid w:val="007D64BC"/>
    <w:rsid w:val="007D7C94"/>
    <w:rsid w:val="007E00D4"/>
    <w:rsid w:val="007E29D6"/>
    <w:rsid w:val="007E31D1"/>
    <w:rsid w:val="007E496C"/>
    <w:rsid w:val="007E52AD"/>
    <w:rsid w:val="007E5FFB"/>
    <w:rsid w:val="007E68D6"/>
    <w:rsid w:val="007E6948"/>
    <w:rsid w:val="007E6C17"/>
    <w:rsid w:val="007F0AC2"/>
    <w:rsid w:val="007F4B64"/>
    <w:rsid w:val="007F6458"/>
    <w:rsid w:val="007F79A9"/>
    <w:rsid w:val="00800249"/>
    <w:rsid w:val="008028B8"/>
    <w:rsid w:val="00802F92"/>
    <w:rsid w:val="0080343D"/>
    <w:rsid w:val="008066E5"/>
    <w:rsid w:val="00806A76"/>
    <w:rsid w:val="00807C73"/>
    <w:rsid w:val="00810131"/>
    <w:rsid w:val="00810D0C"/>
    <w:rsid w:val="00811099"/>
    <w:rsid w:val="0081132E"/>
    <w:rsid w:val="00811644"/>
    <w:rsid w:val="008116B1"/>
    <w:rsid w:val="00811847"/>
    <w:rsid w:val="00811C9D"/>
    <w:rsid w:val="008120B9"/>
    <w:rsid w:val="0081210B"/>
    <w:rsid w:val="008141FB"/>
    <w:rsid w:val="00814C75"/>
    <w:rsid w:val="00816C80"/>
    <w:rsid w:val="00817BFE"/>
    <w:rsid w:val="0082153E"/>
    <w:rsid w:val="00821A8B"/>
    <w:rsid w:val="00821CDF"/>
    <w:rsid w:val="00822906"/>
    <w:rsid w:val="00824BD6"/>
    <w:rsid w:val="00825236"/>
    <w:rsid w:val="00825C6A"/>
    <w:rsid w:val="00826B07"/>
    <w:rsid w:val="00827F0B"/>
    <w:rsid w:val="008316F1"/>
    <w:rsid w:val="008322AA"/>
    <w:rsid w:val="008362D2"/>
    <w:rsid w:val="00841BCD"/>
    <w:rsid w:val="008420E5"/>
    <w:rsid w:val="00842481"/>
    <w:rsid w:val="008439D9"/>
    <w:rsid w:val="0084562C"/>
    <w:rsid w:val="008465A8"/>
    <w:rsid w:val="00847139"/>
    <w:rsid w:val="00850920"/>
    <w:rsid w:val="00851909"/>
    <w:rsid w:val="00851A8E"/>
    <w:rsid w:val="00857236"/>
    <w:rsid w:val="0086155B"/>
    <w:rsid w:val="00864B6F"/>
    <w:rsid w:val="008653FB"/>
    <w:rsid w:val="008655E6"/>
    <w:rsid w:val="00866037"/>
    <w:rsid w:val="008665F3"/>
    <w:rsid w:val="008722A9"/>
    <w:rsid w:val="008724BC"/>
    <w:rsid w:val="00873BFB"/>
    <w:rsid w:val="00875299"/>
    <w:rsid w:val="0088049D"/>
    <w:rsid w:val="008808A5"/>
    <w:rsid w:val="00881848"/>
    <w:rsid w:val="00881CB9"/>
    <w:rsid w:val="008826C1"/>
    <w:rsid w:val="008851E8"/>
    <w:rsid w:val="00885A87"/>
    <w:rsid w:val="00891851"/>
    <w:rsid w:val="00893D23"/>
    <w:rsid w:val="00894BEE"/>
    <w:rsid w:val="00896B37"/>
    <w:rsid w:val="008A3056"/>
    <w:rsid w:val="008A6968"/>
    <w:rsid w:val="008B1719"/>
    <w:rsid w:val="008B2B85"/>
    <w:rsid w:val="008C0FE2"/>
    <w:rsid w:val="008C3027"/>
    <w:rsid w:val="008C6C4B"/>
    <w:rsid w:val="008C709D"/>
    <w:rsid w:val="008C70A0"/>
    <w:rsid w:val="008D2EDD"/>
    <w:rsid w:val="008D3456"/>
    <w:rsid w:val="008D41C6"/>
    <w:rsid w:val="008D52F5"/>
    <w:rsid w:val="008D5442"/>
    <w:rsid w:val="008D580F"/>
    <w:rsid w:val="008E000D"/>
    <w:rsid w:val="008E0A58"/>
    <w:rsid w:val="008E3600"/>
    <w:rsid w:val="008E38EB"/>
    <w:rsid w:val="008E61B8"/>
    <w:rsid w:val="008E6DF3"/>
    <w:rsid w:val="0090091A"/>
    <w:rsid w:val="00901E01"/>
    <w:rsid w:val="009042BD"/>
    <w:rsid w:val="00905798"/>
    <w:rsid w:val="00906B6D"/>
    <w:rsid w:val="00912177"/>
    <w:rsid w:val="00912868"/>
    <w:rsid w:val="00915B87"/>
    <w:rsid w:val="00916384"/>
    <w:rsid w:val="00917AEE"/>
    <w:rsid w:val="00917C79"/>
    <w:rsid w:val="00920094"/>
    <w:rsid w:val="0092018C"/>
    <w:rsid w:val="009209AC"/>
    <w:rsid w:val="00920A91"/>
    <w:rsid w:val="0092234E"/>
    <w:rsid w:val="00924FD2"/>
    <w:rsid w:val="009270F7"/>
    <w:rsid w:val="00927368"/>
    <w:rsid w:val="00932A8B"/>
    <w:rsid w:val="00935F58"/>
    <w:rsid w:val="0093696B"/>
    <w:rsid w:val="00941255"/>
    <w:rsid w:val="00945B98"/>
    <w:rsid w:val="0094747C"/>
    <w:rsid w:val="009508A6"/>
    <w:rsid w:val="009508D4"/>
    <w:rsid w:val="009529C3"/>
    <w:rsid w:val="0095479A"/>
    <w:rsid w:val="00956796"/>
    <w:rsid w:val="00957279"/>
    <w:rsid w:val="00960A95"/>
    <w:rsid w:val="0096188D"/>
    <w:rsid w:val="0096571D"/>
    <w:rsid w:val="00966B5C"/>
    <w:rsid w:val="00966C03"/>
    <w:rsid w:val="0097171F"/>
    <w:rsid w:val="00973BEF"/>
    <w:rsid w:val="00974C72"/>
    <w:rsid w:val="00977C9A"/>
    <w:rsid w:val="00977E1D"/>
    <w:rsid w:val="009828B5"/>
    <w:rsid w:val="00990067"/>
    <w:rsid w:val="00994500"/>
    <w:rsid w:val="00995EB8"/>
    <w:rsid w:val="009A2752"/>
    <w:rsid w:val="009A33D6"/>
    <w:rsid w:val="009A37A3"/>
    <w:rsid w:val="009A5EB4"/>
    <w:rsid w:val="009A61DA"/>
    <w:rsid w:val="009B22D5"/>
    <w:rsid w:val="009B2360"/>
    <w:rsid w:val="009B3718"/>
    <w:rsid w:val="009B6CD3"/>
    <w:rsid w:val="009B7554"/>
    <w:rsid w:val="009C0A37"/>
    <w:rsid w:val="009C2D91"/>
    <w:rsid w:val="009C78A0"/>
    <w:rsid w:val="009D0BF6"/>
    <w:rsid w:val="009D0F16"/>
    <w:rsid w:val="009D2701"/>
    <w:rsid w:val="009D453F"/>
    <w:rsid w:val="009E017B"/>
    <w:rsid w:val="009E288A"/>
    <w:rsid w:val="009E67FA"/>
    <w:rsid w:val="009F059E"/>
    <w:rsid w:val="009F2A4C"/>
    <w:rsid w:val="009F2FF0"/>
    <w:rsid w:val="009F406B"/>
    <w:rsid w:val="009F46F3"/>
    <w:rsid w:val="00A01D00"/>
    <w:rsid w:val="00A02AED"/>
    <w:rsid w:val="00A04673"/>
    <w:rsid w:val="00A117F4"/>
    <w:rsid w:val="00A13471"/>
    <w:rsid w:val="00A17C65"/>
    <w:rsid w:val="00A22B78"/>
    <w:rsid w:val="00A24402"/>
    <w:rsid w:val="00A25AE5"/>
    <w:rsid w:val="00A27C29"/>
    <w:rsid w:val="00A30A78"/>
    <w:rsid w:val="00A30E88"/>
    <w:rsid w:val="00A31012"/>
    <w:rsid w:val="00A335A3"/>
    <w:rsid w:val="00A36149"/>
    <w:rsid w:val="00A37002"/>
    <w:rsid w:val="00A41313"/>
    <w:rsid w:val="00A43EEA"/>
    <w:rsid w:val="00A45838"/>
    <w:rsid w:val="00A50B58"/>
    <w:rsid w:val="00A52816"/>
    <w:rsid w:val="00A54DDD"/>
    <w:rsid w:val="00A60F16"/>
    <w:rsid w:val="00A632F8"/>
    <w:rsid w:val="00A63464"/>
    <w:rsid w:val="00A66ABC"/>
    <w:rsid w:val="00A66D4E"/>
    <w:rsid w:val="00A67661"/>
    <w:rsid w:val="00A67CB8"/>
    <w:rsid w:val="00A708A3"/>
    <w:rsid w:val="00A71333"/>
    <w:rsid w:val="00A71EEE"/>
    <w:rsid w:val="00A733AF"/>
    <w:rsid w:val="00A74CEE"/>
    <w:rsid w:val="00A77B43"/>
    <w:rsid w:val="00A77BCE"/>
    <w:rsid w:val="00A86319"/>
    <w:rsid w:val="00A9288F"/>
    <w:rsid w:val="00A9377A"/>
    <w:rsid w:val="00A93872"/>
    <w:rsid w:val="00A95102"/>
    <w:rsid w:val="00AA1B0E"/>
    <w:rsid w:val="00AA1FEA"/>
    <w:rsid w:val="00AB4776"/>
    <w:rsid w:val="00AB4A6A"/>
    <w:rsid w:val="00AC0BF4"/>
    <w:rsid w:val="00AC3278"/>
    <w:rsid w:val="00AC5CA7"/>
    <w:rsid w:val="00AD1A03"/>
    <w:rsid w:val="00AD1A45"/>
    <w:rsid w:val="00AD1CF2"/>
    <w:rsid w:val="00AD1ECD"/>
    <w:rsid w:val="00AD2B76"/>
    <w:rsid w:val="00AE0A2F"/>
    <w:rsid w:val="00AE3AEF"/>
    <w:rsid w:val="00AE44B8"/>
    <w:rsid w:val="00AE50E1"/>
    <w:rsid w:val="00AE56B1"/>
    <w:rsid w:val="00AE5B76"/>
    <w:rsid w:val="00AF1A14"/>
    <w:rsid w:val="00AF2CDF"/>
    <w:rsid w:val="00AF308C"/>
    <w:rsid w:val="00AF456E"/>
    <w:rsid w:val="00AF4C05"/>
    <w:rsid w:val="00AF65E1"/>
    <w:rsid w:val="00B02AB3"/>
    <w:rsid w:val="00B03ACE"/>
    <w:rsid w:val="00B04FEB"/>
    <w:rsid w:val="00B05B5F"/>
    <w:rsid w:val="00B06A74"/>
    <w:rsid w:val="00B07831"/>
    <w:rsid w:val="00B10B68"/>
    <w:rsid w:val="00B12873"/>
    <w:rsid w:val="00B13149"/>
    <w:rsid w:val="00B137C7"/>
    <w:rsid w:val="00B1444C"/>
    <w:rsid w:val="00B148FF"/>
    <w:rsid w:val="00B16666"/>
    <w:rsid w:val="00B16C55"/>
    <w:rsid w:val="00B170F2"/>
    <w:rsid w:val="00B17A61"/>
    <w:rsid w:val="00B20DD2"/>
    <w:rsid w:val="00B21F63"/>
    <w:rsid w:val="00B23784"/>
    <w:rsid w:val="00B271F1"/>
    <w:rsid w:val="00B2731D"/>
    <w:rsid w:val="00B33384"/>
    <w:rsid w:val="00B370C5"/>
    <w:rsid w:val="00B370F7"/>
    <w:rsid w:val="00B37813"/>
    <w:rsid w:val="00B41CC9"/>
    <w:rsid w:val="00B4265C"/>
    <w:rsid w:val="00B428BE"/>
    <w:rsid w:val="00B42943"/>
    <w:rsid w:val="00B445DB"/>
    <w:rsid w:val="00B44F68"/>
    <w:rsid w:val="00B5065E"/>
    <w:rsid w:val="00B50CDA"/>
    <w:rsid w:val="00B5157A"/>
    <w:rsid w:val="00B54414"/>
    <w:rsid w:val="00B55D86"/>
    <w:rsid w:val="00B5676F"/>
    <w:rsid w:val="00B575F8"/>
    <w:rsid w:val="00B61BD6"/>
    <w:rsid w:val="00B62127"/>
    <w:rsid w:val="00B623B9"/>
    <w:rsid w:val="00B630E1"/>
    <w:rsid w:val="00B63B73"/>
    <w:rsid w:val="00B63EFA"/>
    <w:rsid w:val="00B66D61"/>
    <w:rsid w:val="00B72276"/>
    <w:rsid w:val="00B72C17"/>
    <w:rsid w:val="00B73862"/>
    <w:rsid w:val="00B7482B"/>
    <w:rsid w:val="00B749D7"/>
    <w:rsid w:val="00B74A59"/>
    <w:rsid w:val="00B76E99"/>
    <w:rsid w:val="00B77CFC"/>
    <w:rsid w:val="00B827A8"/>
    <w:rsid w:val="00B84F37"/>
    <w:rsid w:val="00B84FAF"/>
    <w:rsid w:val="00B94ED1"/>
    <w:rsid w:val="00BA0267"/>
    <w:rsid w:val="00BA1712"/>
    <w:rsid w:val="00BA3704"/>
    <w:rsid w:val="00BA6E48"/>
    <w:rsid w:val="00BB17A2"/>
    <w:rsid w:val="00BB1E0D"/>
    <w:rsid w:val="00BB4E14"/>
    <w:rsid w:val="00BB529A"/>
    <w:rsid w:val="00BB540D"/>
    <w:rsid w:val="00BB5639"/>
    <w:rsid w:val="00BB6869"/>
    <w:rsid w:val="00BB68C7"/>
    <w:rsid w:val="00BC07FE"/>
    <w:rsid w:val="00BC0871"/>
    <w:rsid w:val="00BC0F3C"/>
    <w:rsid w:val="00BC1159"/>
    <w:rsid w:val="00BC1876"/>
    <w:rsid w:val="00BC3FF2"/>
    <w:rsid w:val="00BC4A6F"/>
    <w:rsid w:val="00BC4BD7"/>
    <w:rsid w:val="00BD11B7"/>
    <w:rsid w:val="00BD1AAF"/>
    <w:rsid w:val="00BD1B48"/>
    <w:rsid w:val="00BD1DDF"/>
    <w:rsid w:val="00BD497F"/>
    <w:rsid w:val="00BD6714"/>
    <w:rsid w:val="00BE0A9D"/>
    <w:rsid w:val="00BE1326"/>
    <w:rsid w:val="00BE2E7A"/>
    <w:rsid w:val="00BF2218"/>
    <w:rsid w:val="00BF66C6"/>
    <w:rsid w:val="00BF7D8C"/>
    <w:rsid w:val="00C05501"/>
    <w:rsid w:val="00C05A3F"/>
    <w:rsid w:val="00C12132"/>
    <w:rsid w:val="00C158DD"/>
    <w:rsid w:val="00C15ABF"/>
    <w:rsid w:val="00C169D7"/>
    <w:rsid w:val="00C23622"/>
    <w:rsid w:val="00C23B7B"/>
    <w:rsid w:val="00C24F40"/>
    <w:rsid w:val="00C2563B"/>
    <w:rsid w:val="00C26C1B"/>
    <w:rsid w:val="00C313E2"/>
    <w:rsid w:val="00C3518B"/>
    <w:rsid w:val="00C351F2"/>
    <w:rsid w:val="00C35CB1"/>
    <w:rsid w:val="00C43FC6"/>
    <w:rsid w:val="00C47BE3"/>
    <w:rsid w:val="00C517CA"/>
    <w:rsid w:val="00C5538E"/>
    <w:rsid w:val="00C56308"/>
    <w:rsid w:val="00C56C9E"/>
    <w:rsid w:val="00C62110"/>
    <w:rsid w:val="00C62ECD"/>
    <w:rsid w:val="00C6348E"/>
    <w:rsid w:val="00C63AA9"/>
    <w:rsid w:val="00C64AC8"/>
    <w:rsid w:val="00C72065"/>
    <w:rsid w:val="00C72CAB"/>
    <w:rsid w:val="00C731F3"/>
    <w:rsid w:val="00C7362C"/>
    <w:rsid w:val="00C74C72"/>
    <w:rsid w:val="00C76B8E"/>
    <w:rsid w:val="00C80642"/>
    <w:rsid w:val="00C80713"/>
    <w:rsid w:val="00C81FCE"/>
    <w:rsid w:val="00C83145"/>
    <w:rsid w:val="00C836BF"/>
    <w:rsid w:val="00C93089"/>
    <w:rsid w:val="00C94C6F"/>
    <w:rsid w:val="00C97A3A"/>
    <w:rsid w:val="00CA02C8"/>
    <w:rsid w:val="00CA03C6"/>
    <w:rsid w:val="00CA2555"/>
    <w:rsid w:val="00CA289A"/>
    <w:rsid w:val="00CA4E5B"/>
    <w:rsid w:val="00CA515D"/>
    <w:rsid w:val="00CA70CA"/>
    <w:rsid w:val="00CB0A1A"/>
    <w:rsid w:val="00CB12CC"/>
    <w:rsid w:val="00CB1C2B"/>
    <w:rsid w:val="00CB1E7B"/>
    <w:rsid w:val="00CB2156"/>
    <w:rsid w:val="00CB2861"/>
    <w:rsid w:val="00CB2FA5"/>
    <w:rsid w:val="00CB457B"/>
    <w:rsid w:val="00CC11E4"/>
    <w:rsid w:val="00CC51E0"/>
    <w:rsid w:val="00CC5CAB"/>
    <w:rsid w:val="00CD174C"/>
    <w:rsid w:val="00CD1AF5"/>
    <w:rsid w:val="00CD2260"/>
    <w:rsid w:val="00CD22F6"/>
    <w:rsid w:val="00CD3A7B"/>
    <w:rsid w:val="00CD4C86"/>
    <w:rsid w:val="00CD706C"/>
    <w:rsid w:val="00CD7339"/>
    <w:rsid w:val="00CD7492"/>
    <w:rsid w:val="00CE1FA5"/>
    <w:rsid w:val="00CE3A6B"/>
    <w:rsid w:val="00CE519F"/>
    <w:rsid w:val="00CE62A1"/>
    <w:rsid w:val="00CE6A2C"/>
    <w:rsid w:val="00CF043D"/>
    <w:rsid w:val="00CF31A7"/>
    <w:rsid w:val="00CF389F"/>
    <w:rsid w:val="00CF449E"/>
    <w:rsid w:val="00CF519A"/>
    <w:rsid w:val="00CF5C1D"/>
    <w:rsid w:val="00CF5FD8"/>
    <w:rsid w:val="00D00211"/>
    <w:rsid w:val="00D06309"/>
    <w:rsid w:val="00D06A50"/>
    <w:rsid w:val="00D10607"/>
    <w:rsid w:val="00D11118"/>
    <w:rsid w:val="00D13326"/>
    <w:rsid w:val="00D178FB"/>
    <w:rsid w:val="00D17B3C"/>
    <w:rsid w:val="00D20FB1"/>
    <w:rsid w:val="00D22480"/>
    <w:rsid w:val="00D24249"/>
    <w:rsid w:val="00D2495C"/>
    <w:rsid w:val="00D24FB9"/>
    <w:rsid w:val="00D2520F"/>
    <w:rsid w:val="00D25573"/>
    <w:rsid w:val="00D26E32"/>
    <w:rsid w:val="00D301CB"/>
    <w:rsid w:val="00D306F8"/>
    <w:rsid w:val="00D30F8E"/>
    <w:rsid w:val="00D3214D"/>
    <w:rsid w:val="00D32238"/>
    <w:rsid w:val="00D351EA"/>
    <w:rsid w:val="00D4131B"/>
    <w:rsid w:val="00D43403"/>
    <w:rsid w:val="00D43F1F"/>
    <w:rsid w:val="00D44455"/>
    <w:rsid w:val="00D47597"/>
    <w:rsid w:val="00D5066B"/>
    <w:rsid w:val="00D51893"/>
    <w:rsid w:val="00D52C62"/>
    <w:rsid w:val="00D540EA"/>
    <w:rsid w:val="00D61F86"/>
    <w:rsid w:val="00D62E71"/>
    <w:rsid w:val="00D670DF"/>
    <w:rsid w:val="00D67685"/>
    <w:rsid w:val="00D73013"/>
    <w:rsid w:val="00D7318C"/>
    <w:rsid w:val="00D73ABC"/>
    <w:rsid w:val="00D740CA"/>
    <w:rsid w:val="00D7472B"/>
    <w:rsid w:val="00D75A0F"/>
    <w:rsid w:val="00D808C7"/>
    <w:rsid w:val="00D8387E"/>
    <w:rsid w:val="00D85129"/>
    <w:rsid w:val="00D85728"/>
    <w:rsid w:val="00D8621E"/>
    <w:rsid w:val="00D8769C"/>
    <w:rsid w:val="00D90E84"/>
    <w:rsid w:val="00D91A82"/>
    <w:rsid w:val="00D92AD5"/>
    <w:rsid w:val="00D95E86"/>
    <w:rsid w:val="00D960EC"/>
    <w:rsid w:val="00D96D42"/>
    <w:rsid w:val="00D96D75"/>
    <w:rsid w:val="00D96F36"/>
    <w:rsid w:val="00D97E4B"/>
    <w:rsid w:val="00DA176E"/>
    <w:rsid w:val="00DA2E43"/>
    <w:rsid w:val="00DA471A"/>
    <w:rsid w:val="00DA478B"/>
    <w:rsid w:val="00DA6F6F"/>
    <w:rsid w:val="00DB15BA"/>
    <w:rsid w:val="00DB4CA5"/>
    <w:rsid w:val="00DB5026"/>
    <w:rsid w:val="00DB50DE"/>
    <w:rsid w:val="00DB652A"/>
    <w:rsid w:val="00DB6E61"/>
    <w:rsid w:val="00DB7BAB"/>
    <w:rsid w:val="00DC07E2"/>
    <w:rsid w:val="00DC19E6"/>
    <w:rsid w:val="00DC1C21"/>
    <w:rsid w:val="00DC2010"/>
    <w:rsid w:val="00DC3686"/>
    <w:rsid w:val="00DC408A"/>
    <w:rsid w:val="00DC52B9"/>
    <w:rsid w:val="00DC61B0"/>
    <w:rsid w:val="00DD4B24"/>
    <w:rsid w:val="00DD4C0F"/>
    <w:rsid w:val="00DD6ABA"/>
    <w:rsid w:val="00DD72D0"/>
    <w:rsid w:val="00DE16E6"/>
    <w:rsid w:val="00DE36CF"/>
    <w:rsid w:val="00DE4650"/>
    <w:rsid w:val="00DE513A"/>
    <w:rsid w:val="00DE5C87"/>
    <w:rsid w:val="00DE66EA"/>
    <w:rsid w:val="00DF2997"/>
    <w:rsid w:val="00DF53FC"/>
    <w:rsid w:val="00DF556E"/>
    <w:rsid w:val="00DF5CB7"/>
    <w:rsid w:val="00DF6469"/>
    <w:rsid w:val="00DF7A70"/>
    <w:rsid w:val="00E00A20"/>
    <w:rsid w:val="00E046CA"/>
    <w:rsid w:val="00E04B89"/>
    <w:rsid w:val="00E15D20"/>
    <w:rsid w:val="00E1750C"/>
    <w:rsid w:val="00E209BC"/>
    <w:rsid w:val="00E23EE7"/>
    <w:rsid w:val="00E30154"/>
    <w:rsid w:val="00E324D4"/>
    <w:rsid w:val="00E339BD"/>
    <w:rsid w:val="00E340E8"/>
    <w:rsid w:val="00E342EF"/>
    <w:rsid w:val="00E34E0E"/>
    <w:rsid w:val="00E368B4"/>
    <w:rsid w:val="00E3787B"/>
    <w:rsid w:val="00E41101"/>
    <w:rsid w:val="00E43B6C"/>
    <w:rsid w:val="00E43C16"/>
    <w:rsid w:val="00E45236"/>
    <w:rsid w:val="00E4605C"/>
    <w:rsid w:val="00E46791"/>
    <w:rsid w:val="00E50B57"/>
    <w:rsid w:val="00E53957"/>
    <w:rsid w:val="00E54041"/>
    <w:rsid w:val="00E55382"/>
    <w:rsid w:val="00E576FF"/>
    <w:rsid w:val="00E634D8"/>
    <w:rsid w:val="00E75BBE"/>
    <w:rsid w:val="00E761CE"/>
    <w:rsid w:val="00E76F50"/>
    <w:rsid w:val="00E77ACE"/>
    <w:rsid w:val="00E81853"/>
    <w:rsid w:val="00E84018"/>
    <w:rsid w:val="00E85121"/>
    <w:rsid w:val="00E85FB7"/>
    <w:rsid w:val="00E925A7"/>
    <w:rsid w:val="00E9572D"/>
    <w:rsid w:val="00EA1FA1"/>
    <w:rsid w:val="00EA2C3D"/>
    <w:rsid w:val="00EB00CF"/>
    <w:rsid w:val="00EB16D0"/>
    <w:rsid w:val="00EB2F8B"/>
    <w:rsid w:val="00EB3893"/>
    <w:rsid w:val="00EB4106"/>
    <w:rsid w:val="00EB4635"/>
    <w:rsid w:val="00EB7D78"/>
    <w:rsid w:val="00EC242D"/>
    <w:rsid w:val="00EC7BC3"/>
    <w:rsid w:val="00ED0E82"/>
    <w:rsid w:val="00ED1732"/>
    <w:rsid w:val="00ED3554"/>
    <w:rsid w:val="00ED3632"/>
    <w:rsid w:val="00ED3BEE"/>
    <w:rsid w:val="00ED5FCC"/>
    <w:rsid w:val="00ED61A2"/>
    <w:rsid w:val="00ED67ED"/>
    <w:rsid w:val="00ED7600"/>
    <w:rsid w:val="00EE025E"/>
    <w:rsid w:val="00EE0626"/>
    <w:rsid w:val="00EE25FE"/>
    <w:rsid w:val="00EE5A58"/>
    <w:rsid w:val="00EE6031"/>
    <w:rsid w:val="00EE73F3"/>
    <w:rsid w:val="00EF2AD0"/>
    <w:rsid w:val="00EF4251"/>
    <w:rsid w:val="00EF7B2E"/>
    <w:rsid w:val="00F00B27"/>
    <w:rsid w:val="00F013C8"/>
    <w:rsid w:val="00F014B2"/>
    <w:rsid w:val="00F053F0"/>
    <w:rsid w:val="00F068F9"/>
    <w:rsid w:val="00F101DF"/>
    <w:rsid w:val="00F11195"/>
    <w:rsid w:val="00F11BFE"/>
    <w:rsid w:val="00F1362C"/>
    <w:rsid w:val="00F13F67"/>
    <w:rsid w:val="00F14AE0"/>
    <w:rsid w:val="00F14AE6"/>
    <w:rsid w:val="00F14BF6"/>
    <w:rsid w:val="00F20161"/>
    <w:rsid w:val="00F21CC0"/>
    <w:rsid w:val="00F21D05"/>
    <w:rsid w:val="00F2753D"/>
    <w:rsid w:val="00F30D1F"/>
    <w:rsid w:val="00F34A98"/>
    <w:rsid w:val="00F35B03"/>
    <w:rsid w:val="00F35B2D"/>
    <w:rsid w:val="00F377A9"/>
    <w:rsid w:val="00F37DB1"/>
    <w:rsid w:val="00F41D21"/>
    <w:rsid w:val="00F42536"/>
    <w:rsid w:val="00F448DE"/>
    <w:rsid w:val="00F46857"/>
    <w:rsid w:val="00F50800"/>
    <w:rsid w:val="00F51DA8"/>
    <w:rsid w:val="00F52D51"/>
    <w:rsid w:val="00F54D9D"/>
    <w:rsid w:val="00F553BC"/>
    <w:rsid w:val="00F55D7D"/>
    <w:rsid w:val="00F60616"/>
    <w:rsid w:val="00F62A33"/>
    <w:rsid w:val="00F63970"/>
    <w:rsid w:val="00F740AD"/>
    <w:rsid w:val="00F752D0"/>
    <w:rsid w:val="00F816D1"/>
    <w:rsid w:val="00F824F5"/>
    <w:rsid w:val="00F83FDC"/>
    <w:rsid w:val="00F84DAB"/>
    <w:rsid w:val="00F87448"/>
    <w:rsid w:val="00F91281"/>
    <w:rsid w:val="00F928B2"/>
    <w:rsid w:val="00F92DDD"/>
    <w:rsid w:val="00F9580F"/>
    <w:rsid w:val="00F9787B"/>
    <w:rsid w:val="00FA186A"/>
    <w:rsid w:val="00FA2BA0"/>
    <w:rsid w:val="00FA4C32"/>
    <w:rsid w:val="00FA653E"/>
    <w:rsid w:val="00FB0641"/>
    <w:rsid w:val="00FB2CBC"/>
    <w:rsid w:val="00FB4503"/>
    <w:rsid w:val="00FB6B66"/>
    <w:rsid w:val="00FC0D24"/>
    <w:rsid w:val="00FC0F44"/>
    <w:rsid w:val="00FC1DAE"/>
    <w:rsid w:val="00FC29B9"/>
    <w:rsid w:val="00FC6FD3"/>
    <w:rsid w:val="00FD0731"/>
    <w:rsid w:val="00FD1433"/>
    <w:rsid w:val="00FD1DC1"/>
    <w:rsid w:val="00FD21E6"/>
    <w:rsid w:val="00FD264D"/>
    <w:rsid w:val="00FD2A8F"/>
    <w:rsid w:val="00FD3577"/>
    <w:rsid w:val="00FD459F"/>
    <w:rsid w:val="00FD5C1E"/>
    <w:rsid w:val="00FD734C"/>
    <w:rsid w:val="00FE048A"/>
    <w:rsid w:val="00FE2BC1"/>
    <w:rsid w:val="00FE3E43"/>
    <w:rsid w:val="00FE7999"/>
    <w:rsid w:val="00FE7BFF"/>
    <w:rsid w:val="00FF0301"/>
    <w:rsid w:val="00FF0864"/>
    <w:rsid w:val="00FF126B"/>
    <w:rsid w:val="00FF3FF6"/>
    <w:rsid w:val="00FF4995"/>
    <w:rsid w:val="00FF73E2"/>
    <w:rsid w:val="0E55BC6F"/>
    <w:rsid w:val="1A239B12"/>
    <w:rsid w:val="1DACAFD8"/>
    <w:rsid w:val="213DE6F7"/>
    <w:rsid w:val="22AD166D"/>
    <w:rsid w:val="275013BA"/>
    <w:rsid w:val="2903CF1C"/>
    <w:rsid w:val="2A8F1FDE"/>
    <w:rsid w:val="31A7CFFA"/>
    <w:rsid w:val="39FFA4C4"/>
    <w:rsid w:val="3E40A172"/>
    <w:rsid w:val="4FBA1EC0"/>
    <w:rsid w:val="630FD0D2"/>
    <w:rsid w:val="639F802C"/>
    <w:rsid w:val="6D3FD6AD"/>
    <w:rsid w:val="704DE93D"/>
    <w:rsid w:val="728D5223"/>
    <w:rsid w:val="731EC6D6"/>
    <w:rsid w:val="74276596"/>
    <w:rsid w:val="7B89315A"/>
    <w:rsid w:val="7E898E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A7764AA"/>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6EB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DA6F6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Heading3"/>
    <w:link w:val="RAN4H3Char"/>
    <w:qFormat/>
    <w:rsid w:val="00DA6F6F"/>
    <w:pPr>
      <w:numPr>
        <w:ilvl w:val="2"/>
        <w:numId w:val="4"/>
      </w:numPr>
      <w:spacing w:after="180"/>
      <w:ind w:left="505" w:hanging="505"/>
    </w:pPr>
    <w:rPr>
      <w:rFonts w:ascii="Arial" w:hAnsi="Arial" w:cs="Arial"/>
      <w:color w:val="auto"/>
    </w:rPr>
  </w:style>
  <w:style w:type="character" w:customStyle="1" w:styleId="RAN4H3Char">
    <w:name w:val="RAN4 H3 Char"/>
    <w:basedOn w:val="DefaultParagraphFont"/>
    <w:link w:val="RAN4H3"/>
    <w:rsid w:val="00DA6F6F"/>
    <w:rPr>
      <w:rFonts w:ascii="Arial" w:eastAsiaTheme="majorEastAsia" w:hAnsi="Arial" w:cs="Arial"/>
      <w:sz w:val="24"/>
      <w:szCs w:val="24"/>
    </w:rPr>
  </w:style>
  <w:style w:type="character" w:styleId="CommentReference">
    <w:name w:val="annotation reference"/>
    <w:basedOn w:val="DefaultParagraphFont"/>
    <w:uiPriority w:val="99"/>
    <w:semiHidden/>
    <w:unhideWhenUsed/>
    <w:rsid w:val="00DB4CA5"/>
    <w:rPr>
      <w:sz w:val="16"/>
      <w:szCs w:val="16"/>
    </w:rPr>
  </w:style>
  <w:style w:type="paragraph" w:styleId="CommentText">
    <w:name w:val="annotation text"/>
    <w:basedOn w:val="Normal"/>
    <w:link w:val="CommentTextChar"/>
    <w:uiPriority w:val="99"/>
    <w:semiHidden/>
    <w:unhideWhenUsed/>
    <w:rsid w:val="00DB4CA5"/>
    <w:pPr>
      <w:spacing w:line="240" w:lineRule="auto"/>
    </w:pPr>
    <w:rPr>
      <w:szCs w:val="20"/>
    </w:rPr>
  </w:style>
  <w:style w:type="character" w:customStyle="1" w:styleId="CommentTextChar">
    <w:name w:val="Comment Text Char"/>
    <w:basedOn w:val="DefaultParagraphFont"/>
    <w:link w:val="CommentText"/>
    <w:uiPriority w:val="99"/>
    <w:semiHidden/>
    <w:rsid w:val="00DB4CA5"/>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DB4CA5"/>
    <w:rPr>
      <w:b/>
      <w:bCs/>
    </w:rPr>
  </w:style>
  <w:style w:type="character" w:customStyle="1" w:styleId="CommentSubjectChar">
    <w:name w:val="Comment Subject Char"/>
    <w:basedOn w:val="CommentTextChar"/>
    <w:link w:val="CommentSubject"/>
    <w:uiPriority w:val="99"/>
    <w:semiHidden/>
    <w:rsid w:val="00DB4CA5"/>
    <w:rPr>
      <w:rFonts w:ascii="Times New Roman" w:hAnsi="Times New Roman"/>
      <w:b/>
      <w:bCs/>
      <w:sz w:val="20"/>
      <w:szCs w:val="20"/>
    </w:rPr>
  </w:style>
  <w:style w:type="paragraph" w:styleId="BalloonText">
    <w:name w:val="Balloon Text"/>
    <w:basedOn w:val="Normal"/>
    <w:link w:val="BalloonTextChar"/>
    <w:uiPriority w:val="99"/>
    <w:semiHidden/>
    <w:unhideWhenUsed/>
    <w:rsid w:val="00DB4CA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4CA5"/>
    <w:rPr>
      <w:rFonts w:ascii="Segoe UI" w:hAnsi="Segoe UI" w:cs="Segoe UI"/>
      <w:sz w:val="18"/>
      <w:szCs w:val="18"/>
    </w:rPr>
  </w:style>
  <w:style w:type="paragraph" w:customStyle="1" w:styleId="TAH">
    <w:name w:val="TAH"/>
    <w:basedOn w:val="TAC"/>
    <w:link w:val="TAHCar"/>
    <w:uiPriority w:val="99"/>
    <w:qFormat/>
    <w:rsid w:val="003B063E"/>
    <w:rPr>
      <w:b/>
    </w:rPr>
  </w:style>
  <w:style w:type="paragraph" w:customStyle="1" w:styleId="TAC">
    <w:name w:val="TAC"/>
    <w:basedOn w:val="Normal"/>
    <w:link w:val="TACChar"/>
    <w:qFormat/>
    <w:rsid w:val="003B063E"/>
    <w:pPr>
      <w:keepNext/>
      <w:keepLines/>
      <w:spacing w:after="0" w:line="240" w:lineRule="auto"/>
      <w:jc w:val="center"/>
    </w:pPr>
    <w:rPr>
      <w:rFonts w:ascii="Arial" w:eastAsia="Times New Roman" w:hAnsi="Arial" w:cs="Times New Roman"/>
      <w:sz w:val="18"/>
      <w:szCs w:val="20"/>
      <w:lang w:val="en-GB"/>
    </w:rPr>
  </w:style>
  <w:style w:type="character" w:customStyle="1" w:styleId="TACChar">
    <w:name w:val="TAC Char"/>
    <w:link w:val="TAC"/>
    <w:qFormat/>
    <w:rsid w:val="003B063E"/>
    <w:rPr>
      <w:rFonts w:ascii="Arial" w:eastAsia="Times New Roman" w:hAnsi="Arial" w:cs="Times New Roman"/>
      <w:sz w:val="18"/>
      <w:szCs w:val="20"/>
      <w:lang w:val="en-GB"/>
    </w:rPr>
  </w:style>
  <w:style w:type="character" w:customStyle="1" w:styleId="TAHCar">
    <w:name w:val="TAH Car"/>
    <w:link w:val="TAH"/>
    <w:uiPriority w:val="99"/>
    <w:qFormat/>
    <w:rsid w:val="003B063E"/>
    <w:rPr>
      <w:rFonts w:ascii="Arial" w:eastAsia="Times New Roman" w:hAnsi="Arial" w:cs="Times New Roman"/>
      <w:b/>
      <w:sz w:val="18"/>
      <w:szCs w:val="20"/>
      <w:lang w:val="en-GB"/>
    </w:rPr>
  </w:style>
  <w:style w:type="character" w:styleId="PlaceholderText">
    <w:name w:val="Placeholder Text"/>
    <w:basedOn w:val="DefaultParagraphFont"/>
    <w:uiPriority w:val="99"/>
    <w:semiHidden/>
    <w:rsid w:val="00A66D4E"/>
    <w:rPr>
      <w:color w:val="808080"/>
    </w:rPr>
  </w:style>
  <w:style w:type="paragraph" w:customStyle="1" w:styleId="EQ">
    <w:name w:val="EQ"/>
    <w:basedOn w:val="Normal"/>
    <w:next w:val="Normal"/>
    <w:link w:val="EQChar"/>
    <w:rsid w:val="00990067"/>
    <w:pPr>
      <w:keepLines/>
      <w:tabs>
        <w:tab w:val="center" w:pos="4536"/>
        <w:tab w:val="right" w:pos="9072"/>
      </w:tabs>
      <w:spacing w:after="180" w:line="240" w:lineRule="auto"/>
    </w:pPr>
    <w:rPr>
      <w:rFonts w:eastAsia="SimSun" w:cs="Times New Roman"/>
      <w:noProof/>
      <w:szCs w:val="20"/>
      <w:lang w:val="en-GB"/>
    </w:rPr>
  </w:style>
  <w:style w:type="character" w:customStyle="1" w:styleId="EQChar">
    <w:name w:val="EQ Char"/>
    <w:link w:val="EQ"/>
    <w:qFormat/>
    <w:locked/>
    <w:rsid w:val="00990067"/>
    <w:rPr>
      <w:rFonts w:ascii="Times New Roman" w:eastAsia="SimSun" w:hAnsi="Times New Roman" w:cs="Times New Roman"/>
      <w:noProof/>
      <w:sz w:val="20"/>
      <w:szCs w:val="20"/>
      <w:lang w:val="en-GB"/>
    </w:rPr>
  </w:style>
  <w:style w:type="paragraph" w:styleId="Header">
    <w:name w:val="header"/>
    <w:basedOn w:val="Normal"/>
    <w:link w:val="HeaderChar"/>
    <w:uiPriority w:val="99"/>
    <w:semiHidden/>
    <w:unhideWhenUsed/>
    <w:rsid w:val="002A1F68"/>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2A1F68"/>
    <w:rPr>
      <w:rFonts w:ascii="Times New Roman" w:hAnsi="Times New Roman"/>
      <w:sz w:val="20"/>
    </w:rPr>
  </w:style>
  <w:style w:type="paragraph" w:styleId="Footer">
    <w:name w:val="footer"/>
    <w:basedOn w:val="Normal"/>
    <w:link w:val="FooterChar"/>
    <w:uiPriority w:val="99"/>
    <w:semiHidden/>
    <w:unhideWhenUsed/>
    <w:rsid w:val="002A1F68"/>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2A1F68"/>
    <w:rPr>
      <w:rFonts w:ascii="Times New Roman" w:hAnsi="Times New Roman"/>
      <w:sz w:val="20"/>
    </w:rPr>
  </w:style>
  <w:style w:type="character" w:customStyle="1" w:styleId="Heading3Char">
    <w:name w:val="Heading 3 Char"/>
    <w:basedOn w:val="DefaultParagraphFont"/>
    <w:link w:val="Heading3"/>
    <w:uiPriority w:val="9"/>
    <w:semiHidden/>
    <w:rsid w:val="00DA6F6F"/>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982683">
      <w:bodyDiv w:val="1"/>
      <w:marLeft w:val="0"/>
      <w:marRight w:val="0"/>
      <w:marTop w:val="0"/>
      <w:marBottom w:val="0"/>
      <w:divBdr>
        <w:top w:val="none" w:sz="0" w:space="0" w:color="auto"/>
        <w:left w:val="none" w:sz="0" w:space="0" w:color="auto"/>
        <w:bottom w:val="none" w:sz="0" w:space="0" w:color="auto"/>
        <w:right w:val="none" w:sz="0" w:space="0" w:color="auto"/>
      </w:divBdr>
      <w:divsChild>
        <w:div w:id="1496339949">
          <w:marLeft w:val="360"/>
          <w:marRight w:val="0"/>
          <w:marTop w:val="240"/>
          <w:marBottom w:val="0"/>
          <w:divBdr>
            <w:top w:val="none" w:sz="0" w:space="0" w:color="auto"/>
            <w:left w:val="none" w:sz="0" w:space="0" w:color="auto"/>
            <w:bottom w:val="none" w:sz="0" w:space="0" w:color="auto"/>
            <w:right w:val="none" w:sz="0" w:space="0" w:color="auto"/>
          </w:divBdr>
        </w:div>
        <w:div w:id="1842692848">
          <w:marLeft w:val="360"/>
          <w:marRight w:val="0"/>
          <w:marTop w:val="240"/>
          <w:marBottom w:val="0"/>
          <w:divBdr>
            <w:top w:val="none" w:sz="0" w:space="0" w:color="auto"/>
            <w:left w:val="none" w:sz="0" w:space="0" w:color="auto"/>
            <w:bottom w:val="none" w:sz="0" w:space="0" w:color="auto"/>
            <w:right w:val="none" w:sz="0" w:space="0" w:color="auto"/>
          </w:divBdr>
        </w:div>
      </w:divsChild>
    </w:div>
    <w:div w:id="81336954">
      <w:bodyDiv w:val="1"/>
      <w:marLeft w:val="0"/>
      <w:marRight w:val="0"/>
      <w:marTop w:val="0"/>
      <w:marBottom w:val="0"/>
      <w:divBdr>
        <w:top w:val="none" w:sz="0" w:space="0" w:color="auto"/>
        <w:left w:val="none" w:sz="0" w:space="0" w:color="auto"/>
        <w:bottom w:val="none" w:sz="0" w:space="0" w:color="auto"/>
        <w:right w:val="none" w:sz="0" w:space="0" w:color="auto"/>
      </w:divBdr>
    </w:div>
    <w:div w:id="129715336">
      <w:bodyDiv w:val="1"/>
      <w:marLeft w:val="0"/>
      <w:marRight w:val="0"/>
      <w:marTop w:val="0"/>
      <w:marBottom w:val="0"/>
      <w:divBdr>
        <w:top w:val="none" w:sz="0" w:space="0" w:color="auto"/>
        <w:left w:val="none" w:sz="0" w:space="0" w:color="auto"/>
        <w:bottom w:val="none" w:sz="0" w:space="0" w:color="auto"/>
        <w:right w:val="none" w:sz="0" w:space="0" w:color="auto"/>
      </w:divBdr>
    </w:div>
    <w:div w:id="165554333">
      <w:bodyDiv w:val="1"/>
      <w:marLeft w:val="0"/>
      <w:marRight w:val="0"/>
      <w:marTop w:val="0"/>
      <w:marBottom w:val="0"/>
      <w:divBdr>
        <w:top w:val="none" w:sz="0" w:space="0" w:color="auto"/>
        <w:left w:val="none" w:sz="0" w:space="0" w:color="auto"/>
        <w:bottom w:val="none" w:sz="0" w:space="0" w:color="auto"/>
        <w:right w:val="none" w:sz="0" w:space="0" w:color="auto"/>
      </w:divBdr>
      <w:divsChild>
        <w:div w:id="2077242875">
          <w:marLeft w:val="360"/>
          <w:marRight w:val="0"/>
          <w:marTop w:val="240"/>
          <w:marBottom w:val="0"/>
          <w:divBdr>
            <w:top w:val="none" w:sz="0" w:space="0" w:color="auto"/>
            <w:left w:val="none" w:sz="0" w:space="0" w:color="auto"/>
            <w:bottom w:val="none" w:sz="0" w:space="0" w:color="auto"/>
            <w:right w:val="none" w:sz="0" w:space="0" w:color="auto"/>
          </w:divBdr>
        </w:div>
        <w:div w:id="1428886619">
          <w:marLeft w:val="1080"/>
          <w:marRight w:val="0"/>
          <w:marTop w:val="240"/>
          <w:marBottom w:val="0"/>
          <w:divBdr>
            <w:top w:val="none" w:sz="0" w:space="0" w:color="auto"/>
            <w:left w:val="none" w:sz="0" w:space="0" w:color="auto"/>
            <w:bottom w:val="none" w:sz="0" w:space="0" w:color="auto"/>
            <w:right w:val="none" w:sz="0" w:space="0" w:color="auto"/>
          </w:divBdr>
        </w:div>
        <w:div w:id="104741225">
          <w:marLeft w:val="1800"/>
          <w:marRight w:val="0"/>
          <w:marTop w:val="240"/>
          <w:marBottom w:val="0"/>
          <w:divBdr>
            <w:top w:val="none" w:sz="0" w:space="0" w:color="auto"/>
            <w:left w:val="none" w:sz="0" w:space="0" w:color="auto"/>
            <w:bottom w:val="none" w:sz="0" w:space="0" w:color="auto"/>
            <w:right w:val="none" w:sz="0" w:space="0" w:color="auto"/>
          </w:divBdr>
        </w:div>
      </w:divsChild>
    </w:div>
    <w:div w:id="297994229">
      <w:bodyDiv w:val="1"/>
      <w:marLeft w:val="0"/>
      <w:marRight w:val="0"/>
      <w:marTop w:val="0"/>
      <w:marBottom w:val="0"/>
      <w:divBdr>
        <w:top w:val="none" w:sz="0" w:space="0" w:color="auto"/>
        <w:left w:val="none" w:sz="0" w:space="0" w:color="auto"/>
        <w:bottom w:val="none" w:sz="0" w:space="0" w:color="auto"/>
        <w:right w:val="none" w:sz="0" w:space="0" w:color="auto"/>
      </w:divBdr>
      <w:divsChild>
        <w:div w:id="973095239">
          <w:marLeft w:val="360"/>
          <w:marRight w:val="0"/>
          <w:marTop w:val="200"/>
          <w:marBottom w:val="0"/>
          <w:divBdr>
            <w:top w:val="none" w:sz="0" w:space="0" w:color="auto"/>
            <w:left w:val="none" w:sz="0" w:space="0" w:color="auto"/>
            <w:bottom w:val="none" w:sz="0" w:space="0" w:color="auto"/>
            <w:right w:val="none" w:sz="0" w:space="0" w:color="auto"/>
          </w:divBdr>
        </w:div>
        <w:div w:id="124585735">
          <w:marLeft w:val="1080"/>
          <w:marRight w:val="0"/>
          <w:marTop w:val="100"/>
          <w:marBottom w:val="0"/>
          <w:divBdr>
            <w:top w:val="none" w:sz="0" w:space="0" w:color="auto"/>
            <w:left w:val="none" w:sz="0" w:space="0" w:color="auto"/>
            <w:bottom w:val="none" w:sz="0" w:space="0" w:color="auto"/>
            <w:right w:val="none" w:sz="0" w:space="0" w:color="auto"/>
          </w:divBdr>
        </w:div>
        <w:div w:id="1372613211">
          <w:marLeft w:val="1800"/>
          <w:marRight w:val="0"/>
          <w:marTop w:val="240"/>
          <w:marBottom w:val="0"/>
          <w:divBdr>
            <w:top w:val="none" w:sz="0" w:space="0" w:color="auto"/>
            <w:left w:val="none" w:sz="0" w:space="0" w:color="auto"/>
            <w:bottom w:val="none" w:sz="0" w:space="0" w:color="auto"/>
            <w:right w:val="none" w:sz="0" w:space="0" w:color="auto"/>
          </w:divBdr>
        </w:div>
        <w:div w:id="727455339">
          <w:marLeft w:val="1800"/>
          <w:marRight w:val="0"/>
          <w:marTop w:val="240"/>
          <w:marBottom w:val="0"/>
          <w:divBdr>
            <w:top w:val="none" w:sz="0" w:space="0" w:color="auto"/>
            <w:left w:val="none" w:sz="0" w:space="0" w:color="auto"/>
            <w:bottom w:val="none" w:sz="0" w:space="0" w:color="auto"/>
            <w:right w:val="none" w:sz="0" w:space="0" w:color="auto"/>
          </w:divBdr>
        </w:div>
        <w:div w:id="208690600">
          <w:marLeft w:val="1800"/>
          <w:marRight w:val="0"/>
          <w:marTop w:val="240"/>
          <w:marBottom w:val="0"/>
          <w:divBdr>
            <w:top w:val="none" w:sz="0" w:space="0" w:color="auto"/>
            <w:left w:val="none" w:sz="0" w:space="0" w:color="auto"/>
            <w:bottom w:val="none" w:sz="0" w:space="0" w:color="auto"/>
            <w:right w:val="none" w:sz="0" w:space="0" w:color="auto"/>
          </w:divBdr>
        </w:div>
      </w:divsChild>
    </w:div>
    <w:div w:id="345907284">
      <w:bodyDiv w:val="1"/>
      <w:marLeft w:val="0"/>
      <w:marRight w:val="0"/>
      <w:marTop w:val="0"/>
      <w:marBottom w:val="0"/>
      <w:divBdr>
        <w:top w:val="none" w:sz="0" w:space="0" w:color="auto"/>
        <w:left w:val="none" w:sz="0" w:space="0" w:color="auto"/>
        <w:bottom w:val="none" w:sz="0" w:space="0" w:color="auto"/>
        <w:right w:val="none" w:sz="0" w:space="0" w:color="auto"/>
      </w:divBdr>
      <w:divsChild>
        <w:div w:id="212931171">
          <w:marLeft w:val="360"/>
          <w:marRight w:val="0"/>
          <w:marTop w:val="200"/>
          <w:marBottom w:val="0"/>
          <w:divBdr>
            <w:top w:val="none" w:sz="0" w:space="0" w:color="auto"/>
            <w:left w:val="none" w:sz="0" w:space="0" w:color="auto"/>
            <w:bottom w:val="none" w:sz="0" w:space="0" w:color="auto"/>
            <w:right w:val="none" w:sz="0" w:space="0" w:color="auto"/>
          </w:divBdr>
        </w:div>
        <w:div w:id="185557690">
          <w:marLeft w:val="1080"/>
          <w:marRight w:val="0"/>
          <w:marTop w:val="100"/>
          <w:marBottom w:val="0"/>
          <w:divBdr>
            <w:top w:val="none" w:sz="0" w:space="0" w:color="auto"/>
            <w:left w:val="none" w:sz="0" w:space="0" w:color="auto"/>
            <w:bottom w:val="none" w:sz="0" w:space="0" w:color="auto"/>
            <w:right w:val="none" w:sz="0" w:space="0" w:color="auto"/>
          </w:divBdr>
        </w:div>
        <w:div w:id="1541169511">
          <w:marLeft w:val="1800"/>
          <w:marRight w:val="0"/>
          <w:marTop w:val="240"/>
          <w:marBottom w:val="0"/>
          <w:divBdr>
            <w:top w:val="none" w:sz="0" w:space="0" w:color="auto"/>
            <w:left w:val="none" w:sz="0" w:space="0" w:color="auto"/>
            <w:bottom w:val="none" w:sz="0" w:space="0" w:color="auto"/>
            <w:right w:val="none" w:sz="0" w:space="0" w:color="auto"/>
          </w:divBdr>
        </w:div>
        <w:div w:id="317685086">
          <w:marLeft w:val="1800"/>
          <w:marRight w:val="0"/>
          <w:marTop w:val="240"/>
          <w:marBottom w:val="0"/>
          <w:divBdr>
            <w:top w:val="none" w:sz="0" w:space="0" w:color="auto"/>
            <w:left w:val="none" w:sz="0" w:space="0" w:color="auto"/>
            <w:bottom w:val="none" w:sz="0" w:space="0" w:color="auto"/>
            <w:right w:val="none" w:sz="0" w:space="0" w:color="auto"/>
          </w:divBdr>
        </w:div>
        <w:div w:id="68582522">
          <w:marLeft w:val="1800"/>
          <w:marRight w:val="0"/>
          <w:marTop w:val="240"/>
          <w:marBottom w:val="0"/>
          <w:divBdr>
            <w:top w:val="none" w:sz="0" w:space="0" w:color="auto"/>
            <w:left w:val="none" w:sz="0" w:space="0" w:color="auto"/>
            <w:bottom w:val="none" w:sz="0" w:space="0" w:color="auto"/>
            <w:right w:val="none" w:sz="0" w:space="0" w:color="auto"/>
          </w:divBdr>
        </w:div>
      </w:divsChild>
    </w:div>
    <w:div w:id="364407651">
      <w:bodyDiv w:val="1"/>
      <w:marLeft w:val="0"/>
      <w:marRight w:val="0"/>
      <w:marTop w:val="0"/>
      <w:marBottom w:val="0"/>
      <w:divBdr>
        <w:top w:val="none" w:sz="0" w:space="0" w:color="auto"/>
        <w:left w:val="none" w:sz="0" w:space="0" w:color="auto"/>
        <w:bottom w:val="none" w:sz="0" w:space="0" w:color="auto"/>
        <w:right w:val="none" w:sz="0" w:space="0" w:color="auto"/>
      </w:divBdr>
      <w:divsChild>
        <w:div w:id="891429648">
          <w:marLeft w:val="547"/>
          <w:marRight w:val="0"/>
          <w:marTop w:val="110"/>
          <w:marBottom w:val="0"/>
          <w:divBdr>
            <w:top w:val="none" w:sz="0" w:space="0" w:color="auto"/>
            <w:left w:val="none" w:sz="0" w:space="0" w:color="auto"/>
            <w:bottom w:val="none" w:sz="0" w:space="0" w:color="auto"/>
            <w:right w:val="none" w:sz="0" w:space="0" w:color="auto"/>
          </w:divBdr>
        </w:div>
        <w:div w:id="1712336578">
          <w:marLeft w:val="1166"/>
          <w:marRight w:val="0"/>
          <w:marTop w:val="96"/>
          <w:marBottom w:val="0"/>
          <w:divBdr>
            <w:top w:val="none" w:sz="0" w:space="0" w:color="auto"/>
            <w:left w:val="none" w:sz="0" w:space="0" w:color="auto"/>
            <w:bottom w:val="none" w:sz="0" w:space="0" w:color="auto"/>
            <w:right w:val="none" w:sz="0" w:space="0" w:color="auto"/>
          </w:divBdr>
        </w:div>
        <w:div w:id="447817107">
          <w:marLeft w:val="1166"/>
          <w:marRight w:val="0"/>
          <w:marTop w:val="96"/>
          <w:marBottom w:val="0"/>
          <w:divBdr>
            <w:top w:val="none" w:sz="0" w:space="0" w:color="auto"/>
            <w:left w:val="none" w:sz="0" w:space="0" w:color="auto"/>
            <w:bottom w:val="none" w:sz="0" w:space="0" w:color="auto"/>
            <w:right w:val="none" w:sz="0" w:space="0" w:color="auto"/>
          </w:divBdr>
        </w:div>
      </w:divsChild>
    </w:div>
    <w:div w:id="395319328">
      <w:bodyDiv w:val="1"/>
      <w:marLeft w:val="0"/>
      <w:marRight w:val="0"/>
      <w:marTop w:val="0"/>
      <w:marBottom w:val="0"/>
      <w:divBdr>
        <w:top w:val="none" w:sz="0" w:space="0" w:color="auto"/>
        <w:left w:val="none" w:sz="0" w:space="0" w:color="auto"/>
        <w:bottom w:val="none" w:sz="0" w:space="0" w:color="auto"/>
        <w:right w:val="none" w:sz="0" w:space="0" w:color="auto"/>
      </w:divBdr>
      <w:divsChild>
        <w:div w:id="2057776300">
          <w:marLeft w:val="547"/>
          <w:marRight w:val="0"/>
          <w:marTop w:val="120"/>
          <w:marBottom w:val="0"/>
          <w:divBdr>
            <w:top w:val="none" w:sz="0" w:space="0" w:color="auto"/>
            <w:left w:val="none" w:sz="0" w:space="0" w:color="auto"/>
            <w:bottom w:val="none" w:sz="0" w:space="0" w:color="auto"/>
            <w:right w:val="none" w:sz="0" w:space="0" w:color="auto"/>
          </w:divBdr>
        </w:div>
        <w:div w:id="2096004776">
          <w:marLeft w:val="1166"/>
          <w:marRight w:val="0"/>
          <w:marTop w:val="106"/>
          <w:marBottom w:val="0"/>
          <w:divBdr>
            <w:top w:val="none" w:sz="0" w:space="0" w:color="auto"/>
            <w:left w:val="none" w:sz="0" w:space="0" w:color="auto"/>
            <w:bottom w:val="none" w:sz="0" w:space="0" w:color="auto"/>
            <w:right w:val="none" w:sz="0" w:space="0" w:color="auto"/>
          </w:divBdr>
        </w:div>
      </w:divsChild>
    </w:div>
    <w:div w:id="418872118">
      <w:bodyDiv w:val="1"/>
      <w:marLeft w:val="0"/>
      <w:marRight w:val="0"/>
      <w:marTop w:val="0"/>
      <w:marBottom w:val="0"/>
      <w:divBdr>
        <w:top w:val="none" w:sz="0" w:space="0" w:color="auto"/>
        <w:left w:val="none" w:sz="0" w:space="0" w:color="auto"/>
        <w:bottom w:val="none" w:sz="0" w:space="0" w:color="auto"/>
        <w:right w:val="none" w:sz="0" w:space="0" w:color="auto"/>
      </w:divBdr>
    </w:div>
    <w:div w:id="590554657">
      <w:bodyDiv w:val="1"/>
      <w:marLeft w:val="0"/>
      <w:marRight w:val="0"/>
      <w:marTop w:val="0"/>
      <w:marBottom w:val="0"/>
      <w:divBdr>
        <w:top w:val="none" w:sz="0" w:space="0" w:color="auto"/>
        <w:left w:val="none" w:sz="0" w:space="0" w:color="auto"/>
        <w:bottom w:val="none" w:sz="0" w:space="0" w:color="auto"/>
        <w:right w:val="none" w:sz="0" w:space="0" w:color="auto"/>
      </w:divBdr>
    </w:div>
    <w:div w:id="602957181">
      <w:bodyDiv w:val="1"/>
      <w:marLeft w:val="0"/>
      <w:marRight w:val="0"/>
      <w:marTop w:val="0"/>
      <w:marBottom w:val="0"/>
      <w:divBdr>
        <w:top w:val="none" w:sz="0" w:space="0" w:color="auto"/>
        <w:left w:val="none" w:sz="0" w:space="0" w:color="auto"/>
        <w:bottom w:val="none" w:sz="0" w:space="0" w:color="auto"/>
        <w:right w:val="none" w:sz="0" w:space="0" w:color="auto"/>
      </w:divBdr>
    </w:div>
    <w:div w:id="736055091">
      <w:bodyDiv w:val="1"/>
      <w:marLeft w:val="0"/>
      <w:marRight w:val="0"/>
      <w:marTop w:val="0"/>
      <w:marBottom w:val="0"/>
      <w:divBdr>
        <w:top w:val="none" w:sz="0" w:space="0" w:color="auto"/>
        <w:left w:val="none" w:sz="0" w:space="0" w:color="auto"/>
        <w:bottom w:val="none" w:sz="0" w:space="0" w:color="auto"/>
        <w:right w:val="none" w:sz="0" w:space="0" w:color="auto"/>
      </w:divBdr>
      <w:divsChild>
        <w:div w:id="1075515038">
          <w:marLeft w:val="547"/>
          <w:marRight w:val="0"/>
          <w:marTop w:val="120"/>
          <w:marBottom w:val="0"/>
          <w:divBdr>
            <w:top w:val="none" w:sz="0" w:space="0" w:color="auto"/>
            <w:left w:val="none" w:sz="0" w:space="0" w:color="auto"/>
            <w:bottom w:val="none" w:sz="0" w:space="0" w:color="auto"/>
            <w:right w:val="none" w:sz="0" w:space="0" w:color="auto"/>
          </w:divBdr>
        </w:div>
        <w:div w:id="2119908939">
          <w:marLeft w:val="1166"/>
          <w:marRight w:val="0"/>
          <w:marTop w:val="106"/>
          <w:marBottom w:val="0"/>
          <w:divBdr>
            <w:top w:val="none" w:sz="0" w:space="0" w:color="auto"/>
            <w:left w:val="none" w:sz="0" w:space="0" w:color="auto"/>
            <w:bottom w:val="none" w:sz="0" w:space="0" w:color="auto"/>
            <w:right w:val="none" w:sz="0" w:space="0" w:color="auto"/>
          </w:divBdr>
        </w:div>
        <w:div w:id="875656758">
          <w:marLeft w:val="1166"/>
          <w:marRight w:val="0"/>
          <w:marTop w:val="106"/>
          <w:marBottom w:val="0"/>
          <w:divBdr>
            <w:top w:val="none" w:sz="0" w:space="0" w:color="auto"/>
            <w:left w:val="none" w:sz="0" w:space="0" w:color="auto"/>
            <w:bottom w:val="none" w:sz="0" w:space="0" w:color="auto"/>
            <w:right w:val="none" w:sz="0" w:space="0" w:color="auto"/>
          </w:divBdr>
        </w:div>
      </w:divsChild>
    </w:div>
    <w:div w:id="853804937">
      <w:bodyDiv w:val="1"/>
      <w:marLeft w:val="0"/>
      <w:marRight w:val="0"/>
      <w:marTop w:val="0"/>
      <w:marBottom w:val="0"/>
      <w:divBdr>
        <w:top w:val="none" w:sz="0" w:space="0" w:color="auto"/>
        <w:left w:val="none" w:sz="0" w:space="0" w:color="auto"/>
        <w:bottom w:val="none" w:sz="0" w:space="0" w:color="auto"/>
        <w:right w:val="none" w:sz="0" w:space="0" w:color="auto"/>
      </w:divBdr>
    </w:div>
    <w:div w:id="884873145">
      <w:bodyDiv w:val="1"/>
      <w:marLeft w:val="0"/>
      <w:marRight w:val="0"/>
      <w:marTop w:val="0"/>
      <w:marBottom w:val="0"/>
      <w:divBdr>
        <w:top w:val="none" w:sz="0" w:space="0" w:color="auto"/>
        <w:left w:val="none" w:sz="0" w:space="0" w:color="auto"/>
        <w:bottom w:val="none" w:sz="0" w:space="0" w:color="auto"/>
        <w:right w:val="none" w:sz="0" w:space="0" w:color="auto"/>
      </w:divBdr>
      <w:divsChild>
        <w:div w:id="779911087">
          <w:marLeft w:val="547"/>
          <w:marRight w:val="0"/>
          <w:marTop w:val="106"/>
          <w:marBottom w:val="0"/>
          <w:divBdr>
            <w:top w:val="none" w:sz="0" w:space="0" w:color="auto"/>
            <w:left w:val="none" w:sz="0" w:space="0" w:color="auto"/>
            <w:bottom w:val="none" w:sz="0" w:space="0" w:color="auto"/>
            <w:right w:val="none" w:sz="0" w:space="0" w:color="auto"/>
          </w:divBdr>
        </w:div>
        <w:div w:id="1620061695">
          <w:marLeft w:val="1166"/>
          <w:marRight w:val="0"/>
          <w:marTop w:val="96"/>
          <w:marBottom w:val="0"/>
          <w:divBdr>
            <w:top w:val="none" w:sz="0" w:space="0" w:color="auto"/>
            <w:left w:val="none" w:sz="0" w:space="0" w:color="auto"/>
            <w:bottom w:val="none" w:sz="0" w:space="0" w:color="auto"/>
            <w:right w:val="none" w:sz="0" w:space="0" w:color="auto"/>
          </w:divBdr>
        </w:div>
      </w:divsChild>
    </w:div>
    <w:div w:id="922105273">
      <w:bodyDiv w:val="1"/>
      <w:marLeft w:val="0"/>
      <w:marRight w:val="0"/>
      <w:marTop w:val="0"/>
      <w:marBottom w:val="0"/>
      <w:divBdr>
        <w:top w:val="none" w:sz="0" w:space="0" w:color="auto"/>
        <w:left w:val="none" w:sz="0" w:space="0" w:color="auto"/>
        <w:bottom w:val="none" w:sz="0" w:space="0" w:color="auto"/>
        <w:right w:val="none" w:sz="0" w:space="0" w:color="auto"/>
      </w:divBdr>
      <w:divsChild>
        <w:div w:id="187330286">
          <w:marLeft w:val="1166"/>
          <w:marRight w:val="0"/>
          <w:marTop w:val="115"/>
          <w:marBottom w:val="0"/>
          <w:divBdr>
            <w:top w:val="none" w:sz="0" w:space="0" w:color="auto"/>
            <w:left w:val="none" w:sz="0" w:space="0" w:color="auto"/>
            <w:bottom w:val="none" w:sz="0" w:space="0" w:color="auto"/>
            <w:right w:val="none" w:sz="0" w:space="0" w:color="auto"/>
          </w:divBdr>
        </w:div>
        <w:div w:id="684359191">
          <w:marLeft w:val="547"/>
          <w:marRight w:val="0"/>
          <w:marTop w:val="130"/>
          <w:marBottom w:val="0"/>
          <w:divBdr>
            <w:top w:val="none" w:sz="0" w:space="0" w:color="auto"/>
            <w:left w:val="none" w:sz="0" w:space="0" w:color="auto"/>
            <w:bottom w:val="none" w:sz="0" w:space="0" w:color="auto"/>
            <w:right w:val="none" w:sz="0" w:space="0" w:color="auto"/>
          </w:divBdr>
        </w:div>
        <w:div w:id="1827669051">
          <w:marLeft w:val="1166"/>
          <w:marRight w:val="0"/>
          <w:marTop w:val="115"/>
          <w:marBottom w:val="0"/>
          <w:divBdr>
            <w:top w:val="none" w:sz="0" w:space="0" w:color="auto"/>
            <w:left w:val="none" w:sz="0" w:space="0" w:color="auto"/>
            <w:bottom w:val="none" w:sz="0" w:space="0" w:color="auto"/>
            <w:right w:val="none" w:sz="0" w:space="0" w:color="auto"/>
          </w:divBdr>
        </w:div>
      </w:divsChild>
    </w:div>
    <w:div w:id="947201596">
      <w:bodyDiv w:val="1"/>
      <w:marLeft w:val="0"/>
      <w:marRight w:val="0"/>
      <w:marTop w:val="0"/>
      <w:marBottom w:val="0"/>
      <w:divBdr>
        <w:top w:val="none" w:sz="0" w:space="0" w:color="auto"/>
        <w:left w:val="none" w:sz="0" w:space="0" w:color="auto"/>
        <w:bottom w:val="none" w:sz="0" w:space="0" w:color="auto"/>
        <w:right w:val="none" w:sz="0" w:space="0" w:color="auto"/>
      </w:divBdr>
    </w:div>
    <w:div w:id="972055572">
      <w:bodyDiv w:val="1"/>
      <w:marLeft w:val="0"/>
      <w:marRight w:val="0"/>
      <w:marTop w:val="0"/>
      <w:marBottom w:val="0"/>
      <w:divBdr>
        <w:top w:val="none" w:sz="0" w:space="0" w:color="auto"/>
        <w:left w:val="none" w:sz="0" w:space="0" w:color="auto"/>
        <w:bottom w:val="none" w:sz="0" w:space="0" w:color="auto"/>
        <w:right w:val="none" w:sz="0" w:space="0" w:color="auto"/>
      </w:divBdr>
    </w:div>
    <w:div w:id="974024575">
      <w:bodyDiv w:val="1"/>
      <w:marLeft w:val="0"/>
      <w:marRight w:val="0"/>
      <w:marTop w:val="0"/>
      <w:marBottom w:val="0"/>
      <w:divBdr>
        <w:top w:val="none" w:sz="0" w:space="0" w:color="auto"/>
        <w:left w:val="none" w:sz="0" w:space="0" w:color="auto"/>
        <w:bottom w:val="none" w:sz="0" w:space="0" w:color="auto"/>
        <w:right w:val="none" w:sz="0" w:space="0" w:color="auto"/>
      </w:divBdr>
    </w:div>
    <w:div w:id="1049374748">
      <w:bodyDiv w:val="1"/>
      <w:marLeft w:val="0"/>
      <w:marRight w:val="0"/>
      <w:marTop w:val="0"/>
      <w:marBottom w:val="0"/>
      <w:divBdr>
        <w:top w:val="none" w:sz="0" w:space="0" w:color="auto"/>
        <w:left w:val="none" w:sz="0" w:space="0" w:color="auto"/>
        <w:bottom w:val="none" w:sz="0" w:space="0" w:color="auto"/>
        <w:right w:val="none" w:sz="0" w:space="0" w:color="auto"/>
      </w:divBdr>
      <w:divsChild>
        <w:div w:id="577250806">
          <w:marLeft w:val="360"/>
          <w:marRight w:val="0"/>
          <w:marTop w:val="240"/>
          <w:marBottom w:val="0"/>
          <w:divBdr>
            <w:top w:val="none" w:sz="0" w:space="0" w:color="auto"/>
            <w:left w:val="none" w:sz="0" w:space="0" w:color="auto"/>
            <w:bottom w:val="none" w:sz="0" w:space="0" w:color="auto"/>
            <w:right w:val="none" w:sz="0" w:space="0" w:color="auto"/>
          </w:divBdr>
        </w:div>
        <w:div w:id="1543319785">
          <w:marLeft w:val="1080"/>
          <w:marRight w:val="0"/>
          <w:marTop w:val="240"/>
          <w:marBottom w:val="0"/>
          <w:divBdr>
            <w:top w:val="none" w:sz="0" w:space="0" w:color="auto"/>
            <w:left w:val="none" w:sz="0" w:space="0" w:color="auto"/>
            <w:bottom w:val="none" w:sz="0" w:space="0" w:color="auto"/>
            <w:right w:val="none" w:sz="0" w:space="0" w:color="auto"/>
          </w:divBdr>
        </w:div>
        <w:div w:id="781723973">
          <w:marLeft w:val="1800"/>
          <w:marRight w:val="0"/>
          <w:marTop w:val="240"/>
          <w:marBottom w:val="0"/>
          <w:divBdr>
            <w:top w:val="none" w:sz="0" w:space="0" w:color="auto"/>
            <w:left w:val="none" w:sz="0" w:space="0" w:color="auto"/>
            <w:bottom w:val="none" w:sz="0" w:space="0" w:color="auto"/>
            <w:right w:val="none" w:sz="0" w:space="0" w:color="auto"/>
          </w:divBdr>
        </w:div>
      </w:divsChild>
    </w:div>
    <w:div w:id="1085348187">
      <w:bodyDiv w:val="1"/>
      <w:marLeft w:val="0"/>
      <w:marRight w:val="0"/>
      <w:marTop w:val="0"/>
      <w:marBottom w:val="0"/>
      <w:divBdr>
        <w:top w:val="none" w:sz="0" w:space="0" w:color="auto"/>
        <w:left w:val="none" w:sz="0" w:space="0" w:color="auto"/>
        <w:bottom w:val="none" w:sz="0" w:space="0" w:color="auto"/>
        <w:right w:val="none" w:sz="0" w:space="0" w:color="auto"/>
      </w:divBdr>
    </w:div>
    <w:div w:id="1195466275">
      <w:bodyDiv w:val="1"/>
      <w:marLeft w:val="0"/>
      <w:marRight w:val="0"/>
      <w:marTop w:val="0"/>
      <w:marBottom w:val="0"/>
      <w:divBdr>
        <w:top w:val="none" w:sz="0" w:space="0" w:color="auto"/>
        <w:left w:val="none" w:sz="0" w:space="0" w:color="auto"/>
        <w:bottom w:val="none" w:sz="0" w:space="0" w:color="auto"/>
        <w:right w:val="none" w:sz="0" w:space="0" w:color="auto"/>
      </w:divBdr>
    </w:div>
    <w:div w:id="1218972190">
      <w:bodyDiv w:val="1"/>
      <w:marLeft w:val="0"/>
      <w:marRight w:val="0"/>
      <w:marTop w:val="0"/>
      <w:marBottom w:val="0"/>
      <w:divBdr>
        <w:top w:val="none" w:sz="0" w:space="0" w:color="auto"/>
        <w:left w:val="none" w:sz="0" w:space="0" w:color="auto"/>
        <w:bottom w:val="none" w:sz="0" w:space="0" w:color="auto"/>
        <w:right w:val="none" w:sz="0" w:space="0" w:color="auto"/>
      </w:divBdr>
    </w:div>
    <w:div w:id="1255014880">
      <w:bodyDiv w:val="1"/>
      <w:marLeft w:val="0"/>
      <w:marRight w:val="0"/>
      <w:marTop w:val="0"/>
      <w:marBottom w:val="0"/>
      <w:divBdr>
        <w:top w:val="none" w:sz="0" w:space="0" w:color="auto"/>
        <w:left w:val="none" w:sz="0" w:space="0" w:color="auto"/>
        <w:bottom w:val="none" w:sz="0" w:space="0" w:color="auto"/>
        <w:right w:val="none" w:sz="0" w:space="0" w:color="auto"/>
      </w:divBdr>
    </w:div>
    <w:div w:id="1268122010">
      <w:bodyDiv w:val="1"/>
      <w:marLeft w:val="0"/>
      <w:marRight w:val="0"/>
      <w:marTop w:val="0"/>
      <w:marBottom w:val="0"/>
      <w:divBdr>
        <w:top w:val="none" w:sz="0" w:space="0" w:color="auto"/>
        <w:left w:val="none" w:sz="0" w:space="0" w:color="auto"/>
        <w:bottom w:val="none" w:sz="0" w:space="0" w:color="auto"/>
        <w:right w:val="none" w:sz="0" w:space="0" w:color="auto"/>
      </w:divBdr>
    </w:div>
    <w:div w:id="1283609854">
      <w:bodyDiv w:val="1"/>
      <w:marLeft w:val="0"/>
      <w:marRight w:val="0"/>
      <w:marTop w:val="0"/>
      <w:marBottom w:val="0"/>
      <w:divBdr>
        <w:top w:val="none" w:sz="0" w:space="0" w:color="auto"/>
        <w:left w:val="none" w:sz="0" w:space="0" w:color="auto"/>
        <w:bottom w:val="none" w:sz="0" w:space="0" w:color="auto"/>
        <w:right w:val="none" w:sz="0" w:space="0" w:color="auto"/>
      </w:divBdr>
    </w:div>
    <w:div w:id="1365525119">
      <w:bodyDiv w:val="1"/>
      <w:marLeft w:val="0"/>
      <w:marRight w:val="0"/>
      <w:marTop w:val="0"/>
      <w:marBottom w:val="0"/>
      <w:divBdr>
        <w:top w:val="none" w:sz="0" w:space="0" w:color="auto"/>
        <w:left w:val="none" w:sz="0" w:space="0" w:color="auto"/>
        <w:bottom w:val="none" w:sz="0" w:space="0" w:color="auto"/>
        <w:right w:val="none" w:sz="0" w:space="0" w:color="auto"/>
      </w:divBdr>
      <w:divsChild>
        <w:div w:id="390739265">
          <w:marLeft w:val="360"/>
          <w:marRight w:val="0"/>
          <w:marTop w:val="200"/>
          <w:marBottom w:val="0"/>
          <w:divBdr>
            <w:top w:val="none" w:sz="0" w:space="0" w:color="auto"/>
            <w:left w:val="none" w:sz="0" w:space="0" w:color="auto"/>
            <w:bottom w:val="none" w:sz="0" w:space="0" w:color="auto"/>
            <w:right w:val="none" w:sz="0" w:space="0" w:color="auto"/>
          </w:divBdr>
        </w:div>
        <w:div w:id="988556619">
          <w:marLeft w:val="1080"/>
          <w:marRight w:val="0"/>
          <w:marTop w:val="100"/>
          <w:marBottom w:val="0"/>
          <w:divBdr>
            <w:top w:val="none" w:sz="0" w:space="0" w:color="auto"/>
            <w:left w:val="none" w:sz="0" w:space="0" w:color="auto"/>
            <w:bottom w:val="none" w:sz="0" w:space="0" w:color="auto"/>
            <w:right w:val="none" w:sz="0" w:space="0" w:color="auto"/>
          </w:divBdr>
        </w:div>
        <w:div w:id="2033606032">
          <w:marLeft w:val="1800"/>
          <w:marRight w:val="0"/>
          <w:marTop w:val="100"/>
          <w:marBottom w:val="0"/>
          <w:divBdr>
            <w:top w:val="none" w:sz="0" w:space="0" w:color="auto"/>
            <w:left w:val="none" w:sz="0" w:space="0" w:color="auto"/>
            <w:bottom w:val="none" w:sz="0" w:space="0" w:color="auto"/>
            <w:right w:val="none" w:sz="0" w:space="0" w:color="auto"/>
          </w:divBdr>
        </w:div>
        <w:div w:id="1530489904">
          <w:marLeft w:val="1800"/>
          <w:marRight w:val="0"/>
          <w:marTop w:val="100"/>
          <w:marBottom w:val="0"/>
          <w:divBdr>
            <w:top w:val="none" w:sz="0" w:space="0" w:color="auto"/>
            <w:left w:val="none" w:sz="0" w:space="0" w:color="auto"/>
            <w:bottom w:val="none" w:sz="0" w:space="0" w:color="auto"/>
            <w:right w:val="none" w:sz="0" w:space="0" w:color="auto"/>
          </w:divBdr>
        </w:div>
        <w:div w:id="2109111747">
          <w:marLeft w:val="1800"/>
          <w:marRight w:val="0"/>
          <w:marTop w:val="100"/>
          <w:marBottom w:val="0"/>
          <w:divBdr>
            <w:top w:val="none" w:sz="0" w:space="0" w:color="auto"/>
            <w:left w:val="none" w:sz="0" w:space="0" w:color="auto"/>
            <w:bottom w:val="none" w:sz="0" w:space="0" w:color="auto"/>
            <w:right w:val="none" w:sz="0" w:space="0" w:color="auto"/>
          </w:divBdr>
        </w:div>
      </w:divsChild>
    </w:div>
    <w:div w:id="1490292984">
      <w:bodyDiv w:val="1"/>
      <w:marLeft w:val="0"/>
      <w:marRight w:val="0"/>
      <w:marTop w:val="0"/>
      <w:marBottom w:val="0"/>
      <w:divBdr>
        <w:top w:val="none" w:sz="0" w:space="0" w:color="auto"/>
        <w:left w:val="none" w:sz="0" w:space="0" w:color="auto"/>
        <w:bottom w:val="none" w:sz="0" w:space="0" w:color="auto"/>
        <w:right w:val="none" w:sz="0" w:space="0" w:color="auto"/>
      </w:divBdr>
    </w:div>
    <w:div w:id="1636567073">
      <w:bodyDiv w:val="1"/>
      <w:marLeft w:val="0"/>
      <w:marRight w:val="0"/>
      <w:marTop w:val="0"/>
      <w:marBottom w:val="0"/>
      <w:divBdr>
        <w:top w:val="none" w:sz="0" w:space="0" w:color="auto"/>
        <w:left w:val="none" w:sz="0" w:space="0" w:color="auto"/>
        <w:bottom w:val="none" w:sz="0" w:space="0" w:color="auto"/>
        <w:right w:val="none" w:sz="0" w:space="0" w:color="auto"/>
      </w:divBdr>
    </w:div>
    <w:div w:id="1636987359">
      <w:bodyDiv w:val="1"/>
      <w:marLeft w:val="0"/>
      <w:marRight w:val="0"/>
      <w:marTop w:val="0"/>
      <w:marBottom w:val="0"/>
      <w:divBdr>
        <w:top w:val="none" w:sz="0" w:space="0" w:color="auto"/>
        <w:left w:val="none" w:sz="0" w:space="0" w:color="auto"/>
        <w:bottom w:val="none" w:sz="0" w:space="0" w:color="auto"/>
        <w:right w:val="none" w:sz="0" w:space="0" w:color="auto"/>
      </w:divBdr>
      <w:divsChild>
        <w:div w:id="342321909">
          <w:marLeft w:val="547"/>
          <w:marRight w:val="0"/>
          <w:marTop w:val="96"/>
          <w:marBottom w:val="0"/>
          <w:divBdr>
            <w:top w:val="none" w:sz="0" w:space="0" w:color="auto"/>
            <w:left w:val="none" w:sz="0" w:space="0" w:color="auto"/>
            <w:bottom w:val="none" w:sz="0" w:space="0" w:color="auto"/>
            <w:right w:val="none" w:sz="0" w:space="0" w:color="auto"/>
          </w:divBdr>
        </w:div>
        <w:div w:id="1759978620">
          <w:marLeft w:val="1166"/>
          <w:marRight w:val="0"/>
          <w:marTop w:val="86"/>
          <w:marBottom w:val="0"/>
          <w:divBdr>
            <w:top w:val="none" w:sz="0" w:space="0" w:color="auto"/>
            <w:left w:val="none" w:sz="0" w:space="0" w:color="auto"/>
            <w:bottom w:val="none" w:sz="0" w:space="0" w:color="auto"/>
            <w:right w:val="none" w:sz="0" w:space="0" w:color="auto"/>
          </w:divBdr>
        </w:div>
        <w:div w:id="181944267">
          <w:marLeft w:val="1800"/>
          <w:marRight w:val="0"/>
          <w:marTop w:val="72"/>
          <w:marBottom w:val="0"/>
          <w:divBdr>
            <w:top w:val="none" w:sz="0" w:space="0" w:color="auto"/>
            <w:left w:val="none" w:sz="0" w:space="0" w:color="auto"/>
            <w:bottom w:val="none" w:sz="0" w:space="0" w:color="auto"/>
            <w:right w:val="none" w:sz="0" w:space="0" w:color="auto"/>
          </w:divBdr>
        </w:div>
      </w:divsChild>
    </w:div>
    <w:div w:id="1738243316">
      <w:bodyDiv w:val="1"/>
      <w:marLeft w:val="0"/>
      <w:marRight w:val="0"/>
      <w:marTop w:val="0"/>
      <w:marBottom w:val="0"/>
      <w:divBdr>
        <w:top w:val="none" w:sz="0" w:space="0" w:color="auto"/>
        <w:left w:val="none" w:sz="0" w:space="0" w:color="auto"/>
        <w:bottom w:val="none" w:sz="0" w:space="0" w:color="auto"/>
        <w:right w:val="none" w:sz="0" w:space="0" w:color="auto"/>
      </w:divBdr>
      <w:divsChild>
        <w:div w:id="1837457160">
          <w:marLeft w:val="547"/>
          <w:marRight w:val="0"/>
          <w:marTop w:val="154"/>
          <w:marBottom w:val="0"/>
          <w:divBdr>
            <w:top w:val="none" w:sz="0" w:space="0" w:color="auto"/>
            <w:left w:val="none" w:sz="0" w:space="0" w:color="auto"/>
            <w:bottom w:val="none" w:sz="0" w:space="0" w:color="auto"/>
            <w:right w:val="none" w:sz="0" w:space="0" w:color="auto"/>
          </w:divBdr>
        </w:div>
        <w:div w:id="1103108437">
          <w:marLeft w:val="1166"/>
          <w:marRight w:val="0"/>
          <w:marTop w:val="134"/>
          <w:marBottom w:val="0"/>
          <w:divBdr>
            <w:top w:val="none" w:sz="0" w:space="0" w:color="auto"/>
            <w:left w:val="none" w:sz="0" w:space="0" w:color="auto"/>
            <w:bottom w:val="none" w:sz="0" w:space="0" w:color="auto"/>
            <w:right w:val="none" w:sz="0" w:space="0" w:color="auto"/>
          </w:divBdr>
        </w:div>
        <w:div w:id="1221206858">
          <w:marLeft w:val="1166"/>
          <w:marRight w:val="0"/>
          <w:marTop w:val="134"/>
          <w:marBottom w:val="0"/>
          <w:divBdr>
            <w:top w:val="none" w:sz="0" w:space="0" w:color="auto"/>
            <w:left w:val="none" w:sz="0" w:space="0" w:color="auto"/>
            <w:bottom w:val="none" w:sz="0" w:space="0" w:color="auto"/>
            <w:right w:val="none" w:sz="0" w:space="0" w:color="auto"/>
          </w:divBdr>
        </w:div>
      </w:divsChild>
    </w:div>
    <w:div w:id="1746800462">
      <w:bodyDiv w:val="1"/>
      <w:marLeft w:val="0"/>
      <w:marRight w:val="0"/>
      <w:marTop w:val="0"/>
      <w:marBottom w:val="0"/>
      <w:divBdr>
        <w:top w:val="none" w:sz="0" w:space="0" w:color="auto"/>
        <w:left w:val="none" w:sz="0" w:space="0" w:color="auto"/>
        <w:bottom w:val="none" w:sz="0" w:space="0" w:color="auto"/>
        <w:right w:val="none" w:sz="0" w:space="0" w:color="auto"/>
      </w:divBdr>
      <w:divsChild>
        <w:div w:id="493953184">
          <w:marLeft w:val="547"/>
          <w:marRight w:val="0"/>
          <w:marTop w:val="130"/>
          <w:marBottom w:val="0"/>
          <w:divBdr>
            <w:top w:val="none" w:sz="0" w:space="0" w:color="auto"/>
            <w:left w:val="none" w:sz="0" w:space="0" w:color="auto"/>
            <w:bottom w:val="none" w:sz="0" w:space="0" w:color="auto"/>
            <w:right w:val="none" w:sz="0" w:space="0" w:color="auto"/>
          </w:divBdr>
        </w:div>
        <w:div w:id="1739396158">
          <w:marLeft w:val="1166"/>
          <w:marRight w:val="0"/>
          <w:marTop w:val="115"/>
          <w:marBottom w:val="0"/>
          <w:divBdr>
            <w:top w:val="none" w:sz="0" w:space="0" w:color="auto"/>
            <w:left w:val="none" w:sz="0" w:space="0" w:color="auto"/>
            <w:bottom w:val="none" w:sz="0" w:space="0" w:color="auto"/>
            <w:right w:val="none" w:sz="0" w:space="0" w:color="auto"/>
          </w:divBdr>
        </w:div>
        <w:div w:id="1321612811">
          <w:marLeft w:val="1800"/>
          <w:marRight w:val="0"/>
          <w:marTop w:val="96"/>
          <w:marBottom w:val="0"/>
          <w:divBdr>
            <w:top w:val="none" w:sz="0" w:space="0" w:color="auto"/>
            <w:left w:val="none" w:sz="0" w:space="0" w:color="auto"/>
            <w:bottom w:val="none" w:sz="0" w:space="0" w:color="auto"/>
            <w:right w:val="none" w:sz="0" w:space="0" w:color="auto"/>
          </w:divBdr>
        </w:div>
        <w:div w:id="836771956">
          <w:marLeft w:val="1800"/>
          <w:marRight w:val="0"/>
          <w:marTop w:val="96"/>
          <w:marBottom w:val="0"/>
          <w:divBdr>
            <w:top w:val="none" w:sz="0" w:space="0" w:color="auto"/>
            <w:left w:val="none" w:sz="0" w:space="0" w:color="auto"/>
            <w:bottom w:val="none" w:sz="0" w:space="0" w:color="auto"/>
            <w:right w:val="none" w:sz="0" w:space="0" w:color="auto"/>
          </w:divBdr>
        </w:div>
        <w:div w:id="1919318910">
          <w:marLeft w:val="1800"/>
          <w:marRight w:val="0"/>
          <w:marTop w:val="96"/>
          <w:marBottom w:val="0"/>
          <w:divBdr>
            <w:top w:val="none" w:sz="0" w:space="0" w:color="auto"/>
            <w:left w:val="none" w:sz="0" w:space="0" w:color="auto"/>
            <w:bottom w:val="none" w:sz="0" w:space="0" w:color="auto"/>
            <w:right w:val="none" w:sz="0" w:space="0" w:color="auto"/>
          </w:divBdr>
        </w:div>
        <w:div w:id="158542661">
          <w:marLeft w:val="2520"/>
          <w:marRight w:val="0"/>
          <w:marTop w:val="82"/>
          <w:marBottom w:val="0"/>
          <w:divBdr>
            <w:top w:val="none" w:sz="0" w:space="0" w:color="auto"/>
            <w:left w:val="none" w:sz="0" w:space="0" w:color="auto"/>
            <w:bottom w:val="none" w:sz="0" w:space="0" w:color="auto"/>
            <w:right w:val="none" w:sz="0" w:space="0" w:color="auto"/>
          </w:divBdr>
        </w:div>
        <w:div w:id="475419533">
          <w:marLeft w:val="2520"/>
          <w:marRight w:val="0"/>
          <w:marTop w:val="82"/>
          <w:marBottom w:val="0"/>
          <w:divBdr>
            <w:top w:val="none" w:sz="0" w:space="0" w:color="auto"/>
            <w:left w:val="none" w:sz="0" w:space="0" w:color="auto"/>
            <w:bottom w:val="none" w:sz="0" w:space="0" w:color="auto"/>
            <w:right w:val="none" w:sz="0" w:space="0" w:color="auto"/>
          </w:divBdr>
        </w:div>
      </w:divsChild>
    </w:div>
    <w:div w:id="1774737523">
      <w:bodyDiv w:val="1"/>
      <w:marLeft w:val="0"/>
      <w:marRight w:val="0"/>
      <w:marTop w:val="0"/>
      <w:marBottom w:val="0"/>
      <w:divBdr>
        <w:top w:val="none" w:sz="0" w:space="0" w:color="auto"/>
        <w:left w:val="none" w:sz="0" w:space="0" w:color="auto"/>
        <w:bottom w:val="none" w:sz="0" w:space="0" w:color="auto"/>
        <w:right w:val="none" w:sz="0" w:space="0" w:color="auto"/>
      </w:divBdr>
    </w:div>
    <w:div w:id="1842623427">
      <w:bodyDiv w:val="1"/>
      <w:marLeft w:val="0"/>
      <w:marRight w:val="0"/>
      <w:marTop w:val="0"/>
      <w:marBottom w:val="0"/>
      <w:divBdr>
        <w:top w:val="none" w:sz="0" w:space="0" w:color="auto"/>
        <w:left w:val="none" w:sz="0" w:space="0" w:color="auto"/>
        <w:bottom w:val="none" w:sz="0" w:space="0" w:color="auto"/>
        <w:right w:val="none" w:sz="0" w:space="0" w:color="auto"/>
      </w:divBdr>
      <w:divsChild>
        <w:div w:id="1914969910">
          <w:marLeft w:val="360"/>
          <w:marRight w:val="0"/>
          <w:marTop w:val="240"/>
          <w:marBottom w:val="0"/>
          <w:divBdr>
            <w:top w:val="none" w:sz="0" w:space="0" w:color="auto"/>
            <w:left w:val="none" w:sz="0" w:space="0" w:color="auto"/>
            <w:bottom w:val="none" w:sz="0" w:space="0" w:color="auto"/>
            <w:right w:val="none" w:sz="0" w:space="0" w:color="auto"/>
          </w:divBdr>
        </w:div>
        <w:div w:id="659626656">
          <w:marLeft w:val="360"/>
          <w:marRight w:val="0"/>
          <w:marTop w:val="240"/>
          <w:marBottom w:val="0"/>
          <w:divBdr>
            <w:top w:val="none" w:sz="0" w:space="0" w:color="auto"/>
            <w:left w:val="none" w:sz="0" w:space="0" w:color="auto"/>
            <w:bottom w:val="none" w:sz="0" w:space="0" w:color="auto"/>
            <w:right w:val="none" w:sz="0" w:space="0" w:color="auto"/>
          </w:divBdr>
        </w:div>
      </w:divsChild>
    </w:div>
    <w:div w:id="1844396120">
      <w:bodyDiv w:val="1"/>
      <w:marLeft w:val="0"/>
      <w:marRight w:val="0"/>
      <w:marTop w:val="0"/>
      <w:marBottom w:val="0"/>
      <w:divBdr>
        <w:top w:val="none" w:sz="0" w:space="0" w:color="auto"/>
        <w:left w:val="none" w:sz="0" w:space="0" w:color="auto"/>
        <w:bottom w:val="none" w:sz="0" w:space="0" w:color="auto"/>
        <w:right w:val="none" w:sz="0" w:space="0" w:color="auto"/>
      </w:divBdr>
      <w:divsChild>
        <w:div w:id="1538933445">
          <w:marLeft w:val="547"/>
          <w:marRight w:val="0"/>
          <w:marTop w:val="144"/>
          <w:marBottom w:val="0"/>
          <w:divBdr>
            <w:top w:val="none" w:sz="0" w:space="0" w:color="auto"/>
            <w:left w:val="none" w:sz="0" w:space="0" w:color="auto"/>
            <w:bottom w:val="none" w:sz="0" w:space="0" w:color="auto"/>
            <w:right w:val="none" w:sz="0" w:space="0" w:color="auto"/>
          </w:divBdr>
        </w:div>
        <w:div w:id="952320589">
          <w:marLeft w:val="1166"/>
          <w:marRight w:val="0"/>
          <w:marTop w:val="125"/>
          <w:marBottom w:val="0"/>
          <w:divBdr>
            <w:top w:val="none" w:sz="0" w:space="0" w:color="auto"/>
            <w:left w:val="none" w:sz="0" w:space="0" w:color="auto"/>
            <w:bottom w:val="none" w:sz="0" w:space="0" w:color="auto"/>
            <w:right w:val="none" w:sz="0" w:space="0" w:color="auto"/>
          </w:divBdr>
        </w:div>
        <w:div w:id="600182504">
          <w:marLeft w:val="1166"/>
          <w:marRight w:val="0"/>
          <w:marTop w:val="125"/>
          <w:marBottom w:val="0"/>
          <w:divBdr>
            <w:top w:val="none" w:sz="0" w:space="0" w:color="auto"/>
            <w:left w:val="none" w:sz="0" w:space="0" w:color="auto"/>
            <w:bottom w:val="none" w:sz="0" w:space="0" w:color="auto"/>
            <w:right w:val="none" w:sz="0" w:space="0" w:color="auto"/>
          </w:divBdr>
        </w:div>
        <w:div w:id="1528326228">
          <w:marLeft w:val="1800"/>
          <w:marRight w:val="0"/>
          <w:marTop w:val="106"/>
          <w:marBottom w:val="0"/>
          <w:divBdr>
            <w:top w:val="none" w:sz="0" w:space="0" w:color="auto"/>
            <w:left w:val="none" w:sz="0" w:space="0" w:color="auto"/>
            <w:bottom w:val="none" w:sz="0" w:space="0" w:color="auto"/>
            <w:right w:val="none" w:sz="0" w:space="0" w:color="auto"/>
          </w:divBdr>
        </w:div>
        <w:div w:id="240918602">
          <w:marLeft w:val="1800"/>
          <w:marRight w:val="0"/>
          <w:marTop w:val="106"/>
          <w:marBottom w:val="0"/>
          <w:divBdr>
            <w:top w:val="none" w:sz="0" w:space="0" w:color="auto"/>
            <w:left w:val="none" w:sz="0" w:space="0" w:color="auto"/>
            <w:bottom w:val="none" w:sz="0" w:space="0" w:color="auto"/>
            <w:right w:val="none" w:sz="0" w:space="0" w:color="auto"/>
          </w:divBdr>
        </w:div>
        <w:div w:id="739981862">
          <w:marLeft w:val="1800"/>
          <w:marRight w:val="0"/>
          <w:marTop w:val="106"/>
          <w:marBottom w:val="0"/>
          <w:divBdr>
            <w:top w:val="none" w:sz="0" w:space="0" w:color="auto"/>
            <w:left w:val="none" w:sz="0" w:space="0" w:color="auto"/>
            <w:bottom w:val="none" w:sz="0" w:space="0" w:color="auto"/>
            <w:right w:val="none" w:sz="0" w:space="0" w:color="auto"/>
          </w:divBdr>
        </w:div>
      </w:divsChild>
    </w:div>
    <w:div w:id="1862741220">
      <w:bodyDiv w:val="1"/>
      <w:marLeft w:val="0"/>
      <w:marRight w:val="0"/>
      <w:marTop w:val="0"/>
      <w:marBottom w:val="0"/>
      <w:divBdr>
        <w:top w:val="none" w:sz="0" w:space="0" w:color="auto"/>
        <w:left w:val="none" w:sz="0" w:space="0" w:color="auto"/>
        <w:bottom w:val="none" w:sz="0" w:space="0" w:color="auto"/>
        <w:right w:val="none" w:sz="0" w:space="0" w:color="auto"/>
      </w:divBdr>
      <w:divsChild>
        <w:div w:id="329216268">
          <w:marLeft w:val="547"/>
          <w:marRight w:val="0"/>
          <w:marTop w:val="154"/>
          <w:marBottom w:val="0"/>
          <w:divBdr>
            <w:top w:val="none" w:sz="0" w:space="0" w:color="auto"/>
            <w:left w:val="none" w:sz="0" w:space="0" w:color="auto"/>
            <w:bottom w:val="none" w:sz="0" w:space="0" w:color="auto"/>
            <w:right w:val="none" w:sz="0" w:space="0" w:color="auto"/>
          </w:divBdr>
        </w:div>
        <w:div w:id="635985481">
          <w:marLeft w:val="1166"/>
          <w:marRight w:val="0"/>
          <w:marTop w:val="134"/>
          <w:marBottom w:val="0"/>
          <w:divBdr>
            <w:top w:val="none" w:sz="0" w:space="0" w:color="auto"/>
            <w:left w:val="none" w:sz="0" w:space="0" w:color="auto"/>
            <w:bottom w:val="none" w:sz="0" w:space="0" w:color="auto"/>
            <w:right w:val="none" w:sz="0" w:space="0" w:color="auto"/>
          </w:divBdr>
        </w:div>
        <w:div w:id="1997341535">
          <w:marLeft w:val="1166"/>
          <w:marRight w:val="0"/>
          <w:marTop w:val="134"/>
          <w:marBottom w:val="0"/>
          <w:divBdr>
            <w:top w:val="none" w:sz="0" w:space="0" w:color="auto"/>
            <w:left w:val="none" w:sz="0" w:space="0" w:color="auto"/>
            <w:bottom w:val="none" w:sz="0" w:space="0" w:color="auto"/>
            <w:right w:val="none" w:sz="0" w:space="0" w:color="auto"/>
          </w:divBdr>
        </w:div>
      </w:divsChild>
    </w:div>
    <w:div w:id="1878858573">
      <w:bodyDiv w:val="1"/>
      <w:marLeft w:val="0"/>
      <w:marRight w:val="0"/>
      <w:marTop w:val="0"/>
      <w:marBottom w:val="0"/>
      <w:divBdr>
        <w:top w:val="none" w:sz="0" w:space="0" w:color="auto"/>
        <w:left w:val="none" w:sz="0" w:space="0" w:color="auto"/>
        <w:bottom w:val="none" w:sz="0" w:space="0" w:color="auto"/>
        <w:right w:val="none" w:sz="0" w:space="0" w:color="auto"/>
      </w:divBdr>
      <w:divsChild>
        <w:div w:id="1785923456">
          <w:marLeft w:val="547"/>
          <w:marRight w:val="0"/>
          <w:marTop w:val="130"/>
          <w:marBottom w:val="0"/>
          <w:divBdr>
            <w:top w:val="none" w:sz="0" w:space="0" w:color="auto"/>
            <w:left w:val="none" w:sz="0" w:space="0" w:color="auto"/>
            <w:bottom w:val="none" w:sz="0" w:space="0" w:color="auto"/>
            <w:right w:val="none" w:sz="0" w:space="0" w:color="auto"/>
          </w:divBdr>
        </w:div>
        <w:div w:id="1867327027">
          <w:marLeft w:val="1166"/>
          <w:marRight w:val="0"/>
          <w:marTop w:val="115"/>
          <w:marBottom w:val="0"/>
          <w:divBdr>
            <w:top w:val="none" w:sz="0" w:space="0" w:color="auto"/>
            <w:left w:val="none" w:sz="0" w:space="0" w:color="auto"/>
            <w:bottom w:val="none" w:sz="0" w:space="0" w:color="auto"/>
            <w:right w:val="none" w:sz="0" w:space="0" w:color="auto"/>
          </w:divBdr>
        </w:div>
        <w:div w:id="1769690692">
          <w:marLeft w:val="1800"/>
          <w:marRight w:val="0"/>
          <w:marTop w:val="96"/>
          <w:marBottom w:val="0"/>
          <w:divBdr>
            <w:top w:val="none" w:sz="0" w:space="0" w:color="auto"/>
            <w:left w:val="none" w:sz="0" w:space="0" w:color="auto"/>
            <w:bottom w:val="none" w:sz="0" w:space="0" w:color="auto"/>
            <w:right w:val="none" w:sz="0" w:space="0" w:color="auto"/>
          </w:divBdr>
        </w:div>
        <w:div w:id="716248646">
          <w:marLeft w:val="1800"/>
          <w:marRight w:val="0"/>
          <w:marTop w:val="96"/>
          <w:marBottom w:val="0"/>
          <w:divBdr>
            <w:top w:val="none" w:sz="0" w:space="0" w:color="auto"/>
            <w:left w:val="none" w:sz="0" w:space="0" w:color="auto"/>
            <w:bottom w:val="none" w:sz="0" w:space="0" w:color="auto"/>
            <w:right w:val="none" w:sz="0" w:space="0" w:color="auto"/>
          </w:divBdr>
        </w:div>
        <w:div w:id="6912403">
          <w:marLeft w:val="1800"/>
          <w:marRight w:val="0"/>
          <w:marTop w:val="96"/>
          <w:marBottom w:val="0"/>
          <w:divBdr>
            <w:top w:val="none" w:sz="0" w:space="0" w:color="auto"/>
            <w:left w:val="none" w:sz="0" w:space="0" w:color="auto"/>
            <w:bottom w:val="none" w:sz="0" w:space="0" w:color="auto"/>
            <w:right w:val="none" w:sz="0" w:space="0" w:color="auto"/>
          </w:divBdr>
        </w:div>
        <w:div w:id="1886211192">
          <w:marLeft w:val="2520"/>
          <w:marRight w:val="0"/>
          <w:marTop w:val="82"/>
          <w:marBottom w:val="0"/>
          <w:divBdr>
            <w:top w:val="none" w:sz="0" w:space="0" w:color="auto"/>
            <w:left w:val="none" w:sz="0" w:space="0" w:color="auto"/>
            <w:bottom w:val="none" w:sz="0" w:space="0" w:color="auto"/>
            <w:right w:val="none" w:sz="0" w:space="0" w:color="auto"/>
          </w:divBdr>
        </w:div>
        <w:div w:id="1520894202">
          <w:marLeft w:val="2520"/>
          <w:marRight w:val="0"/>
          <w:marTop w:val="82"/>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5AIRPNAIUNRU-1328258698-4474</_dlc_DocId>
    <_dlc_DocIdUrl xmlns="71c5aaf6-e6ce-465b-b873-5148d2a4c105">
      <Url>https://nokia.sharepoint.com/sites/c5g/5gradio/_layouts/15/DocIdRedir.aspx?ID=5AIRPNAIUNRU-1328258698-4474</Url>
      <Description>5AIRPNAIUNRU-1328258698-4474</Description>
    </_dlc_DocIdUrl>
    <HideFromDelve xmlns="71c5aaf6-e6ce-465b-b873-5148d2a4c105">false</HideFromDelve>
    <Information xmlns="3b34c8f0-1ef5-4d1e-bb66-517ce7fe7356" xsi:nil="tru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E48175-4EEF-4C80-B278-22521C69DE59}">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0b6aed8e-0313-4d17-80ff-d0e5da4931c5"/>
    <ds:schemaRef ds:uri="71c5aaf6-e6ce-465b-b873-5148d2a4c105"/>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93246B21-74A1-404E-AB14-16A3CF1BFE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6EB1DC-126C-41DC-BB19-275409B03348}">
  <ds:schemaRefs>
    <ds:schemaRef ds:uri="Microsoft.SharePoint.Taxonomy.ContentTypeSync"/>
  </ds:schemaRefs>
</ds:datastoreItem>
</file>

<file path=customXml/itemProps4.xml><?xml version="1.0" encoding="utf-8"?>
<ds:datastoreItem xmlns:ds="http://schemas.openxmlformats.org/officeDocument/2006/customXml" ds:itemID="{FD987316-7D06-4CCE-804B-9CB81FEF963D}">
  <ds:schemaRefs>
    <ds:schemaRef ds:uri="http://schemas.microsoft.com/sharepoint/events"/>
  </ds:schemaRefs>
</ds:datastoreItem>
</file>

<file path=customXml/itemProps5.xml><?xml version="1.0" encoding="utf-8"?>
<ds:datastoreItem xmlns:ds="http://schemas.openxmlformats.org/officeDocument/2006/customXml" ds:itemID="{6E323040-DF75-4A0C-A4AD-DD93AB64B5BB}">
  <ds:schemaRefs>
    <ds:schemaRef ds:uri="http://schemas.microsoft.com/sharepoint/v3/contenttype/forms"/>
  </ds:schemaRefs>
</ds:datastoreItem>
</file>

<file path=customXml/itemProps6.xml><?xml version="1.0" encoding="utf-8"?>
<ds:datastoreItem xmlns:ds="http://schemas.openxmlformats.org/officeDocument/2006/customXml" ds:itemID="{D8F2A99B-DA7E-497B-85F5-3211293C8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2187</Words>
  <Characters>12470</Characters>
  <Application>Microsoft Office Word</Application>
  <DocSecurity>0</DocSecurity>
  <Lines>103</Lines>
  <Paragraphs>29</Paragraphs>
  <ScaleCrop>false</ScaleCrop>
  <Company/>
  <LinksUpToDate>false</LinksUpToDate>
  <CharactersWithSpaces>14628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Dmitry Petrov</cp:lastModifiedBy>
  <cp:revision>3</cp:revision>
  <dcterms:created xsi:type="dcterms:W3CDTF">2021-05-11T16:40:00Z</dcterms:created>
  <dcterms:modified xsi:type="dcterms:W3CDTF">2021-05-11T19:56:00Z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08c5cd78-8965-42b1-b2b6-cecf561f07cc</vt:lpwstr>
  </property>
</Properties>
</file>