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E9F7" w14:textId="51C253FF"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725B3F">
        <w:rPr>
          <w:rFonts w:ascii="Arial" w:hAnsi="Arial" w:cs="Arial"/>
          <w:b/>
          <w:sz w:val="24"/>
          <w:szCs w:val="24"/>
        </w:rPr>
        <w:t>9</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w:t>
      </w:r>
      <w:r w:rsidR="00003920" w:rsidRPr="00003920">
        <w:t xml:space="preserve"> </w:t>
      </w:r>
      <w:r w:rsidR="00264497" w:rsidRPr="00264497">
        <w:rPr>
          <w:rFonts w:ascii="Arial" w:hAnsi="Arial" w:cs="Arial"/>
          <w:b/>
          <w:sz w:val="24"/>
          <w:szCs w:val="24"/>
        </w:rPr>
        <w:t>2110992</w:t>
      </w:r>
      <w:bookmarkStart w:id="2" w:name="_GoBack"/>
      <w:bookmarkEnd w:id="2"/>
    </w:p>
    <w:p w14:paraId="7AE97920" w14:textId="77777777"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ED002C">
        <w:rPr>
          <w:rFonts w:eastAsia="SimSun"/>
          <w:b/>
          <w:sz w:val="24"/>
          <w:szCs w:val="24"/>
          <w:lang w:eastAsia="zh-CN"/>
        </w:rPr>
        <w:t>19</w:t>
      </w:r>
      <w:r w:rsidR="00754436">
        <w:rPr>
          <w:rFonts w:eastAsia="SimSun"/>
          <w:b/>
          <w:sz w:val="24"/>
          <w:szCs w:val="24"/>
          <w:lang w:eastAsia="zh-CN"/>
        </w:rPr>
        <w:t xml:space="preserve"> </w:t>
      </w:r>
      <w:r w:rsidR="00ED002C">
        <w:rPr>
          <w:rFonts w:eastAsia="SimSun"/>
          <w:b/>
          <w:sz w:val="24"/>
          <w:szCs w:val="24"/>
          <w:lang w:eastAsia="zh-CN"/>
        </w:rPr>
        <w:t>May</w:t>
      </w:r>
      <w:r w:rsidR="00176C60">
        <w:rPr>
          <w:rFonts w:eastAsia="SimSun"/>
          <w:b/>
          <w:sz w:val="24"/>
          <w:szCs w:val="24"/>
          <w:lang w:eastAsia="zh-CN"/>
        </w:rPr>
        <w:t xml:space="preserve"> </w:t>
      </w:r>
      <w:r w:rsidR="0020365A">
        <w:rPr>
          <w:rFonts w:eastAsia="SimSun"/>
          <w:b/>
          <w:sz w:val="24"/>
          <w:szCs w:val="24"/>
          <w:lang w:eastAsia="zh-CN"/>
        </w:rPr>
        <w:t>- 2</w:t>
      </w:r>
      <w:r w:rsidR="00ED002C">
        <w:rPr>
          <w:rFonts w:eastAsia="SimSun"/>
          <w:b/>
          <w:sz w:val="24"/>
          <w:szCs w:val="24"/>
          <w:lang w:eastAsia="zh-CN"/>
        </w:rPr>
        <w:t>7</w:t>
      </w:r>
      <w:r w:rsidR="00EA2ABB" w:rsidRPr="00BF1228">
        <w:rPr>
          <w:rFonts w:eastAsia="SimSun"/>
          <w:b/>
          <w:sz w:val="24"/>
          <w:szCs w:val="24"/>
          <w:lang w:eastAsia="zh-CN"/>
        </w:rPr>
        <w:t xml:space="preserve"> </w:t>
      </w:r>
      <w:r w:rsidR="00ED002C">
        <w:rPr>
          <w:rFonts w:eastAsia="SimSun"/>
          <w:b/>
          <w:sz w:val="24"/>
          <w:szCs w:val="24"/>
          <w:lang w:eastAsia="zh-CN"/>
        </w:rPr>
        <w:t>May</w:t>
      </w:r>
      <w:r w:rsidRPr="00554399">
        <w:rPr>
          <w:rFonts w:eastAsia="SimSun"/>
          <w:b/>
          <w:sz w:val="24"/>
          <w:szCs w:val="24"/>
          <w:lang w:eastAsia="zh-CN"/>
        </w:rPr>
        <w:t>, 202</w:t>
      </w:r>
      <w:r w:rsidR="00754436">
        <w:rPr>
          <w:rFonts w:eastAsia="SimSun"/>
          <w:b/>
          <w:sz w:val="24"/>
          <w:szCs w:val="24"/>
          <w:lang w:eastAsia="zh-CN"/>
        </w:rPr>
        <w:t>1</w:t>
      </w:r>
    </w:p>
    <w:p w14:paraId="69D8BD01" w14:textId="77777777" w:rsidR="00D511F6" w:rsidRPr="008A5A8D" w:rsidRDefault="00D511F6" w:rsidP="00D01F9A">
      <w:pPr>
        <w:tabs>
          <w:tab w:val="left" w:pos="2820"/>
        </w:tabs>
        <w:spacing w:after="120"/>
        <w:rPr>
          <w:rFonts w:ascii="Arial" w:hAnsi="Arial" w:cs="Arial"/>
          <w:b/>
          <w:lang w:val="en-US" w:eastAsia="ko-KR"/>
        </w:rPr>
      </w:pPr>
    </w:p>
    <w:p w14:paraId="3AD7BD49" w14:textId="77777777"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14:paraId="01855EE8" w14:textId="56845716"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45587E">
        <w:rPr>
          <w:rFonts w:ascii="Arial" w:hAnsi="Arial" w:cs="Arial"/>
          <w:lang w:val="en-US"/>
        </w:rPr>
        <w:t xml:space="preserve">Discussion </w:t>
      </w:r>
      <w:r w:rsidR="0020365A">
        <w:rPr>
          <w:rFonts w:ascii="Arial" w:hAnsi="Arial" w:cs="Arial"/>
          <w:lang w:val="en-US"/>
        </w:rPr>
        <w:t xml:space="preserve">maximum bandwidth for NR </w:t>
      </w:r>
      <w:r w:rsidR="0020365A" w:rsidRPr="0020365A">
        <w:rPr>
          <w:rFonts w:ascii="Arial" w:hAnsi="Arial" w:cs="Arial"/>
          <w:lang w:val="en-US"/>
        </w:rPr>
        <w:t>52.6 to 71 GHz</w:t>
      </w:r>
    </w:p>
    <w:p w14:paraId="7496A566" w14:textId="39BDDE9E"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41462B" w:rsidRPr="0041462B">
        <w:rPr>
          <w:rFonts w:ascii="Arial" w:hAnsi="Arial" w:cs="Arial"/>
          <w:lang w:val="en-US"/>
        </w:rPr>
        <w:t>9.15.3</w:t>
      </w:r>
      <w:r w:rsidR="0041462B" w:rsidRPr="0041462B">
        <w:rPr>
          <w:rFonts w:ascii="Arial" w:hAnsi="Arial" w:cs="Arial"/>
          <w:lang w:val="en-US"/>
        </w:rPr>
        <w:tab/>
        <w:t>System parameters (numerologies, rasters, CBW, etc)</w:t>
      </w:r>
    </w:p>
    <w:p w14:paraId="52541FF5" w14:textId="77777777"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sidRPr="0076311E">
        <w:rPr>
          <w:rFonts w:ascii="Arial" w:hAnsi="Arial" w:cs="Arial"/>
          <w:lang w:val="en-US"/>
        </w:rPr>
        <w:t>Discussion</w:t>
      </w:r>
    </w:p>
    <w:p w14:paraId="005AE096" w14:textId="77777777" w:rsidR="002B6B5E" w:rsidRPr="008A5A8D" w:rsidRDefault="002B6B5E" w:rsidP="002B6B5E">
      <w:pPr>
        <w:pBdr>
          <w:bottom w:val="single" w:sz="4" w:space="1" w:color="auto"/>
        </w:pBdr>
        <w:rPr>
          <w:rFonts w:ascii="Arial" w:hAnsi="Arial" w:cs="Arial"/>
          <w:lang w:val="en-US"/>
        </w:rPr>
      </w:pPr>
    </w:p>
    <w:p w14:paraId="39668128" w14:textId="77777777" w:rsidR="00F60300" w:rsidRPr="008A5A8D" w:rsidRDefault="00F60300" w:rsidP="00F60300">
      <w:pPr>
        <w:tabs>
          <w:tab w:val="left" w:pos="1530"/>
        </w:tabs>
        <w:ind w:right="936"/>
        <w:rPr>
          <w:color w:val="000000"/>
          <w:lang w:val="en-US" w:eastAsia="zh-CN"/>
        </w:rPr>
      </w:pPr>
    </w:p>
    <w:p w14:paraId="2C75AAE2" w14:textId="77777777" w:rsidR="00F60300" w:rsidRDefault="00F60300" w:rsidP="00F60300">
      <w:pPr>
        <w:pStyle w:val="Heading1"/>
        <w:rPr>
          <w:lang w:val="en-US"/>
        </w:rPr>
      </w:pPr>
      <w:bookmarkStart w:id="3" w:name="_Ref124589705"/>
      <w:bookmarkStart w:id="4" w:name="_Ref129681862"/>
      <w:r w:rsidRPr="008A5A8D">
        <w:rPr>
          <w:lang w:val="en-US"/>
        </w:rPr>
        <w:t>Introduction</w:t>
      </w:r>
      <w:bookmarkEnd w:id="3"/>
      <w:bookmarkEnd w:id="4"/>
    </w:p>
    <w:p w14:paraId="05AE15F2" w14:textId="31B4AF8F" w:rsidR="00312FE7" w:rsidRDefault="00312FE7" w:rsidP="00622F33">
      <w:pPr>
        <w:pStyle w:val="BodyText"/>
        <w:rPr>
          <w:lang w:val="en-US"/>
        </w:rPr>
      </w:pPr>
      <w:r>
        <w:rPr>
          <w:lang w:val="en-US"/>
        </w:rPr>
        <w:t xml:space="preserve">RAN4 discussed system parameters and numerologies for the </w:t>
      </w:r>
      <w:r w:rsidRPr="00622F33">
        <w:rPr>
          <w:lang w:val="en-US"/>
        </w:rPr>
        <w:t>52.6 to 71 GHz</w:t>
      </w:r>
      <w:r>
        <w:rPr>
          <w:lang w:val="en-US"/>
        </w:rPr>
        <w:t xml:space="preserve"> frequency range and this contribution further discusses the open points of the way forward in [</w:t>
      </w:r>
      <w:r w:rsidR="00284776">
        <w:rPr>
          <w:lang w:val="en-US"/>
        </w:rPr>
        <w:t>1</w:t>
      </w:r>
      <w:r>
        <w:rPr>
          <w:lang w:val="en-US"/>
        </w:rPr>
        <w:t xml:space="preserve">], like </w:t>
      </w:r>
      <w:r w:rsidR="00284776">
        <w:rPr>
          <w:lang w:val="en-US"/>
        </w:rPr>
        <w:t>maximum channel bandwidth and</w:t>
      </w:r>
      <w:r w:rsidR="009418A7">
        <w:rPr>
          <w:lang w:val="en-US"/>
        </w:rPr>
        <w:t xml:space="preserve"> spectrum </w:t>
      </w:r>
      <w:r w:rsidR="00284776">
        <w:rPr>
          <w:lang w:val="en-US"/>
        </w:rPr>
        <w:t>utilization.</w:t>
      </w:r>
    </w:p>
    <w:p w14:paraId="650CF987" w14:textId="77777777" w:rsidR="003842F7" w:rsidRDefault="003842F7" w:rsidP="003842F7">
      <w:pPr>
        <w:pStyle w:val="Heading1"/>
        <w:rPr>
          <w:rFonts w:eastAsia="Batang"/>
          <w:color w:val="000000"/>
          <w:kern w:val="2"/>
          <w:lang w:val="en-US" w:eastAsia="ko-KR"/>
        </w:rPr>
      </w:pPr>
      <w:r w:rsidRPr="008A5A8D">
        <w:rPr>
          <w:rFonts w:eastAsia="Batang" w:hint="eastAsia"/>
          <w:color w:val="000000"/>
          <w:kern w:val="2"/>
          <w:lang w:val="en-US" w:eastAsia="ko-KR"/>
        </w:rPr>
        <w:t>Discussion</w:t>
      </w:r>
    </w:p>
    <w:p w14:paraId="7BBFC56E" w14:textId="0BE8E108" w:rsidR="00284776" w:rsidRDefault="00284776" w:rsidP="00064B39">
      <w:pPr>
        <w:pStyle w:val="BodyText"/>
        <w:rPr>
          <w:lang w:val="en-US" w:eastAsia="ko-KR"/>
        </w:rPr>
      </w:pPr>
      <w:r>
        <w:rPr>
          <w:lang w:val="en-US" w:eastAsia="ko-KR"/>
        </w:rPr>
        <w:t>In [1] RAN4 agreed the minimum and maximum channel bandwidth for 480kHz and 960kHz SCS. For 960kHz following options were to be considered.</w:t>
      </w:r>
    </w:p>
    <w:p w14:paraId="2B2DAFAB" w14:textId="77777777" w:rsidR="00B20057" w:rsidRPr="00284776" w:rsidRDefault="00414537" w:rsidP="00284776">
      <w:pPr>
        <w:pStyle w:val="BodyText"/>
        <w:numPr>
          <w:ilvl w:val="0"/>
          <w:numId w:val="22"/>
        </w:numPr>
        <w:rPr>
          <w:lang w:val="en-US" w:eastAsia="ko-KR"/>
        </w:rPr>
      </w:pPr>
      <w:r w:rsidRPr="00284776">
        <w:rPr>
          <w:lang w:val="en-US" w:eastAsia="ko-KR"/>
        </w:rPr>
        <w:t>2000MHz for both licensed and unlicensed operations</w:t>
      </w:r>
    </w:p>
    <w:p w14:paraId="12B90BC4" w14:textId="77777777" w:rsidR="00B20057" w:rsidRPr="00284776" w:rsidRDefault="00414537" w:rsidP="00284776">
      <w:pPr>
        <w:pStyle w:val="BodyText"/>
        <w:numPr>
          <w:ilvl w:val="0"/>
          <w:numId w:val="22"/>
        </w:numPr>
        <w:rPr>
          <w:lang w:val="en-US" w:eastAsia="ko-KR"/>
        </w:rPr>
      </w:pPr>
      <w:r w:rsidRPr="00284776">
        <w:rPr>
          <w:lang w:val="en-US" w:eastAsia="ko-KR"/>
        </w:rPr>
        <w:t>2160MHz as the max. bandwidth, also 2000MHz will be specified as a channel bandwidth, both licensed and unlicensed operations</w:t>
      </w:r>
    </w:p>
    <w:p w14:paraId="60050D1B" w14:textId="77777777" w:rsidR="00B20057" w:rsidRPr="00284776" w:rsidRDefault="00414537" w:rsidP="00284776">
      <w:pPr>
        <w:pStyle w:val="BodyText"/>
        <w:numPr>
          <w:ilvl w:val="0"/>
          <w:numId w:val="22"/>
        </w:numPr>
        <w:rPr>
          <w:lang w:val="en-US" w:eastAsia="ko-KR"/>
        </w:rPr>
      </w:pPr>
      <w:r w:rsidRPr="00284776">
        <w:rPr>
          <w:lang w:val="en-US" w:eastAsia="ko-KR"/>
        </w:rPr>
        <w:t>2160MHz for unlicensed operation and 2000MHz for licensed operation</w:t>
      </w:r>
    </w:p>
    <w:p w14:paraId="788D9581" w14:textId="6D9BD69B" w:rsidR="00284776" w:rsidRPr="00284776" w:rsidRDefault="00414537" w:rsidP="00284776">
      <w:pPr>
        <w:pStyle w:val="BodyText"/>
        <w:numPr>
          <w:ilvl w:val="0"/>
          <w:numId w:val="22"/>
        </w:numPr>
        <w:rPr>
          <w:lang w:val="en-US" w:eastAsia="ko-KR"/>
        </w:rPr>
      </w:pPr>
      <w:r w:rsidRPr="00284776">
        <w:rPr>
          <w:lang w:val="en-US" w:eastAsia="ko-KR"/>
        </w:rPr>
        <w:t>Make a decision for unlicensed operation and FFS for licensed operation</w:t>
      </w:r>
    </w:p>
    <w:p w14:paraId="000DA795" w14:textId="77777777" w:rsidR="00284776" w:rsidRPr="00064B39" w:rsidRDefault="00284776" w:rsidP="00064B39">
      <w:pPr>
        <w:pStyle w:val="BodyText"/>
        <w:rPr>
          <w:lang w:val="en-US" w:eastAsia="ko-KR"/>
        </w:rPr>
      </w:pPr>
    </w:p>
    <w:p w14:paraId="56982C27" w14:textId="77777777" w:rsidR="0013713E" w:rsidRDefault="0013713E" w:rsidP="0013713E">
      <w:pPr>
        <w:pStyle w:val="BodyText"/>
        <w:rPr>
          <w:lang w:val="en-US" w:eastAsia="ko-KR"/>
        </w:rPr>
      </w:pPr>
      <w:r>
        <w:rPr>
          <w:lang w:val="en-US" w:eastAsia="ko-KR"/>
        </w:rPr>
        <w:t>When thinking of the maximum bandwidth it is necessary to take following items into account</w:t>
      </w:r>
    </w:p>
    <w:p w14:paraId="26E2C0E4" w14:textId="77777777" w:rsidR="0013713E" w:rsidRDefault="0013713E" w:rsidP="0013713E">
      <w:pPr>
        <w:pStyle w:val="BodyText"/>
        <w:numPr>
          <w:ilvl w:val="0"/>
          <w:numId w:val="17"/>
        </w:numPr>
        <w:rPr>
          <w:lang w:val="en-US" w:eastAsia="ko-KR"/>
        </w:rPr>
      </w:pPr>
      <w:r>
        <w:rPr>
          <w:lang w:val="en-US" w:eastAsia="ko-KR"/>
        </w:rPr>
        <w:t>Existing numerology</w:t>
      </w:r>
      <w:r w:rsidR="00E07C1E">
        <w:rPr>
          <w:lang w:val="en-US" w:eastAsia="ko-KR"/>
        </w:rPr>
        <w:t xml:space="preserve"> (T</w:t>
      </w:r>
      <w:r w:rsidR="00E07C1E">
        <w:rPr>
          <w:vertAlign w:val="subscript"/>
          <w:lang w:val="en-US" w:eastAsia="ko-KR"/>
        </w:rPr>
        <w:t>C</w:t>
      </w:r>
      <w:r w:rsidR="00E07C1E">
        <w:rPr>
          <w:lang w:val="en-US" w:eastAsia="ko-KR"/>
        </w:rPr>
        <w:t>)</w:t>
      </w:r>
    </w:p>
    <w:p w14:paraId="640EB3CE" w14:textId="77777777" w:rsidR="0013713E" w:rsidRDefault="0013713E" w:rsidP="0013713E">
      <w:pPr>
        <w:pStyle w:val="BodyText"/>
        <w:numPr>
          <w:ilvl w:val="0"/>
          <w:numId w:val="17"/>
        </w:numPr>
        <w:rPr>
          <w:lang w:val="en-US" w:eastAsia="ko-KR"/>
        </w:rPr>
      </w:pPr>
      <w:r>
        <w:rPr>
          <w:lang w:val="en-US" w:eastAsia="ko-KR"/>
        </w:rPr>
        <w:t>Emission mask requirements (regulation)</w:t>
      </w:r>
    </w:p>
    <w:p w14:paraId="2314E2E5" w14:textId="77777777" w:rsidR="0013713E" w:rsidRDefault="0013713E" w:rsidP="0013713E">
      <w:pPr>
        <w:pStyle w:val="BodyText"/>
        <w:numPr>
          <w:ilvl w:val="0"/>
          <w:numId w:val="17"/>
        </w:numPr>
        <w:rPr>
          <w:lang w:val="en-US" w:eastAsia="ko-KR"/>
        </w:rPr>
      </w:pPr>
      <w:r>
        <w:rPr>
          <w:lang w:val="en-US" w:eastAsia="ko-KR"/>
        </w:rPr>
        <w:t>Spectrum utilization</w:t>
      </w:r>
    </w:p>
    <w:p w14:paraId="735124BC" w14:textId="77777777" w:rsidR="0013713E" w:rsidRDefault="0013713E" w:rsidP="0013713E">
      <w:pPr>
        <w:pStyle w:val="BodyText"/>
        <w:numPr>
          <w:ilvl w:val="0"/>
          <w:numId w:val="17"/>
        </w:numPr>
        <w:rPr>
          <w:lang w:val="en-US" w:eastAsia="ko-KR"/>
        </w:rPr>
      </w:pPr>
      <w:r>
        <w:rPr>
          <w:lang w:val="en-US" w:eastAsia="ko-KR"/>
        </w:rPr>
        <w:t>Co-existence with other systems operating on same frequency band</w:t>
      </w:r>
      <w:r w:rsidR="00135527">
        <w:rPr>
          <w:lang w:val="en-US" w:eastAsia="ko-KR"/>
        </w:rPr>
        <w:t>.</w:t>
      </w:r>
    </w:p>
    <w:p w14:paraId="0AFB2D52" w14:textId="77777777" w:rsidR="00135527" w:rsidRDefault="00135527" w:rsidP="00135527">
      <w:pPr>
        <w:pStyle w:val="BodyText"/>
        <w:rPr>
          <w:lang w:val="en-US" w:eastAsia="ko-KR"/>
        </w:rPr>
      </w:pPr>
    </w:p>
    <w:p w14:paraId="6106615A" w14:textId="77777777" w:rsidR="00135527" w:rsidRDefault="00135527" w:rsidP="00135527">
      <w:pPr>
        <w:pStyle w:val="BodyText"/>
      </w:pPr>
      <w:r>
        <w:rPr>
          <w:lang w:val="en-US" w:eastAsia="ko-KR"/>
        </w:rPr>
        <w:t xml:space="preserve">The </w:t>
      </w:r>
      <w:r w:rsidR="00E07C1E">
        <w:rPr>
          <w:lang w:val="en-US" w:eastAsia="ko-KR"/>
        </w:rPr>
        <w:t xml:space="preserve">maximum sampling rate of the NR system is currently limited to </w:t>
      </w:r>
      <w:r w:rsidR="00E07C1E" w:rsidRPr="00E07C1E">
        <w:rPr>
          <w:lang w:val="en-US" w:eastAsia="ko-KR"/>
        </w:rPr>
        <w:t>1966.08</w:t>
      </w:r>
      <w:r w:rsidR="00E07C1E">
        <w:rPr>
          <w:lang w:val="en-US" w:eastAsia="ko-KR"/>
        </w:rPr>
        <w:t xml:space="preserve">MHz due to 480kHz being used as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sidR="00E07C1E">
        <w:rPr>
          <w:lang w:val="en-US" w:eastAsia="ko-KR"/>
        </w:rPr>
        <w:t xml:space="preserve"> in 38.211. In case that this definition is not revised by RAN1 this </w:t>
      </w:r>
      <w:r w:rsidR="00E07C1E" w:rsidRPr="00196AA8">
        <w:rPr>
          <w:b/>
          <w:lang w:val="en-US" w:eastAsia="ko-KR"/>
        </w:rPr>
        <w:t>will limit the number of RBs that can be supported with 960kHz SCS to 170. 170RBs results into transmission that uses 2040 sub-carriers and occupies mathematically 1958.4MHz.</w:t>
      </w:r>
      <w:r w:rsidR="00E07C1E">
        <w:rPr>
          <w:lang w:val="en-US" w:eastAsia="ko-KR"/>
        </w:rPr>
        <w:t xml:space="preserve"> On the other hand, if value of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sidR="00E07C1E">
        <w:t xml:space="preserve"> is revised to a higher value (for example 960kHz), then significantly wider transmissions can </w:t>
      </w:r>
      <w:r w:rsidR="00E252B1">
        <w:t xml:space="preserve">also </w:t>
      </w:r>
      <w:r w:rsidR="00E07C1E">
        <w:t>be supported</w:t>
      </w:r>
      <w:r w:rsidR="00E252B1">
        <w:t xml:space="preserve">, but this is also possible with existing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sidR="00E252B1">
        <w:t xml:space="preserve"> </w:t>
      </w:r>
      <w:r w:rsidR="00191A0E">
        <w:t>by</w:t>
      </w:r>
      <w:r w:rsidR="00E252B1">
        <w:t xml:space="preserve"> using carrier aggregation </w:t>
      </w:r>
      <w:r w:rsidR="00E07C1E">
        <w:t>.</w:t>
      </w:r>
    </w:p>
    <w:p w14:paraId="4CD1AD3C" w14:textId="77777777" w:rsidR="00196AA8" w:rsidRDefault="00196AA8" w:rsidP="00135527">
      <w:pPr>
        <w:pStyle w:val="BodyText"/>
      </w:pPr>
      <w:r w:rsidRPr="00C167AF">
        <w:rPr>
          <w:b/>
        </w:rPr>
        <w:t>Observation:</w:t>
      </w:r>
      <w:r>
        <w:t xml:space="preserve"> Current RAN1 numerology </w:t>
      </w:r>
      <w:r w:rsidRPr="00196AA8">
        <w:t>limit</w:t>
      </w:r>
      <w:r>
        <w:t>s</w:t>
      </w:r>
      <w:r w:rsidRPr="00196AA8">
        <w:t xml:space="preserve"> the number of RBs that can be supported with 960kHz SCS to 170. 170RBs results into transmission that uses 2040 sub-carriers and occupies mathematically 1958.4MHz</w:t>
      </w:r>
      <w:r w:rsidR="00C167AF">
        <w:t xml:space="preserve"> (=transmission bandwidth)</w:t>
      </w:r>
      <w:r w:rsidRPr="00196AA8">
        <w:t>.</w:t>
      </w:r>
    </w:p>
    <w:p w14:paraId="22EFB416" w14:textId="21C243EE" w:rsidR="002C31C7" w:rsidRDefault="00293FF2" w:rsidP="00135527">
      <w:pPr>
        <w:pStyle w:val="BodyText"/>
      </w:pPr>
      <w:r>
        <w:t xml:space="preserve">Emission mask requirements in the </w:t>
      </w:r>
      <w:r w:rsidR="0097028C">
        <w:t>all</w:t>
      </w:r>
      <w:r>
        <w:t xml:space="preserve"> parts of the </w:t>
      </w:r>
      <w:r w:rsidR="0097028C">
        <w:t>52.6 to 71GHz frequency range</w:t>
      </w:r>
      <w:r>
        <w:t xml:space="preserve"> </w:t>
      </w:r>
      <w:r w:rsidR="00C43803">
        <w:t>are not fully known</w:t>
      </w:r>
      <w:r w:rsidR="0097028C">
        <w:t xml:space="preserve"> yet</w:t>
      </w:r>
      <w:r w:rsidR="00C43803">
        <w:t>, but when it comes to upper 14GHz o</w:t>
      </w:r>
      <w:r w:rsidR="0097028C">
        <w:t xml:space="preserve">f the band between 57 and 71GHz the </w:t>
      </w:r>
      <w:r w:rsidR="00C43803">
        <w:t>regulat</w:t>
      </w:r>
      <w:r w:rsidR="000D3FFD">
        <w:t>ion in Europe is already including SEM requirements</w:t>
      </w:r>
      <w:r w:rsidR="00522E09">
        <w:t xml:space="preserve"> [</w:t>
      </w:r>
      <w:r w:rsidR="003C0CA5">
        <w:t>2</w:t>
      </w:r>
      <w:r w:rsidR="00522E09">
        <w:t>]</w:t>
      </w:r>
      <w:r w:rsidR="000D3FFD">
        <w:t>.</w:t>
      </w:r>
      <w:r>
        <w:t xml:space="preserve"> </w:t>
      </w:r>
      <w:r w:rsidR="000D3FFD">
        <w:t xml:space="preserve">These </w:t>
      </w:r>
      <w:r w:rsidR="00545BC7">
        <w:t xml:space="preserve">requirements are different </w:t>
      </w:r>
      <w:r w:rsidR="00BE4A44">
        <w:t>from</w:t>
      </w:r>
      <w:r w:rsidR="00545BC7">
        <w:t xml:space="preserve"> FR2 SEM and ACLR requirements and</w:t>
      </w:r>
      <w:r w:rsidR="00BE4A44">
        <w:t xml:space="preserve"> while accurate co</w:t>
      </w:r>
      <w:r w:rsidR="00402990">
        <w:t>mparison of them is not straightforward due to different approach following remarks can be made:</w:t>
      </w:r>
      <w:r w:rsidR="00BE4A44">
        <w:t xml:space="preserve"> SEM in European regulation is more relaxed just outside of the own </w:t>
      </w:r>
      <w:r w:rsidR="00402990">
        <w:t>channel but overall emission requirements</w:t>
      </w:r>
      <w:r w:rsidR="00BE4A44">
        <w:t xml:space="preserve"> to adjacent channel</w:t>
      </w:r>
      <w:r w:rsidR="00402990">
        <w:t xml:space="preserve"> can be more stringent</w:t>
      </w:r>
      <w:r w:rsidR="00BE4A44">
        <w:t xml:space="preserve">. As the emission requirements just outside of the own channel are more relaxed than the existing FR2 requirement it should be possible to use similar spectrum utilization rates </w:t>
      </w:r>
      <w:r w:rsidR="00D50E02">
        <w:t>that are</w:t>
      </w:r>
      <w:r w:rsidR="00BE4A44">
        <w:t xml:space="preserve"> used in existing FR2 </w:t>
      </w:r>
      <w:r w:rsidR="00D50E02">
        <w:t>specifications</w:t>
      </w:r>
      <w:r w:rsidR="00BE4A44">
        <w:t>.</w:t>
      </w:r>
    </w:p>
    <w:p w14:paraId="60DC68F0" w14:textId="77777777" w:rsidR="00603D38" w:rsidRDefault="00D50E02" w:rsidP="00135527">
      <w:pPr>
        <w:pStyle w:val="BodyText"/>
        <w:rPr>
          <w:lang w:val="en-US" w:eastAsia="ko-KR"/>
        </w:rPr>
      </w:pPr>
      <w:r>
        <w:rPr>
          <w:lang w:val="en-US" w:eastAsia="ko-KR"/>
        </w:rPr>
        <w:t>Spectrum utilization in FR2 for different SCS is shown in table below</w:t>
      </w:r>
      <w:r w:rsidR="000169D1">
        <w:rPr>
          <w:lang w:val="en-US" w:eastAsia="ko-KR"/>
        </w:rPr>
        <w:t xml:space="preserve">, </w:t>
      </w:r>
      <w:r>
        <w:rPr>
          <w:lang w:val="en-US" w:eastAsia="ko-KR"/>
        </w:rPr>
        <w:t xml:space="preserve">which shows that SU= 95% is </w:t>
      </w:r>
      <w:r w:rsidR="000169D1">
        <w:rPr>
          <w:lang w:val="en-US" w:eastAsia="ko-KR"/>
        </w:rPr>
        <w:t xml:space="preserve">generally </w:t>
      </w:r>
      <w:r>
        <w:rPr>
          <w:lang w:val="en-US" w:eastAsia="ko-KR"/>
        </w:rPr>
        <w:t>used.</w:t>
      </w:r>
    </w:p>
    <w:p w14:paraId="2B828330" w14:textId="77777777" w:rsidR="003C0CA5" w:rsidRPr="0013713E" w:rsidRDefault="003C0CA5" w:rsidP="00135527">
      <w:pPr>
        <w:pStyle w:val="BodyText"/>
        <w:rPr>
          <w:lang w:val="en-US" w:eastAsia="ko-KR"/>
        </w:rPr>
      </w:pPr>
    </w:p>
    <w:p w14:paraId="02B29AD4" w14:textId="77777777" w:rsidR="00D50E02" w:rsidRDefault="00D50E02" w:rsidP="00D50E02">
      <w:pPr>
        <w:pStyle w:val="Caption"/>
        <w:keepNext/>
        <w:spacing w:after="60"/>
      </w:pPr>
      <w:r>
        <w:lastRenderedPageBreak/>
        <w:t xml:space="preserve">Table </w:t>
      </w:r>
      <w:r>
        <w:fldChar w:fldCharType="begin"/>
      </w:r>
      <w:r>
        <w:instrText xml:space="preserve"> SEQ Table \* ARABIC </w:instrText>
      </w:r>
      <w:r>
        <w:fldChar w:fldCharType="separate"/>
      </w:r>
      <w:r w:rsidR="00C167AF">
        <w:rPr>
          <w:noProof/>
        </w:rPr>
        <w:t>1</w:t>
      </w:r>
      <w:r>
        <w:fldChar w:fldCharType="end"/>
      </w:r>
      <w:r>
        <w:t xml:space="preserve">. </w:t>
      </w:r>
      <w:r w:rsidR="00603D38">
        <w:t>FR2 SU in 38.101-2</w:t>
      </w:r>
    </w:p>
    <w:tbl>
      <w:tblPr>
        <w:tblStyle w:val="TableGrid"/>
        <w:tblW w:w="0" w:type="auto"/>
        <w:tblCellMar>
          <w:top w:w="57" w:type="dxa"/>
          <w:bottom w:w="57" w:type="dxa"/>
        </w:tblCellMar>
        <w:tblLook w:val="04A0" w:firstRow="1" w:lastRow="0" w:firstColumn="1" w:lastColumn="0" w:noHBand="0" w:noVBand="1"/>
      </w:tblPr>
      <w:tblGrid>
        <w:gridCol w:w="2463"/>
        <w:gridCol w:w="2464"/>
        <w:gridCol w:w="2464"/>
      </w:tblGrid>
      <w:tr w:rsidR="003C0CA5" w:rsidRPr="00A32854" w14:paraId="56E0E68B" w14:textId="77777777" w:rsidTr="00FD1A21">
        <w:tc>
          <w:tcPr>
            <w:tcW w:w="2463" w:type="dxa"/>
            <w:vAlign w:val="center"/>
          </w:tcPr>
          <w:p w14:paraId="18EA701D" w14:textId="77777777" w:rsidR="003C0CA5" w:rsidRPr="00A32854" w:rsidRDefault="003C0CA5" w:rsidP="00FD1A21">
            <w:pPr>
              <w:pStyle w:val="BodyText"/>
              <w:spacing w:after="0"/>
              <w:rPr>
                <w:b/>
                <w:lang w:val="en-US"/>
              </w:rPr>
            </w:pPr>
          </w:p>
        </w:tc>
        <w:tc>
          <w:tcPr>
            <w:tcW w:w="2464" w:type="dxa"/>
            <w:vAlign w:val="center"/>
          </w:tcPr>
          <w:p w14:paraId="74DBCBBF" w14:textId="77777777" w:rsidR="003C0CA5" w:rsidRPr="00A32854" w:rsidRDefault="003C0CA5" w:rsidP="00FD1A21">
            <w:pPr>
              <w:pStyle w:val="BodyText"/>
              <w:spacing w:after="0"/>
              <w:rPr>
                <w:b/>
                <w:lang w:val="en-US"/>
              </w:rPr>
            </w:pPr>
            <w:r>
              <w:rPr>
                <w:b/>
                <w:lang w:val="en-US"/>
              </w:rPr>
              <w:t>200MHz</w:t>
            </w:r>
          </w:p>
        </w:tc>
        <w:tc>
          <w:tcPr>
            <w:tcW w:w="2464" w:type="dxa"/>
            <w:vAlign w:val="center"/>
          </w:tcPr>
          <w:p w14:paraId="2F244C9C" w14:textId="77777777" w:rsidR="003C0CA5" w:rsidRPr="00A32854" w:rsidRDefault="003C0CA5" w:rsidP="00FD1A21">
            <w:pPr>
              <w:pStyle w:val="BodyText"/>
              <w:spacing w:after="0"/>
              <w:rPr>
                <w:b/>
                <w:lang w:val="en-US"/>
              </w:rPr>
            </w:pPr>
            <w:r>
              <w:rPr>
                <w:b/>
                <w:lang w:val="en-US"/>
              </w:rPr>
              <w:t>400MHz</w:t>
            </w:r>
          </w:p>
        </w:tc>
      </w:tr>
      <w:tr w:rsidR="003C0CA5" w14:paraId="07FF2B8E" w14:textId="77777777" w:rsidTr="00FD1A21">
        <w:tc>
          <w:tcPr>
            <w:tcW w:w="2463" w:type="dxa"/>
            <w:vAlign w:val="center"/>
          </w:tcPr>
          <w:p w14:paraId="0CF945C8" w14:textId="77777777" w:rsidR="003C0CA5" w:rsidRDefault="003C0CA5" w:rsidP="00FD1A21">
            <w:pPr>
              <w:pStyle w:val="BodyText"/>
              <w:spacing w:after="0"/>
              <w:rPr>
                <w:lang w:val="en-US"/>
              </w:rPr>
            </w:pPr>
            <w:r>
              <w:rPr>
                <w:lang w:val="en-US"/>
              </w:rPr>
              <w:t>60kHz SCS</w:t>
            </w:r>
          </w:p>
        </w:tc>
        <w:tc>
          <w:tcPr>
            <w:tcW w:w="2464" w:type="dxa"/>
            <w:vAlign w:val="center"/>
          </w:tcPr>
          <w:p w14:paraId="51F6B09E" w14:textId="77777777" w:rsidR="003C0CA5" w:rsidRDefault="003C0CA5" w:rsidP="00FD1A21">
            <w:pPr>
              <w:pStyle w:val="BodyText"/>
              <w:spacing w:after="0"/>
              <w:rPr>
                <w:lang w:val="en-US"/>
              </w:rPr>
            </w:pPr>
            <w:r>
              <w:rPr>
                <w:lang w:val="en-US"/>
              </w:rPr>
              <w:t>95% (264RBs)</w:t>
            </w:r>
          </w:p>
        </w:tc>
        <w:tc>
          <w:tcPr>
            <w:tcW w:w="2464" w:type="dxa"/>
            <w:vAlign w:val="center"/>
          </w:tcPr>
          <w:p w14:paraId="7FE2889E" w14:textId="77777777" w:rsidR="003C0CA5" w:rsidRDefault="003C0CA5" w:rsidP="00FD1A21">
            <w:pPr>
              <w:pStyle w:val="BodyText"/>
              <w:spacing w:after="0"/>
              <w:rPr>
                <w:lang w:val="en-US"/>
              </w:rPr>
            </w:pPr>
            <w:r>
              <w:rPr>
                <w:lang w:val="en-US"/>
              </w:rPr>
              <w:t>n.a.</w:t>
            </w:r>
          </w:p>
        </w:tc>
      </w:tr>
      <w:tr w:rsidR="003C0CA5" w14:paraId="34D10462" w14:textId="77777777" w:rsidTr="00FD1A21">
        <w:tc>
          <w:tcPr>
            <w:tcW w:w="2463" w:type="dxa"/>
            <w:vAlign w:val="center"/>
          </w:tcPr>
          <w:p w14:paraId="6336A693" w14:textId="77777777" w:rsidR="003C0CA5" w:rsidRDefault="003C0CA5" w:rsidP="00FD1A21">
            <w:pPr>
              <w:pStyle w:val="BodyText"/>
              <w:spacing w:after="0"/>
              <w:rPr>
                <w:lang w:val="en-US"/>
              </w:rPr>
            </w:pPr>
            <w:r>
              <w:rPr>
                <w:lang w:val="en-US"/>
              </w:rPr>
              <w:t>120kHz SCS</w:t>
            </w:r>
          </w:p>
        </w:tc>
        <w:tc>
          <w:tcPr>
            <w:tcW w:w="2464" w:type="dxa"/>
            <w:vAlign w:val="center"/>
          </w:tcPr>
          <w:p w14:paraId="42A133E3" w14:textId="77777777" w:rsidR="003C0CA5" w:rsidRDefault="003C0CA5" w:rsidP="00FD1A21">
            <w:pPr>
              <w:pStyle w:val="BodyText"/>
              <w:spacing w:after="0"/>
              <w:rPr>
                <w:lang w:val="en-US"/>
              </w:rPr>
            </w:pPr>
            <w:r>
              <w:rPr>
                <w:lang w:val="en-US"/>
              </w:rPr>
              <w:t>95% (132RBs)</w:t>
            </w:r>
          </w:p>
        </w:tc>
        <w:tc>
          <w:tcPr>
            <w:tcW w:w="2464" w:type="dxa"/>
            <w:vAlign w:val="center"/>
          </w:tcPr>
          <w:p w14:paraId="3D50672D" w14:textId="77777777" w:rsidR="003C0CA5" w:rsidRDefault="003C0CA5" w:rsidP="00FD1A21">
            <w:pPr>
              <w:pStyle w:val="BodyText"/>
              <w:spacing w:after="0"/>
              <w:rPr>
                <w:lang w:val="en-US"/>
              </w:rPr>
            </w:pPr>
            <w:r>
              <w:rPr>
                <w:lang w:val="en-US"/>
              </w:rPr>
              <w:t>95% (264RBs)</w:t>
            </w:r>
          </w:p>
        </w:tc>
      </w:tr>
    </w:tbl>
    <w:p w14:paraId="51A1FB31" w14:textId="77777777" w:rsidR="00A32854" w:rsidRDefault="00A32854" w:rsidP="00622F33">
      <w:pPr>
        <w:pStyle w:val="BodyText"/>
        <w:rPr>
          <w:lang w:val="en-US"/>
        </w:rPr>
      </w:pPr>
    </w:p>
    <w:p w14:paraId="4E2E6D9A" w14:textId="77777777" w:rsidR="00D50E02" w:rsidRDefault="00D50E02" w:rsidP="00622F33">
      <w:pPr>
        <w:pStyle w:val="BodyText"/>
        <w:rPr>
          <w:lang w:val="en-US"/>
        </w:rPr>
      </w:pPr>
      <w:r>
        <w:rPr>
          <w:lang w:val="en-US"/>
        </w:rPr>
        <w:t>The un</w:t>
      </w:r>
      <w:r w:rsidR="00402990">
        <w:rPr>
          <w:lang w:val="en-US"/>
        </w:rPr>
        <w:t>-</w:t>
      </w:r>
      <w:r>
        <w:rPr>
          <w:lang w:val="en-US"/>
        </w:rPr>
        <w:t xml:space="preserve">licensed part of the band, </w:t>
      </w:r>
      <w:r>
        <w:t xml:space="preserve">57 and 71GHz, will be used also by other systems. </w:t>
      </w:r>
      <w:r w:rsidR="00402990">
        <w:t>Examples</w:t>
      </w:r>
      <w:r>
        <w:t xml:space="preserve"> of </w:t>
      </w:r>
      <w:r w:rsidR="00402990">
        <w:t>such are</w:t>
      </w:r>
      <w:r>
        <w:t xml:space="preserve"> 802.11ad and 802.11ay radios that operate these frequencies with 2160MHz and </w:t>
      </w:r>
      <w:r w:rsidR="00402990">
        <w:t>4320</w:t>
      </w:r>
      <w:r>
        <w:t xml:space="preserve">MHz wide channels. </w:t>
      </w:r>
      <w:r w:rsidR="002A3681">
        <w:t xml:space="preserve">Although it is not mandatory to align the channels and channel bandwidths with other radios operating in the same frequency range the earlier co-existence studies done show that such arrangement results in improved co-existence between the systems. Although these studies are not addressing the 57 </w:t>
      </w:r>
      <w:r w:rsidR="002A3681" w:rsidRPr="00622F33">
        <w:rPr>
          <w:lang w:val="en-US"/>
        </w:rPr>
        <w:t>to 71 GHz</w:t>
      </w:r>
      <w:r w:rsidR="002A3681">
        <w:rPr>
          <w:lang w:val="en-US"/>
        </w:rPr>
        <w:t xml:space="preserve"> frequency range, where propagation conditions and the way the systems are operated are different than on lower frequency bands it may still be beneficial to follow the same principles at least within the un-licensed part of the 52.6 to 71GHz frequency range.</w:t>
      </w:r>
    </w:p>
    <w:p w14:paraId="662F8EE0" w14:textId="77777777" w:rsidR="00402990" w:rsidRDefault="00132EFF" w:rsidP="00402990">
      <w:pPr>
        <w:pStyle w:val="BodyText"/>
        <w:rPr>
          <w:lang w:val="en-US"/>
        </w:rPr>
      </w:pPr>
      <w:r>
        <w:rPr>
          <w:lang w:val="en-US"/>
        </w:rPr>
        <w:t xml:space="preserve">Considering the above mentioned four items we see </w:t>
      </w:r>
      <w:r w:rsidR="00402990">
        <w:rPr>
          <w:lang w:val="en-US"/>
        </w:rPr>
        <w:t>three</w:t>
      </w:r>
      <w:r>
        <w:rPr>
          <w:lang w:val="en-US"/>
        </w:rPr>
        <w:t xml:space="preserve"> ways forward with maximum channel BW for 960kHz SCS. F</w:t>
      </w:r>
      <w:r w:rsidR="00824FC3">
        <w:rPr>
          <w:lang w:val="en-US"/>
        </w:rPr>
        <w:t xml:space="preserve">irst two options assume that </w:t>
      </w:r>
      <w:r>
        <w:rPr>
          <w:lang w:val="en-US"/>
        </w:rPr>
        <w:t xml:space="preserve">no changes to existing RAN1 specifications </w:t>
      </w:r>
      <w:r w:rsidR="00824FC3">
        <w:rPr>
          <w:lang w:val="en-US"/>
        </w:rPr>
        <w:t>will be</w:t>
      </w:r>
      <w:r>
        <w:rPr>
          <w:lang w:val="en-US"/>
        </w:rPr>
        <w:t xml:space="preserve"> done and the </w:t>
      </w:r>
      <w:r w:rsidR="00824FC3">
        <w:rPr>
          <w:lang w:val="en-US"/>
        </w:rPr>
        <w:t>third</w:t>
      </w:r>
      <w:r>
        <w:rPr>
          <w:lang w:val="en-US"/>
        </w:rPr>
        <w:t xml:space="preserve"> one assumes that maximum sampling rate </w:t>
      </w:r>
      <w:r w:rsidR="00824FC3">
        <w:rPr>
          <w:lang w:val="en-US"/>
        </w:rPr>
        <w:t xml:space="preserve">is doubled. </w:t>
      </w:r>
    </w:p>
    <w:p w14:paraId="498910B9" w14:textId="77777777" w:rsidR="00132EFF" w:rsidRDefault="00132EFF" w:rsidP="00402990">
      <w:pPr>
        <w:pStyle w:val="BodyText"/>
        <w:numPr>
          <w:ilvl w:val="0"/>
          <w:numId w:val="18"/>
        </w:numPr>
        <w:rPr>
          <w:lang w:val="en-US"/>
        </w:rPr>
      </w:pPr>
      <w:r>
        <w:rPr>
          <w:lang w:val="en-US"/>
        </w:rPr>
        <w:t>Fs,max= 1966.08MHz, 170RBs, BW,max= 2160, SU= 90.7%</w:t>
      </w:r>
      <w:r w:rsidR="00402990">
        <w:rPr>
          <w:lang w:val="en-US"/>
        </w:rPr>
        <w:t xml:space="preserve"> (channel bandwidth aligned with 802.11)</w:t>
      </w:r>
    </w:p>
    <w:p w14:paraId="2A5371E2" w14:textId="77777777" w:rsidR="00402990" w:rsidRDefault="00402990" w:rsidP="00402990">
      <w:pPr>
        <w:pStyle w:val="BodyText"/>
        <w:numPr>
          <w:ilvl w:val="0"/>
          <w:numId w:val="18"/>
        </w:numPr>
        <w:rPr>
          <w:lang w:val="en-US"/>
        </w:rPr>
      </w:pPr>
      <w:r>
        <w:rPr>
          <w:lang w:val="en-US"/>
        </w:rPr>
        <w:t xml:space="preserve">Fs,max= 1966.08MHz, </w:t>
      </w:r>
      <w:r w:rsidR="00824FC3">
        <w:rPr>
          <w:lang w:val="en-US"/>
        </w:rPr>
        <w:t>166</w:t>
      </w:r>
      <w:r>
        <w:rPr>
          <w:lang w:val="en-US"/>
        </w:rPr>
        <w:t>RBs, BW,max= 2000, SU= 9</w:t>
      </w:r>
      <w:r w:rsidR="00824FC3">
        <w:rPr>
          <w:lang w:val="en-US"/>
        </w:rPr>
        <w:t>5.6</w:t>
      </w:r>
      <w:r>
        <w:rPr>
          <w:lang w:val="en-US"/>
        </w:rPr>
        <w:t>%</w:t>
      </w:r>
    </w:p>
    <w:p w14:paraId="5E44BB6C" w14:textId="77777777" w:rsidR="00132EFF" w:rsidRDefault="00132EFF" w:rsidP="00132EFF">
      <w:pPr>
        <w:pStyle w:val="BodyText"/>
        <w:numPr>
          <w:ilvl w:val="0"/>
          <w:numId w:val="18"/>
        </w:numPr>
        <w:rPr>
          <w:lang w:val="en-US"/>
        </w:rPr>
      </w:pPr>
      <w:r>
        <w:rPr>
          <w:lang w:val="en-US"/>
        </w:rPr>
        <w:t>Fs,max= 3932.16MHz, 180RBs, BW,max= 2160, SU= 96%</w:t>
      </w:r>
    </w:p>
    <w:p w14:paraId="0DD713A7" w14:textId="77777777" w:rsidR="00ED01E2" w:rsidRDefault="00ED01E2" w:rsidP="00ED01E2">
      <w:pPr>
        <w:pStyle w:val="BodyText"/>
        <w:rPr>
          <w:lang w:val="en-US"/>
        </w:rPr>
      </w:pPr>
    </w:p>
    <w:p w14:paraId="0F1992FC" w14:textId="3D7B981D" w:rsidR="00824FC3" w:rsidRDefault="00824FC3" w:rsidP="00824FC3">
      <w:pPr>
        <w:pStyle w:val="BodyText"/>
        <w:rPr>
          <w:lang w:val="en-US"/>
        </w:rPr>
      </w:pPr>
      <w:r>
        <w:rPr>
          <w:lang w:val="en-US"/>
        </w:rPr>
        <w:t xml:space="preserve">Out of these options we think that </w:t>
      </w:r>
      <w:r w:rsidR="00ED01E2">
        <w:rPr>
          <w:lang w:val="en-US"/>
        </w:rPr>
        <w:t>option 1 for un-licensed part of the frequency range and  option 2 for licensed operations</w:t>
      </w:r>
      <w:r w:rsidR="00A615E7">
        <w:rPr>
          <w:lang w:val="en-US"/>
        </w:rPr>
        <w:t xml:space="preserve"> are the bes</w:t>
      </w:r>
      <w:r w:rsidR="00ED01E2">
        <w:rPr>
          <w:lang w:val="en-US"/>
        </w:rPr>
        <w:t>t way</w:t>
      </w:r>
      <w:r w:rsidR="00A615E7">
        <w:rPr>
          <w:lang w:val="en-US"/>
        </w:rPr>
        <w:t xml:space="preserve"> forward as they </w:t>
      </w:r>
      <w:r w:rsidR="00ED01E2">
        <w:rPr>
          <w:lang w:val="en-US"/>
        </w:rPr>
        <w:t>are backwards compatible and will require smallest amount of specification changes, enable maximum reuse fo</w:t>
      </w:r>
      <w:r w:rsidR="008F3EBA">
        <w:rPr>
          <w:lang w:val="en-US"/>
        </w:rPr>
        <w:t>r existing solutions ensure good</w:t>
      </w:r>
      <w:r w:rsidR="00ED01E2">
        <w:rPr>
          <w:lang w:val="en-US"/>
        </w:rPr>
        <w:t xml:space="preserve"> co-existence and wider transmissions can still be supported by using carrier aggregation.</w:t>
      </w:r>
    </w:p>
    <w:p w14:paraId="6328928E" w14:textId="77777777" w:rsidR="00A615E7" w:rsidRPr="00ED01E2" w:rsidRDefault="00ED01E2" w:rsidP="00824FC3">
      <w:pPr>
        <w:pStyle w:val="BodyText"/>
        <w:rPr>
          <w:b/>
          <w:lang w:val="en-US"/>
        </w:rPr>
      </w:pPr>
      <w:r w:rsidRPr="00ED01E2">
        <w:rPr>
          <w:b/>
          <w:lang w:val="en-US"/>
        </w:rPr>
        <w:t>Proposal 1:</w:t>
      </w:r>
      <w:r w:rsidR="00064B39">
        <w:rPr>
          <w:b/>
          <w:lang w:val="en-US"/>
        </w:rPr>
        <w:t xml:space="preserve"> Maximum channel bandwidth</w:t>
      </w:r>
      <w:r w:rsidR="00C167AF">
        <w:rPr>
          <w:b/>
          <w:lang w:val="en-US"/>
        </w:rPr>
        <w:t xml:space="preserve"> and SU</w:t>
      </w:r>
      <w:r w:rsidR="00064B39">
        <w:rPr>
          <w:b/>
          <w:lang w:val="en-US"/>
        </w:rPr>
        <w:t xml:space="preserve"> for 960kHz SCS</w:t>
      </w:r>
    </w:p>
    <w:tbl>
      <w:tblPr>
        <w:tblStyle w:val="TableGrid"/>
        <w:tblW w:w="0" w:type="auto"/>
        <w:tblCellMar>
          <w:top w:w="57" w:type="dxa"/>
          <w:bottom w:w="57" w:type="dxa"/>
        </w:tblCellMar>
        <w:tblLook w:val="04A0" w:firstRow="1" w:lastRow="0" w:firstColumn="1" w:lastColumn="0" w:noHBand="0" w:noVBand="1"/>
      </w:tblPr>
      <w:tblGrid>
        <w:gridCol w:w="2463"/>
        <w:gridCol w:w="3628"/>
        <w:gridCol w:w="3685"/>
      </w:tblGrid>
      <w:tr w:rsidR="00ED01E2" w:rsidRPr="00A32854" w14:paraId="2313EAF1" w14:textId="77777777" w:rsidTr="00ED01E2">
        <w:tc>
          <w:tcPr>
            <w:tcW w:w="2463" w:type="dxa"/>
            <w:vAlign w:val="center"/>
          </w:tcPr>
          <w:p w14:paraId="268B3697" w14:textId="77777777" w:rsidR="00ED01E2" w:rsidRPr="00A32854" w:rsidRDefault="00ED01E2" w:rsidP="00FD1A21">
            <w:pPr>
              <w:pStyle w:val="BodyText"/>
              <w:spacing w:after="0"/>
              <w:rPr>
                <w:b/>
                <w:lang w:val="en-US"/>
              </w:rPr>
            </w:pPr>
          </w:p>
        </w:tc>
        <w:tc>
          <w:tcPr>
            <w:tcW w:w="3628" w:type="dxa"/>
            <w:vAlign w:val="center"/>
          </w:tcPr>
          <w:p w14:paraId="45BA1300" w14:textId="77777777" w:rsidR="00ED01E2" w:rsidRPr="00A32854" w:rsidRDefault="00ED01E2" w:rsidP="00FD1A21">
            <w:pPr>
              <w:pStyle w:val="BodyText"/>
              <w:spacing w:after="0"/>
              <w:rPr>
                <w:b/>
                <w:lang w:val="en-US"/>
              </w:rPr>
            </w:pPr>
            <w:r>
              <w:rPr>
                <w:b/>
                <w:lang w:val="en-US"/>
              </w:rPr>
              <w:t>Licensed operation in 52.6-71GHz range</w:t>
            </w:r>
          </w:p>
        </w:tc>
        <w:tc>
          <w:tcPr>
            <w:tcW w:w="3685" w:type="dxa"/>
            <w:vAlign w:val="center"/>
          </w:tcPr>
          <w:p w14:paraId="0E77C02B" w14:textId="77777777" w:rsidR="00ED01E2" w:rsidRPr="00A32854" w:rsidRDefault="00ED01E2" w:rsidP="00FD1A21">
            <w:pPr>
              <w:pStyle w:val="BodyText"/>
              <w:spacing w:after="0"/>
              <w:rPr>
                <w:b/>
                <w:lang w:val="en-US"/>
              </w:rPr>
            </w:pPr>
            <w:r>
              <w:rPr>
                <w:b/>
                <w:lang w:val="en-US"/>
              </w:rPr>
              <w:t>Un-licensed operation in 57-71GHz range</w:t>
            </w:r>
          </w:p>
        </w:tc>
      </w:tr>
      <w:tr w:rsidR="00ED01E2" w14:paraId="516105E4" w14:textId="77777777" w:rsidTr="00ED01E2">
        <w:tc>
          <w:tcPr>
            <w:tcW w:w="2463" w:type="dxa"/>
            <w:vAlign w:val="center"/>
          </w:tcPr>
          <w:p w14:paraId="4E28F7AA" w14:textId="77777777" w:rsidR="00ED01E2" w:rsidRDefault="00ED01E2" w:rsidP="00FD1A21">
            <w:pPr>
              <w:pStyle w:val="BodyText"/>
              <w:spacing w:after="0"/>
              <w:rPr>
                <w:lang w:val="en-US"/>
              </w:rPr>
            </w:pPr>
            <w:r>
              <w:rPr>
                <w:lang w:val="en-US"/>
              </w:rPr>
              <w:t>960kHz SCS</w:t>
            </w:r>
          </w:p>
        </w:tc>
        <w:tc>
          <w:tcPr>
            <w:tcW w:w="3628" w:type="dxa"/>
            <w:vAlign w:val="center"/>
          </w:tcPr>
          <w:p w14:paraId="14B225FA" w14:textId="1A4FA022" w:rsidR="00ED01E2" w:rsidRPr="0000733F" w:rsidRDefault="00ED01E2" w:rsidP="0000733F">
            <w:pPr>
              <w:pStyle w:val="BodyText"/>
              <w:spacing w:after="0"/>
              <w:rPr>
                <w:vertAlign w:val="superscript"/>
                <w:lang w:val="en-US"/>
              </w:rPr>
            </w:pPr>
            <w:r>
              <w:rPr>
                <w:lang w:val="en-US"/>
              </w:rPr>
              <w:t>2000MHz (166RBs, SU 95.6%)</w:t>
            </w:r>
          </w:p>
        </w:tc>
        <w:tc>
          <w:tcPr>
            <w:tcW w:w="3685" w:type="dxa"/>
            <w:vAlign w:val="center"/>
          </w:tcPr>
          <w:p w14:paraId="1167ACE8" w14:textId="77777777" w:rsidR="00ED01E2" w:rsidRDefault="00ED01E2" w:rsidP="00FD1A21">
            <w:pPr>
              <w:pStyle w:val="BodyText"/>
              <w:spacing w:after="0"/>
              <w:rPr>
                <w:lang w:val="en-US"/>
              </w:rPr>
            </w:pPr>
            <w:r>
              <w:rPr>
                <w:lang w:val="en-US"/>
              </w:rPr>
              <w:t>2160MHz (170RBs, SU 90.7%)</w:t>
            </w:r>
          </w:p>
        </w:tc>
      </w:tr>
    </w:tbl>
    <w:p w14:paraId="3AB89AFE" w14:textId="77777777" w:rsidR="0000733F" w:rsidRDefault="0000733F" w:rsidP="00824FC3">
      <w:pPr>
        <w:pStyle w:val="BodyText"/>
      </w:pPr>
    </w:p>
    <w:p w14:paraId="4A8B5F75" w14:textId="10E90077" w:rsidR="0073715D" w:rsidRPr="00132EFF" w:rsidRDefault="0000733F" w:rsidP="00824FC3">
      <w:pPr>
        <w:pStyle w:val="BodyText"/>
        <w:rPr>
          <w:lang w:val="en-US"/>
        </w:rPr>
      </w:pPr>
      <w:r>
        <w:rPr>
          <w:lang w:val="en-US"/>
        </w:rPr>
        <w:t xml:space="preserve">The need for 2000MHz as Maximum channel bandwidth for licensed operation can be discussed as this is smaller than 2160MHz and therefore specifying 2160MHz as Maximum and agreeing 2000MHz as supported bandwidth for licensed operation could be an alternative solution. </w:t>
      </w:r>
    </w:p>
    <w:p w14:paraId="5FD9F560" w14:textId="77777777" w:rsidR="003F50F8" w:rsidRDefault="003F50F8" w:rsidP="00D01F9A">
      <w:pPr>
        <w:pStyle w:val="Heading1"/>
        <w:rPr>
          <w:rFonts w:eastAsia="Batang"/>
          <w:color w:val="000000"/>
          <w:kern w:val="2"/>
          <w:lang w:val="en-US" w:eastAsia="ko-KR"/>
        </w:rPr>
      </w:pPr>
      <w:bookmarkStart w:id="5" w:name="_Ref124589665"/>
      <w:bookmarkStart w:id="6" w:name="_Ref71620620"/>
      <w:bookmarkStart w:id="7" w:name="_Ref124671424"/>
      <w:r w:rsidRPr="0057408C">
        <w:rPr>
          <w:rFonts w:eastAsia="Batang" w:hint="eastAsia"/>
          <w:color w:val="000000"/>
          <w:kern w:val="2"/>
          <w:lang w:val="en-US" w:eastAsia="ko-KR"/>
        </w:rPr>
        <w:t>Conclusion</w:t>
      </w:r>
    </w:p>
    <w:p w14:paraId="024831B4" w14:textId="77777777" w:rsidR="00F44643" w:rsidRPr="00ED01E2" w:rsidRDefault="00F44643" w:rsidP="00F44643">
      <w:pPr>
        <w:pStyle w:val="BodyText"/>
        <w:rPr>
          <w:b/>
          <w:lang w:val="en-US"/>
        </w:rPr>
      </w:pPr>
      <w:r w:rsidRPr="00ED01E2">
        <w:rPr>
          <w:b/>
          <w:lang w:val="en-US"/>
        </w:rPr>
        <w:t>Proposal 1:</w:t>
      </w:r>
      <w:r>
        <w:rPr>
          <w:b/>
          <w:lang w:val="en-US"/>
        </w:rPr>
        <w:t xml:space="preserve"> Maximum channel bandwidth and SU for 960kHz SCS</w:t>
      </w:r>
    </w:p>
    <w:tbl>
      <w:tblPr>
        <w:tblStyle w:val="TableGrid"/>
        <w:tblW w:w="0" w:type="auto"/>
        <w:tblCellMar>
          <w:top w:w="57" w:type="dxa"/>
          <w:bottom w:w="57" w:type="dxa"/>
        </w:tblCellMar>
        <w:tblLook w:val="04A0" w:firstRow="1" w:lastRow="0" w:firstColumn="1" w:lastColumn="0" w:noHBand="0" w:noVBand="1"/>
      </w:tblPr>
      <w:tblGrid>
        <w:gridCol w:w="2463"/>
        <w:gridCol w:w="3628"/>
        <w:gridCol w:w="3685"/>
      </w:tblGrid>
      <w:tr w:rsidR="00F44643" w:rsidRPr="00A32854" w14:paraId="1D47EA7D" w14:textId="77777777" w:rsidTr="00B07DD2">
        <w:tc>
          <w:tcPr>
            <w:tcW w:w="2463" w:type="dxa"/>
            <w:vAlign w:val="center"/>
          </w:tcPr>
          <w:p w14:paraId="26A775E6" w14:textId="77777777" w:rsidR="00F44643" w:rsidRPr="00A32854" w:rsidRDefault="00F44643" w:rsidP="00B07DD2">
            <w:pPr>
              <w:pStyle w:val="BodyText"/>
              <w:spacing w:after="0"/>
              <w:rPr>
                <w:b/>
                <w:lang w:val="en-US"/>
              </w:rPr>
            </w:pPr>
          </w:p>
        </w:tc>
        <w:tc>
          <w:tcPr>
            <w:tcW w:w="3628" w:type="dxa"/>
            <w:vAlign w:val="center"/>
          </w:tcPr>
          <w:p w14:paraId="0162B22E" w14:textId="77777777" w:rsidR="00F44643" w:rsidRPr="00A32854" w:rsidRDefault="00F44643" w:rsidP="00B07DD2">
            <w:pPr>
              <w:pStyle w:val="BodyText"/>
              <w:spacing w:after="0"/>
              <w:rPr>
                <w:b/>
                <w:lang w:val="en-US"/>
              </w:rPr>
            </w:pPr>
            <w:r>
              <w:rPr>
                <w:b/>
                <w:lang w:val="en-US"/>
              </w:rPr>
              <w:t>Licensed operation in 52.6-71GHz range</w:t>
            </w:r>
          </w:p>
        </w:tc>
        <w:tc>
          <w:tcPr>
            <w:tcW w:w="3685" w:type="dxa"/>
            <w:vAlign w:val="center"/>
          </w:tcPr>
          <w:p w14:paraId="425A4CFA" w14:textId="77777777" w:rsidR="00F44643" w:rsidRPr="00A32854" w:rsidRDefault="00F44643" w:rsidP="00B07DD2">
            <w:pPr>
              <w:pStyle w:val="BodyText"/>
              <w:spacing w:after="0"/>
              <w:rPr>
                <w:b/>
                <w:lang w:val="en-US"/>
              </w:rPr>
            </w:pPr>
            <w:r>
              <w:rPr>
                <w:b/>
                <w:lang w:val="en-US"/>
              </w:rPr>
              <w:t>Un-licensed operation in 57-71GHz range</w:t>
            </w:r>
          </w:p>
        </w:tc>
      </w:tr>
      <w:tr w:rsidR="00F44643" w14:paraId="724AECDC" w14:textId="77777777" w:rsidTr="00B07DD2">
        <w:tc>
          <w:tcPr>
            <w:tcW w:w="2463" w:type="dxa"/>
            <w:vAlign w:val="center"/>
          </w:tcPr>
          <w:p w14:paraId="6AFB9047" w14:textId="77777777" w:rsidR="00F44643" w:rsidRDefault="00F44643" w:rsidP="00B07DD2">
            <w:pPr>
              <w:pStyle w:val="BodyText"/>
              <w:spacing w:after="0"/>
              <w:rPr>
                <w:lang w:val="en-US"/>
              </w:rPr>
            </w:pPr>
            <w:r>
              <w:rPr>
                <w:lang w:val="en-US"/>
              </w:rPr>
              <w:t>960kHz SCS</w:t>
            </w:r>
          </w:p>
        </w:tc>
        <w:tc>
          <w:tcPr>
            <w:tcW w:w="3628" w:type="dxa"/>
            <w:vAlign w:val="center"/>
          </w:tcPr>
          <w:p w14:paraId="4FDAEFF3" w14:textId="77777777" w:rsidR="00F44643" w:rsidRDefault="00F44643" w:rsidP="00B07DD2">
            <w:pPr>
              <w:pStyle w:val="BodyText"/>
              <w:spacing w:after="0"/>
              <w:rPr>
                <w:lang w:val="en-US"/>
              </w:rPr>
            </w:pPr>
            <w:r>
              <w:rPr>
                <w:lang w:val="en-US"/>
              </w:rPr>
              <w:t>2000MHz (166RBs, SU 95.6%)</w:t>
            </w:r>
          </w:p>
        </w:tc>
        <w:tc>
          <w:tcPr>
            <w:tcW w:w="3685" w:type="dxa"/>
            <w:vAlign w:val="center"/>
          </w:tcPr>
          <w:p w14:paraId="1D34165F" w14:textId="77777777" w:rsidR="00F44643" w:rsidRDefault="00F44643" w:rsidP="00B07DD2">
            <w:pPr>
              <w:pStyle w:val="BodyText"/>
              <w:spacing w:after="0"/>
              <w:rPr>
                <w:lang w:val="en-US"/>
              </w:rPr>
            </w:pPr>
            <w:r>
              <w:rPr>
                <w:lang w:val="en-US"/>
              </w:rPr>
              <w:t>2160MHz (170RBs, SU 90.7%)</w:t>
            </w:r>
          </w:p>
        </w:tc>
      </w:tr>
    </w:tbl>
    <w:p w14:paraId="60F59BBE" w14:textId="77777777" w:rsidR="0000733F" w:rsidRDefault="0000733F" w:rsidP="0000733F">
      <w:pPr>
        <w:pStyle w:val="BodyText"/>
      </w:pPr>
    </w:p>
    <w:p w14:paraId="4A322FFC" w14:textId="4964B57E" w:rsidR="0000733F" w:rsidRPr="0000733F" w:rsidRDefault="0000733F" w:rsidP="0000733F">
      <w:pPr>
        <w:pStyle w:val="BodyText"/>
      </w:pPr>
      <w:r w:rsidRPr="0000733F">
        <w:t xml:space="preserve">The need for 2000MHz as Maximum channel bandwidth for licensed operation can be discussed as this is smaller than 2160MHz and therefore specifying 2160MHz as Maximum and agreeing 2000MHz as supported bandwidth for licensed operation could be an alternative solution. </w:t>
      </w:r>
    </w:p>
    <w:p w14:paraId="2DF2FCA8" w14:textId="77777777"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5"/>
    <w:bookmarkEnd w:id="6"/>
    <w:bookmarkEnd w:id="7"/>
    <w:p w14:paraId="658EFE05" w14:textId="6CC9F4AA" w:rsidR="006870B6" w:rsidRDefault="006870B6" w:rsidP="006870B6">
      <w:pPr>
        <w:tabs>
          <w:tab w:val="num" w:pos="720"/>
          <w:tab w:val="left" w:pos="1080"/>
        </w:tabs>
        <w:spacing w:after="180"/>
        <w:ind w:leftChars="-20" w:left="320" w:hanging="360"/>
        <w:rPr>
          <w:lang w:eastAsia="ko-KR"/>
        </w:rPr>
      </w:pPr>
      <w:r>
        <w:rPr>
          <w:lang w:eastAsia="ko-KR"/>
        </w:rPr>
        <w:t xml:space="preserve"> [1] </w:t>
      </w:r>
      <w:r w:rsidRPr="009418A7">
        <w:rPr>
          <w:lang w:eastAsia="ko-KR"/>
        </w:rPr>
        <w:t>R4-2105410</w:t>
      </w:r>
      <w:r>
        <w:rPr>
          <w:lang w:eastAsia="ko-KR"/>
        </w:rPr>
        <w:t xml:space="preserve">, </w:t>
      </w:r>
      <w:r w:rsidRPr="009418A7">
        <w:rPr>
          <w:lang w:eastAsia="ko-KR"/>
        </w:rPr>
        <w:t>WF on [137] NR_ext_to_71GHz_Part1</w:t>
      </w:r>
      <w:r>
        <w:rPr>
          <w:lang w:eastAsia="ko-KR"/>
        </w:rPr>
        <w:t xml:space="preserve">, RAN4#98bis-e, </w:t>
      </w:r>
      <w:r w:rsidRPr="009418A7">
        <w:rPr>
          <w:lang w:eastAsia="ko-KR"/>
        </w:rPr>
        <w:t>Apr</w:t>
      </w:r>
      <w:r>
        <w:rPr>
          <w:lang w:eastAsia="ko-KR"/>
        </w:rPr>
        <w:t>il</w:t>
      </w:r>
      <w:r w:rsidRPr="009418A7">
        <w:rPr>
          <w:lang w:eastAsia="ko-KR"/>
        </w:rPr>
        <w:t xml:space="preserve"> 2021</w:t>
      </w:r>
    </w:p>
    <w:p w14:paraId="39B3EF77" w14:textId="399D68BE" w:rsidR="006870B6" w:rsidRDefault="006870B6" w:rsidP="006870B6">
      <w:pPr>
        <w:tabs>
          <w:tab w:val="num" w:pos="720"/>
          <w:tab w:val="left" w:pos="1080"/>
        </w:tabs>
        <w:spacing w:after="180"/>
        <w:ind w:leftChars="-20" w:left="320" w:hanging="360"/>
        <w:rPr>
          <w:lang w:eastAsia="ko-KR"/>
        </w:rPr>
      </w:pPr>
      <w:r>
        <w:rPr>
          <w:lang w:eastAsia="ko-KR"/>
        </w:rPr>
        <w:t xml:space="preserve"> [2] ETSI EN 302 567 V2.2.0 (2020-12) Multiple-Gigabit/s radio equipment operating in the 60 GHz band; Harmonised Standard for access to radio spectrum</w:t>
      </w:r>
    </w:p>
    <w:p w14:paraId="5E18083D" w14:textId="77777777" w:rsidR="001D09D8" w:rsidRPr="001D09D8" w:rsidRDefault="001D09D8" w:rsidP="00284776">
      <w:pPr>
        <w:tabs>
          <w:tab w:val="num" w:pos="720"/>
          <w:tab w:val="left" w:pos="1080"/>
        </w:tabs>
        <w:spacing w:after="18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624B" w14:textId="77777777" w:rsidR="00E1007B" w:rsidRDefault="00E1007B">
      <w:r>
        <w:separator/>
      </w:r>
    </w:p>
  </w:endnote>
  <w:endnote w:type="continuationSeparator" w:id="0">
    <w:p w14:paraId="103217AC" w14:textId="77777777" w:rsidR="00E1007B" w:rsidRDefault="00E1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4C84B" w14:textId="77777777" w:rsidR="00E1007B" w:rsidRDefault="00E1007B">
      <w:r>
        <w:separator/>
      </w:r>
    </w:p>
  </w:footnote>
  <w:footnote w:type="continuationSeparator" w:id="0">
    <w:p w14:paraId="7A786E1A" w14:textId="77777777" w:rsidR="00E1007B" w:rsidRDefault="00E10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00671"/>
    <w:multiLevelType w:val="hybridMultilevel"/>
    <w:tmpl w:val="8C16C346"/>
    <w:lvl w:ilvl="0" w:tplc="FE523A52">
      <w:start w:val="1"/>
      <w:numFmt w:val="bullet"/>
      <w:lvlText w:val="•"/>
      <w:lvlJc w:val="left"/>
      <w:pPr>
        <w:tabs>
          <w:tab w:val="num" w:pos="720"/>
        </w:tabs>
        <w:ind w:left="720" w:hanging="360"/>
      </w:pPr>
      <w:rPr>
        <w:rFonts w:ascii="Arial" w:hAnsi="Arial" w:hint="default"/>
      </w:rPr>
    </w:lvl>
    <w:lvl w:ilvl="1" w:tplc="DFEA94E8" w:tentative="1">
      <w:start w:val="1"/>
      <w:numFmt w:val="bullet"/>
      <w:lvlText w:val="•"/>
      <w:lvlJc w:val="left"/>
      <w:pPr>
        <w:tabs>
          <w:tab w:val="num" w:pos="1440"/>
        </w:tabs>
        <w:ind w:left="1440" w:hanging="360"/>
      </w:pPr>
      <w:rPr>
        <w:rFonts w:ascii="Arial" w:hAnsi="Arial" w:hint="default"/>
      </w:rPr>
    </w:lvl>
    <w:lvl w:ilvl="2" w:tplc="0494FCB2">
      <w:start w:val="1"/>
      <w:numFmt w:val="bullet"/>
      <w:lvlText w:val="•"/>
      <w:lvlJc w:val="left"/>
      <w:pPr>
        <w:tabs>
          <w:tab w:val="num" w:pos="2160"/>
        </w:tabs>
        <w:ind w:left="2160" w:hanging="360"/>
      </w:pPr>
      <w:rPr>
        <w:rFonts w:ascii="Arial" w:hAnsi="Arial" w:hint="default"/>
      </w:rPr>
    </w:lvl>
    <w:lvl w:ilvl="3" w:tplc="F26E306E" w:tentative="1">
      <w:start w:val="1"/>
      <w:numFmt w:val="bullet"/>
      <w:lvlText w:val="•"/>
      <w:lvlJc w:val="left"/>
      <w:pPr>
        <w:tabs>
          <w:tab w:val="num" w:pos="2880"/>
        </w:tabs>
        <w:ind w:left="2880" w:hanging="360"/>
      </w:pPr>
      <w:rPr>
        <w:rFonts w:ascii="Arial" w:hAnsi="Arial" w:hint="default"/>
      </w:rPr>
    </w:lvl>
    <w:lvl w:ilvl="4" w:tplc="6856139C" w:tentative="1">
      <w:start w:val="1"/>
      <w:numFmt w:val="bullet"/>
      <w:lvlText w:val="•"/>
      <w:lvlJc w:val="left"/>
      <w:pPr>
        <w:tabs>
          <w:tab w:val="num" w:pos="3600"/>
        </w:tabs>
        <w:ind w:left="3600" w:hanging="360"/>
      </w:pPr>
      <w:rPr>
        <w:rFonts w:ascii="Arial" w:hAnsi="Arial" w:hint="default"/>
      </w:rPr>
    </w:lvl>
    <w:lvl w:ilvl="5" w:tplc="AFF4D10A" w:tentative="1">
      <w:start w:val="1"/>
      <w:numFmt w:val="bullet"/>
      <w:lvlText w:val="•"/>
      <w:lvlJc w:val="left"/>
      <w:pPr>
        <w:tabs>
          <w:tab w:val="num" w:pos="4320"/>
        </w:tabs>
        <w:ind w:left="4320" w:hanging="360"/>
      </w:pPr>
      <w:rPr>
        <w:rFonts w:ascii="Arial" w:hAnsi="Arial" w:hint="default"/>
      </w:rPr>
    </w:lvl>
    <w:lvl w:ilvl="6" w:tplc="F7FAE454" w:tentative="1">
      <w:start w:val="1"/>
      <w:numFmt w:val="bullet"/>
      <w:lvlText w:val="•"/>
      <w:lvlJc w:val="left"/>
      <w:pPr>
        <w:tabs>
          <w:tab w:val="num" w:pos="5040"/>
        </w:tabs>
        <w:ind w:left="5040" w:hanging="360"/>
      </w:pPr>
      <w:rPr>
        <w:rFonts w:ascii="Arial" w:hAnsi="Arial" w:hint="default"/>
      </w:rPr>
    </w:lvl>
    <w:lvl w:ilvl="7" w:tplc="121AED5A" w:tentative="1">
      <w:start w:val="1"/>
      <w:numFmt w:val="bullet"/>
      <w:lvlText w:val="•"/>
      <w:lvlJc w:val="left"/>
      <w:pPr>
        <w:tabs>
          <w:tab w:val="num" w:pos="5760"/>
        </w:tabs>
        <w:ind w:left="5760" w:hanging="360"/>
      </w:pPr>
      <w:rPr>
        <w:rFonts w:ascii="Arial" w:hAnsi="Arial" w:hint="default"/>
      </w:rPr>
    </w:lvl>
    <w:lvl w:ilvl="8" w:tplc="4D6EFD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AC1901"/>
    <w:multiLevelType w:val="hybridMultilevel"/>
    <w:tmpl w:val="013E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4"/>
  </w:num>
  <w:num w:numId="3">
    <w:abstractNumId w:val="21"/>
  </w:num>
  <w:num w:numId="4">
    <w:abstractNumId w:val="11"/>
  </w:num>
  <w:num w:numId="5">
    <w:abstractNumId w:val="15"/>
  </w:num>
  <w:num w:numId="6">
    <w:abstractNumId w:val="1"/>
  </w:num>
  <w:num w:numId="7">
    <w:abstractNumId w:val="8"/>
  </w:num>
  <w:num w:numId="8">
    <w:abstractNumId w:val="22"/>
  </w:num>
  <w:num w:numId="9">
    <w:abstractNumId w:val="2"/>
  </w:num>
  <w:num w:numId="10">
    <w:abstractNumId w:val="16"/>
  </w:num>
  <w:num w:numId="11">
    <w:abstractNumId w:val="12"/>
  </w:num>
  <w:num w:numId="12">
    <w:abstractNumId w:val="7"/>
  </w:num>
  <w:num w:numId="13">
    <w:abstractNumId w:val="3"/>
  </w:num>
  <w:num w:numId="14">
    <w:abstractNumId w:val="19"/>
  </w:num>
  <w:num w:numId="15">
    <w:abstractNumId w:val="4"/>
  </w:num>
  <w:num w:numId="16">
    <w:abstractNumId w:val="20"/>
  </w:num>
  <w:num w:numId="17">
    <w:abstractNumId w:val="13"/>
  </w:num>
  <w:num w:numId="18">
    <w:abstractNumId w:val="10"/>
  </w:num>
  <w:num w:numId="19">
    <w:abstractNumId w:val="17"/>
  </w:num>
  <w:num w:numId="20">
    <w:abstractNumId w:val="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8"/>
  </w:num>
  <w:num w:numId="2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EC"/>
    <w:rsid w:val="000011CE"/>
    <w:rsid w:val="0000133C"/>
    <w:rsid w:val="00001758"/>
    <w:rsid w:val="00003865"/>
    <w:rsid w:val="00003920"/>
    <w:rsid w:val="000044F7"/>
    <w:rsid w:val="000051AC"/>
    <w:rsid w:val="00005B30"/>
    <w:rsid w:val="00005ECD"/>
    <w:rsid w:val="00006544"/>
    <w:rsid w:val="00006C26"/>
    <w:rsid w:val="00006F28"/>
    <w:rsid w:val="000071F2"/>
    <w:rsid w:val="0000733F"/>
    <w:rsid w:val="00007FCC"/>
    <w:rsid w:val="0001102B"/>
    <w:rsid w:val="00011776"/>
    <w:rsid w:val="00011B6C"/>
    <w:rsid w:val="00011FFC"/>
    <w:rsid w:val="0001233B"/>
    <w:rsid w:val="00012A70"/>
    <w:rsid w:val="00014883"/>
    <w:rsid w:val="00015C67"/>
    <w:rsid w:val="000163E5"/>
    <w:rsid w:val="00016438"/>
    <w:rsid w:val="000169D1"/>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4B39"/>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C3C"/>
    <w:rsid w:val="00132EFF"/>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8F1"/>
    <w:rsid w:val="00196AA8"/>
    <w:rsid w:val="00196E2B"/>
    <w:rsid w:val="00196F52"/>
    <w:rsid w:val="001A0858"/>
    <w:rsid w:val="001A0A25"/>
    <w:rsid w:val="001A35CB"/>
    <w:rsid w:val="001A3740"/>
    <w:rsid w:val="001A3AC1"/>
    <w:rsid w:val="001A443E"/>
    <w:rsid w:val="001A45C7"/>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CE1"/>
    <w:rsid w:val="00202E01"/>
    <w:rsid w:val="0020320A"/>
    <w:rsid w:val="0020365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449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4776"/>
    <w:rsid w:val="00286342"/>
    <w:rsid w:val="0028688D"/>
    <w:rsid w:val="002870C4"/>
    <w:rsid w:val="002875A3"/>
    <w:rsid w:val="0028764B"/>
    <w:rsid w:val="00287E74"/>
    <w:rsid w:val="002900E8"/>
    <w:rsid w:val="00290639"/>
    <w:rsid w:val="00291714"/>
    <w:rsid w:val="00292749"/>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0CA5"/>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537"/>
    <w:rsid w:val="0041462B"/>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7D14"/>
    <w:rsid w:val="005F0ED3"/>
    <w:rsid w:val="005F10CE"/>
    <w:rsid w:val="005F1E29"/>
    <w:rsid w:val="005F2DD0"/>
    <w:rsid w:val="005F2F9F"/>
    <w:rsid w:val="005F34F5"/>
    <w:rsid w:val="005F3BCE"/>
    <w:rsid w:val="005F4230"/>
    <w:rsid w:val="005F47D4"/>
    <w:rsid w:val="005F4F62"/>
    <w:rsid w:val="005F58A9"/>
    <w:rsid w:val="005F7F83"/>
    <w:rsid w:val="00600659"/>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70B6"/>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5B3F"/>
    <w:rsid w:val="00726212"/>
    <w:rsid w:val="00730F02"/>
    <w:rsid w:val="007315FD"/>
    <w:rsid w:val="007317F3"/>
    <w:rsid w:val="00732F37"/>
    <w:rsid w:val="0073715D"/>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188"/>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4FC3"/>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6C44"/>
    <w:rsid w:val="00887FA9"/>
    <w:rsid w:val="00891CAB"/>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8A7"/>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28C"/>
    <w:rsid w:val="00970462"/>
    <w:rsid w:val="009704BB"/>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5FE"/>
    <w:rsid w:val="00A46338"/>
    <w:rsid w:val="00A47F61"/>
    <w:rsid w:val="00A5070E"/>
    <w:rsid w:val="00A52589"/>
    <w:rsid w:val="00A52D0A"/>
    <w:rsid w:val="00A53272"/>
    <w:rsid w:val="00A53635"/>
    <w:rsid w:val="00A54B62"/>
    <w:rsid w:val="00A55B54"/>
    <w:rsid w:val="00A55E49"/>
    <w:rsid w:val="00A55F44"/>
    <w:rsid w:val="00A56DFD"/>
    <w:rsid w:val="00A57722"/>
    <w:rsid w:val="00A578C1"/>
    <w:rsid w:val="00A57A6B"/>
    <w:rsid w:val="00A57FB8"/>
    <w:rsid w:val="00A60CE6"/>
    <w:rsid w:val="00A614C8"/>
    <w:rsid w:val="00A615E7"/>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4D8E"/>
    <w:rsid w:val="00A762E0"/>
    <w:rsid w:val="00A76810"/>
    <w:rsid w:val="00A76B8F"/>
    <w:rsid w:val="00A778D8"/>
    <w:rsid w:val="00A8047A"/>
    <w:rsid w:val="00A80EFB"/>
    <w:rsid w:val="00A81B69"/>
    <w:rsid w:val="00A82433"/>
    <w:rsid w:val="00A83F62"/>
    <w:rsid w:val="00A84664"/>
    <w:rsid w:val="00A8477F"/>
    <w:rsid w:val="00A856E4"/>
    <w:rsid w:val="00A870B0"/>
    <w:rsid w:val="00A87447"/>
    <w:rsid w:val="00A91855"/>
    <w:rsid w:val="00A9190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57"/>
    <w:rsid w:val="00B200C5"/>
    <w:rsid w:val="00B208CA"/>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273"/>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2AF7"/>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2EED"/>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C6F03"/>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2D9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07B"/>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002C"/>
    <w:rsid w:val="00ED01E2"/>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32"/>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4643"/>
    <w:rsid w:val="00F4514E"/>
    <w:rsid w:val="00F4560E"/>
    <w:rsid w:val="00F466E2"/>
    <w:rsid w:val="00F476DD"/>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41E"/>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00C"/>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customStyle="1" w:styleId="CommentSubjectChar">
    <w:name w:val="Comment Subject Char"/>
    <w:basedOn w:val="CommentTextChar"/>
    <w:link w:val="CommentSubject"/>
    <w:rsid w:val="007D6F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93633905">
      <w:bodyDiv w:val="1"/>
      <w:marLeft w:val="0"/>
      <w:marRight w:val="0"/>
      <w:marTop w:val="0"/>
      <w:marBottom w:val="0"/>
      <w:divBdr>
        <w:top w:val="none" w:sz="0" w:space="0" w:color="auto"/>
        <w:left w:val="none" w:sz="0" w:space="0" w:color="auto"/>
        <w:bottom w:val="none" w:sz="0" w:space="0" w:color="auto"/>
        <w:right w:val="none" w:sz="0" w:space="0" w:color="auto"/>
      </w:divBdr>
      <w:divsChild>
        <w:div w:id="823006159">
          <w:marLeft w:val="1800"/>
          <w:marRight w:val="0"/>
          <w:marTop w:val="100"/>
          <w:marBottom w:val="0"/>
          <w:divBdr>
            <w:top w:val="none" w:sz="0" w:space="0" w:color="auto"/>
            <w:left w:val="none" w:sz="0" w:space="0" w:color="auto"/>
            <w:bottom w:val="none" w:sz="0" w:space="0" w:color="auto"/>
            <w:right w:val="none" w:sz="0" w:space="0" w:color="auto"/>
          </w:divBdr>
        </w:div>
        <w:div w:id="1260797489">
          <w:marLeft w:val="1800"/>
          <w:marRight w:val="0"/>
          <w:marTop w:val="100"/>
          <w:marBottom w:val="0"/>
          <w:divBdr>
            <w:top w:val="none" w:sz="0" w:space="0" w:color="auto"/>
            <w:left w:val="none" w:sz="0" w:space="0" w:color="auto"/>
            <w:bottom w:val="none" w:sz="0" w:space="0" w:color="auto"/>
            <w:right w:val="none" w:sz="0" w:space="0" w:color="auto"/>
          </w:divBdr>
        </w:div>
        <w:div w:id="407002013">
          <w:marLeft w:val="1800"/>
          <w:marRight w:val="0"/>
          <w:marTop w:val="100"/>
          <w:marBottom w:val="0"/>
          <w:divBdr>
            <w:top w:val="none" w:sz="0" w:space="0" w:color="auto"/>
            <w:left w:val="none" w:sz="0" w:space="0" w:color="auto"/>
            <w:bottom w:val="none" w:sz="0" w:space="0" w:color="auto"/>
            <w:right w:val="none" w:sz="0" w:space="0" w:color="auto"/>
          </w:divBdr>
        </w:div>
        <w:div w:id="1016924578">
          <w:marLeft w:val="180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29E45-79D2-4AA1-9310-32377A61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2021-05-11T15:32:00Z</dcterms:created>
  <dcterms:modified xsi:type="dcterms:W3CDTF">2021-05-11T15:32:00Z</dcterms:modified>
</cp:coreProperties>
</file>