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R4-2110602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5.2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BS Rx requirements for 60GHz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In the previous RAN4 meetings, there were some initial discussions on BS RX requirements for 60GHz and some high level agreement has been reached in WF [1]. In this contribution, we want to share some further considerations on each Rx requirements.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13"/>
      <w:bookmarkStart w:id="3" w:name="OLE_LINK20"/>
      <w:bookmarkStart w:id="4" w:name="OLE_LINK14"/>
    </w:p>
    <w:p>
      <w:pPr>
        <w:rPr>
          <w:rFonts w:hint="default" w:ascii="Arial" w:hAnsi="Arial" w:cs="Arial"/>
          <w:sz w:val="24"/>
          <w:szCs w:val="24"/>
          <w:lang w:val="en-US" w:eastAsia="zh-CN"/>
        </w:rPr>
      </w:pPr>
      <w:r>
        <w:rPr>
          <w:rFonts w:hint="default" w:ascii="Arial" w:hAnsi="Arial" w:cs="Arial"/>
          <w:sz w:val="24"/>
          <w:szCs w:val="24"/>
          <w:lang w:val="en-US" w:eastAsia="zh-CN"/>
        </w:rPr>
        <w:t xml:space="preserve">2.1. </w:t>
      </w:r>
      <w:r>
        <w:rPr>
          <w:rFonts w:hint="default" w:ascii="Arial" w:hAnsi="Arial" w:eastAsia="Times New Roman" w:cs="Arial"/>
          <w:sz w:val="24"/>
          <w:szCs w:val="24"/>
        </w:rPr>
        <w:t>Sensitivity</w:t>
      </w:r>
      <w:r>
        <w:rPr>
          <w:rFonts w:hint="default" w:ascii="Arial" w:hAnsi="Arial" w:cs="Arial"/>
          <w:sz w:val="24"/>
          <w:szCs w:val="24"/>
          <w:lang w:val="en-US" w:eastAsia="zh-CN"/>
        </w:rPr>
        <w:t xml:space="preserve"> requirements</w:t>
      </w:r>
    </w:p>
    <w:p>
      <w:pPr>
        <w:rPr>
          <w:rFonts w:hint="default" w:ascii="Arial" w:hAnsi="Arial" w:cs="Arial"/>
          <w:sz w:val="24"/>
          <w:szCs w:val="24"/>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ascii="Arial" w:hAnsi="Arial" w:cs="Arial"/>
          <w:sz w:val="24"/>
          <w:szCs w:val="24"/>
          <w:lang w:val="en-US" w:eastAsia="zh-CN"/>
        </w:rPr>
      </w:pPr>
      <w:r>
        <w:rPr>
          <w:rFonts w:hint="eastAsia"/>
          <w:kern w:val="0"/>
          <w:sz w:val="20"/>
          <w:szCs w:val="20"/>
          <w:lang w:val="en-US" w:eastAsia="zh-CN"/>
        </w:rPr>
        <w:t xml:space="preserve">In the last RAN4 meeting, there were some extensive discussions on minimum and maximum channel bandwidth for 60GHz and the remaining issue left for further discussions is maximum channel bandwidth for 960kHz (e.g. 2000MHz or 2160MHz to align with IEEE 802.11ad/ay) . However from Sensitivity requirement definition perspective, the minimum channel bandwidth matters more than maximum channel bandwidth since FRC definition is mainly replying on the transmission bandwidth configuration of minimum channel bandwidth. </w:t>
      </w:r>
    </w:p>
    <w:p>
      <w:pPr>
        <w:jc w:val="center"/>
      </w:pPr>
      <w:r>
        <w:drawing>
          <wp:inline distT="0" distB="0" distL="114300" distR="114300">
            <wp:extent cx="4724400" cy="1419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24400" cy="1419225"/>
                    </a:xfrm>
                    <a:prstGeom prst="rect">
                      <a:avLst/>
                    </a:prstGeom>
                    <a:noFill/>
                    <a:ln>
                      <a:noFill/>
                    </a:ln>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jc w:val="center"/>
        <w:rPr>
          <w:rFonts w:hint="eastAsia"/>
          <w:kern w:val="0"/>
          <w:sz w:val="20"/>
          <w:szCs w:val="20"/>
          <w:lang w:val="en-US" w:eastAsia="zh-CN"/>
        </w:rPr>
      </w:pPr>
      <w:r>
        <w:rPr>
          <w:rFonts w:hint="eastAsia"/>
          <w:kern w:val="0"/>
          <w:sz w:val="20"/>
          <w:szCs w:val="20"/>
          <w:lang w:val="en-US" w:eastAsia="zh-CN"/>
        </w:rPr>
        <w:t>Figure 1. the proposed CBW for 60GHz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Based on the legacy approach used for existing FR2 BS Sensitivity definition, the following Sensitivity requirement in Table 1 could be applied for 60GHz. One concern might be whether exiting range specified for EIS</w:t>
      </w:r>
      <w:r>
        <w:rPr>
          <w:rFonts w:hint="eastAsia"/>
          <w:kern w:val="0"/>
          <w:sz w:val="20"/>
          <w:szCs w:val="20"/>
          <w:vertAlign w:val="subscript"/>
          <w:lang w:val="en-US" w:eastAsia="zh-CN"/>
        </w:rPr>
        <w:t>REFSENS_50M</w:t>
      </w:r>
      <w:r>
        <w:rPr>
          <w:rFonts w:hint="eastAsia"/>
          <w:kern w:val="0"/>
          <w:sz w:val="20"/>
          <w:szCs w:val="20"/>
          <w:lang w:val="en-US" w:eastAsia="zh-CN"/>
        </w:rPr>
        <w:t xml:space="preserve"> could also applicable for 60GHz. Based on the previous discussions for expected antenna array size for 60GHz and also experience in Rel-15 as documented in TR38.817-02, the higher operating frequency rang, correspondingly larger antenna array gain and also higher noise figure, at the end, these two factors would be counteracted in the EIS_50MHz calculation formula at the end, the existing range specified for EIS</w:t>
      </w:r>
      <w:r>
        <w:rPr>
          <w:rFonts w:hint="eastAsia"/>
          <w:kern w:val="0"/>
          <w:sz w:val="20"/>
          <w:szCs w:val="20"/>
          <w:vertAlign w:val="subscript"/>
          <w:lang w:val="en-US" w:eastAsia="zh-CN"/>
        </w:rPr>
        <w:t>REFSENS_50M</w:t>
      </w:r>
      <w:r>
        <w:rPr>
          <w:rFonts w:hint="eastAsia"/>
          <w:kern w:val="0"/>
          <w:sz w:val="20"/>
          <w:szCs w:val="20"/>
          <w:lang w:val="en-US" w:eastAsia="zh-CN"/>
        </w:rPr>
        <w:t xml:space="preserve"> could also applicable for 60GHz.</w:t>
      </w:r>
    </w:p>
    <w:p>
      <w:pPr>
        <w:pStyle w:val="42"/>
        <w:rPr>
          <w:rFonts w:hint="default" w:eastAsia="宋体"/>
          <w:lang w:val="en-US" w:eastAsia="zh-CN"/>
        </w:rPr>
      </w:pPr>
      <w:r>
        <w:rPr>
          <w:rFonts w:hint="eastAsia"/>
          <w:lang w:val="en-US" w:eastAsia="zh-CN"/>
        </w:rPr>
        <w:t>Table 1.</w:t>
      </w:r>
      <w:r>
        <w:t xml:space="preserve"> OTA reference sensitivity requirement</w:t>
      </w:r>
      <w:r>
        <w:rPr>
          <w:rFonts w:hint="eastAsia"/>
          <w:lang w:val="en-US" w:eastAsia="zh-CN"/>
        </w:rPr>
        <w:t xml:space="preserve"> for 60GHz</w:t>
      </w:r>
    </w:p>
    <w:tbl>
      <w:tblPr>
        <w:tblStyle w:val="21"/>
        <w:tblW w:w="7087" w:type="dxa"/>
        <w:jc w:val="center"/>
        <w:tblLayout w:type="fixed"/>
        <w:tblCellMar>
          <w:top w:w="0" w:type="dxa"/>
          <w:left w:w="108" w:type="dxa"/>
          <w:bottom w:w="0" w:type="dxa"/>
          <w:right w:w="108" w:type="dxa"/>
        </w:tblCellMar>
      </w:tblPr>
      <w:tblGrid>
        <w:gridCol w:w="1701"/>
        <w:gridCol w:w="1256"/>
        <w:gridCol w:w="1740"/>
        <w:gridCol w:w="2390"/>
      </w:tblGrid>
      <w:tr>
        <w:tblPrEx>
          <w:tblCellMar>
            <w:top w:w="0" w:type="dxa"/>
            <w:left w:w="108" w:type="dxa"/>
            <w:bottom w:w="0" w:type="dxa"/>
            <w:right w:w="108" w:type="dxa"/>
          </w:tblCellMar>
        </w:tblPrEx>
        <w:trPr>
          <w:trHeight w:val="72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pStyle w:val="32"/>
              <w:rPr>
                <w:i/>
                <w:lang w:val="it-IT"/>
              </w:rPr>
            </w:pPr>
            <w:r>
              <w:rPr>
                <w:i/>
                <w:lang w:val="it-IT"/>
              </w:rPr>
              <w:t>BS channel Bandwidth</w:t>
            </w:r>
          </w:p>
          <w:p>
            <w:pPr>
              <w:pStyle w:val="32"/>
              <w:rPr>
                <w:lang w:eastAsia="en-GB"/>
              </w:rPr>
            </w:pPr>
            <w:r>
              <w:rPr>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lang w:eastAsia="en-GB"/>
              </w:rPr>
            </w:pPr>
            <w:r>
              <w:rPr>
                <w:rFonts w:cs="Arial"/>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rFonts w:cs="Arial"/>
              </w:rPr>
              <w:t xml:space="preserve">OTA reference sensitivity level, </w:t>
            </w:r>
            <w:r>
              <w:rPr>
                <w:highlight w:val="yellow"/>
                <w:lang w:eastAsia="zh-CN"/>
              </w:rPr>
              <w:t>EIS</w:t>
            </w:r>
            <w:r>
              <w:rPr>
                <w:highlight w:val="yellow"/>
                <w:vertAlign w:val="subscript"/>
                <w:lang w:eastAsia="zh-CN"/>
              </w:rPr>
              <w:t>REFSENS</w:t>
            </w:r>
            <w:r>
              <w:rPr>
                <w:highlight w:val="yellow"/>
                <w:lang w:eastAsia="en-GB"/>
              </w:rPr>
              <w:t xml:space="preserve"> (dBm)</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lang w:eastAsia="en-GB"/>
              </w:rPr>
            </w:pPr>
            <w:r>
              <w:t>100, 200, 400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120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lang w:eastAsia="en-GB"/>
              </w:rPr>
            </w:pPr>
            <w:r>
              <w:rPr>
                <w:lang w:eastAsia="en-GB"/>
              </w:rPr>
              <w:t>G-FR2-A1-3</w:t>
            </w:r>
          </w:p>
        </w:tc>
        <w:tc>
          <w:tcPr>
            <w:tcW w:w="239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EIS</w:t>
            </w:r>
            <w:r>
              <w:rPr>
                <w:vertAlign w:val="subscript"/>
                <w:lang w:eastAsia="en-GB"/>
              </w:rPr>
              <w:t xml:space="preserve">REFSENS_50M </w:t>
            </w:r>
            <w:r>
              <w:rPr>
                <w:lang w:eastAsia="en-GB"/>
              </w:rPr>
              <w:t>+ 3</w:t>
            </w:r>
            <w:r>
              <w:rPr>
                <w:vertAlign w:val="subscript"/>
                <w:lang w:eastAsia="en-GB"/>
              </w:rPr>
              <w:t xml:space="preserve"> </w:t>
            </w:r>
            <w:r>
              <w:rPr>
                <w:rFonts w:cs="Arial"/>
              </w:rPr>
              <w:t xml:space="preserve">+ </w:t>
            </w:r>
            <w:r>
              <w:t>Δ</w:t>
            </w:r>
            <w:r>
              <w:rPr>
                <w:vertAlign w:val="subscript"/>
              </w:rPr>
              <w:t>FR2_REFSENS</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rFonts w:hint="eastAsia" w:eastAsia="宋体"/>
                <w:lang w:val="en-US" w:eastAsia="zh-CN"/>
              </w:rPr>
              <w:t>400,800,1200,1600</w:t>
            </w:r>
          </w:p>
        </w:tc>
        <w:tc>
          <w:tcPr>
            <w:tcW w:w="1256"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rFonts w:hint="eastAsia" w:eastAsia="宋体"/>
                <w:lang w:val="en-US" w:eastAsia="zh-CN"/>
              </w:rPr>
              <w:t>480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rFonts w:hint="default" w:eastAsia="宋体"/>
                <w:lang w:val="en-US" w:eastAsia="zh-CN"/>
              </w:rPr>
            </w:pPr>
            <w:r>
              <w:rPr>
                <w:rFonts w:hint="eastAsia" w:eastAsia="宋体"/>
                <w:lang w:val="en-US" w:eastAsia="zh-CN"/>
              </w:rPr>
              <w:t>TBD</w:t>
            </w:r>
          </w:p>
        </w:tc>
        <w:tc>
          <w:tcPr>
            <w:tcW w:w="239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EIS</w:t>
            </w:r>
            <w:r>
              <w:rPr>
                <w:vertAlign w:val="subscript"/>
                <w:lang w:eastAsia="en-GB"/>
              </w:rPr>
              <w:t xml:space="preserve">REFSENS_50M </w:t>
            </w:r>
            <w:r>
              <w:rPr>
                <w:lang w:eastAsia="en-GB"/>
              </w:rPr>
              <w:t xml:space="preserve">+ </w:t>
            </w:r>
            <w:r>
              <w:rPr>
                <w:rFonts w:hint="eastAsia" w:eastAsia="宋体"/>
                <w:highlight w:val="yellow"/>
                <w:lang w:val="en-US" w:eastAsia="zh-CN"/>
              </w:rPr>
              <w:t>9</w:t>
            </w:r>
            <w:r>
              <w:rPr>
                <w:vertAlign w:val="subscript"/>
                <w:lang w:eastAsia="en-GB"/>
              </w:rPr>
              <w:t xml:space="preserve"> </w:t>
            </w:r>
            <w:r>
              <w:rPr>
                <w:rFonts w:cs="Arial"/>
              </w:rPr>
              <w:t xml:space="preserve">+ </w:t>
            </w:r>
            <w:r>
              <w:t>Δ</w:t>
            </w:r>
            <w:r>
              <w:rPr>
                <w:vertAlign w:val="subscript"/>
              </w:rPr>
              <w:t>FR2_REFSENS</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rFonts w:hint="default"/>
                <w:lang w:val="en-US"/>
              </w:rPr>
            </w:pPr>
            <w:r>
              <w:rPr>
                <w:rFonts w:hint="eastAsia" w:eastAsia="宋体"/>
                <w:lang w:val="en-US" w:eastAsia="zh-CN"/>
              </w:rPr>
              <w:t>400,800,1200,1600, 2000</w:t>
            </w:r>
          </w:p>
        </w:tc>
        <w:tc>
          <w:tcPr>
            <w:tcW w:w="1256"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rFonts w:hint="eastAsia" w:eastAsia="宋体"/>
                <w:lang w:val="en-US" w:eastAsia="zh-CN"/>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rFonts w:hint="default" w:eastAsia="宋体"/>
                <w:lang w:val="en-US" w:eastAsia="zh-CN"/>
              </w:rPr>
            </w:pPr>
            <w:r>
              <w:rPr>
                <w:rFonts w:hint="eastAsia" w:eastAsia="宋体"/>
                <w:lang w:val="en-US" w:eastAsia="zh-CN"/>
              </w:rPr>
              <w:t>TBD</w:t>
            </w:r>
          </w:p>
        </w:tc>
        <w:tc>
          <w:tcPr>
            <w:tcW w:w="239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EIS</w:t>
            </w:r>
            <w:r>
              <w:rPr>
                <w:vertAlign w:val="subscript"/>
                <w:lang w:eastAsia="en-GB"/>
              </w:rPr>
              <w:t xml:space="preserve">REFSENS_50M </w:t>
            </w:r>
            <w:r>
              <w:rPr>
                <w:lang w:eastAsia="en-GB"/>
              </w:rPr>
              <w:t xml:space="preserve">+ </w:t>
            </w:r>
            <w:r>
              <w:rPr>
                <w:rFonts w:hint="eastAsia" w:eastAsia="宋体"/>
                <w:highlight w:val="yellow"/>
                <w:lang w:val="en-US" w:eastAsia="zh-CN"/>
              </w:rPr>
              <w:t>9</w:t>
            </w:r>
            <w:r>
              <w:rPr>
                <w:vertAlign w:val="subscript"/>
                <w:lang w:eastAsia="en-GB"/>
              </w:rPr>
              <w:t xml:space="preserve"> </w:t>
            </w:r>
            <w:r>
              <w:rPr>
                <w:rFonts w:cs="Arial"/>
              </w:rPr>
              <w:t xml:space="preserve">+ </w:t>
            </w:r>
            <w:r>
              <w:t>Δ</w:t>
            </w:r>
            <w:r>
              <w:rPr>
                <w:vertAlign w:val="subscript"/>
              </w:rPr>
              <w:t>FR2_REFSENS</w:t>
            </w:r>
          </w:p>
        </w:tc>
      </w:tr>
      <w:tr>
        <w:tblPrEx>
          <w:tblCellMar>
            <w:top w:w="0" w:type="dxa"/>
            <w:left w:w="108" w:type="dxa"/>
            <w:bottom w:w="0" w:type="dxa"/>
            <w:right w:w="108" w:type="dxa"/>
          </w:tblCellMar>
        </w:tblPrEx>
        <w:trPr>
          <w:trHeight w:val="70" w:hRule="atLeast"/>
          <w:jc w:val="center"/>
        </w:trPr>
        <w:tc>
          <w:tcPr>
            <w:tcW w:w="7087" w:type="dxa"/>
            <w:gridSpan w:val="4"/>
            <w:tcBorders>
              <w:top w:val="single" w:color="auto" w:sz="4" w:space="0"/>
              <w:left w:val="single" w:color="auto" w:sz="4" w:space="0"/>
              <w:bottom w:val="single" w:color="auto" w:sz="4" w:space="0"/>
              <w:right w:val="single" w:color="auto" w:sz="4" w:space="0"/>
            </w:tcBorders>
          </w:tcPr>
          <w:p>
            <w:pPr>
              <w:pStyle w:val="46"/>
              <w:rPr>
                <w:rFonts w:eastAsia="宋体"/>
                <w:lang w:eastAsia="zh-CN"/>
              </w:rPr>
            </w:pPr>
            <w:r>
              <w:rPr>
                <w:rFonts w:cs="Arial"/>
              </w:rPr>
              <w:t>NOTE 1:</w:t>
            </w:r>
            <w:r>
              <w:rPr>
                <w:rFonts w:cs="Arial"/>
              </w:rPr>
              <w:tab/>
            </w:r>
            <w:r>
              <w:rPr>
                <w:rFonts w:cs="Arial"/>
              </w:rPr>
              <w:t>EIS</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46"/>
              <w:rPr>
                <w:lang w:eastAsia="en-GB"/>
              </w:rPr>
            </w:pPr>
            <w:r>
              <w:rPr>
                <w:rFonts w:eastAsia="宋体"/>
                <w:lang w:eastAsia="zh-CN"/>
              </w:rPr>
              <w:t>NOTE 2:</w:t>
            </w:r>
            <w:r>
              <w:rPr>
                <w:rFonts w:cs="Arial"/>
              </w:rP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above.</w:t>
            </w:r>
          </w:p>
        </w:tc>
      </w:tr>
    </w:tbl>
    <w:p>
      <w:pPr>
        <w:rPr>
          <w:rFonts w:eastAsia="Times New Roman"/>
        </w:rPr>
      </w:pP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:the existing range specified for EISREFSENS_50M could also applicable for 60GHz.</w:t>
      </w:r>
    </w:p>
    <w:p>
      <w:pPr>
        <w:rPr>
          <w:rFonts w:hint="default" w:eastAsia="宋体"/>
          <w:lang w:val="en-US" w:eastAsia="zh-CN"/>
        </w:rPr>
      </w:pPr>
    </w:p>
    <w:p>
      <w:pPr>
        <w:rPr>
          <w:rFonts w:hint="default" w:ascii="Arial" w:hAnsi="Arial" w:eastAsia="宋体" w:cs="Arial"/>
          <w:sz w:val="24"/>
          <w:szCs w:val="24"/>
          <w:lang w:val="en-US" w:eastAsia="zh-CN"/>
        </w:rPr>
      </w:pPr>
      <w:r>
        <w:rPr>
          <w:rFonts w:hint="eastAsia" w:ascii="Arial" w:hAnsi="Arial" w:eastAsia="宋体" w:cs="Arial"/>
          <w:sz w:val="24"/>
          <w:szCs w:val="24"/>
          <w:lang w:val="en-US" w:eastAsia="zh-CN"/>
        </w:rPr>
        <w:t>2.2. ACS/IBB requirements</w:t>
      </w:r>
    </w:p>
    <w:p>
      <w:pPr>
        <w:rPr>
          <w:rFonts w:hint="default" w:eastAsia="宋体"/>
          <w:kern w:val="0"/>
          <w:sz w:val="20"/>
          <w:szCs w:val="20"/>
          <w:lang w:val="en-US" w:eastAsia="zh-CN"/>
        </w:rPr>
      </w:pPr>
      <w:r>
        <w:rPr>
          <w:rFonts w:hint="eastAsia"/>
          <w:kern w:val="0"/>
          <w:sz w:val="20"/>
          <w:szCs w:val="20"/>
          <w:lang w:val="en-US" w:eastAsia="zh-CN"/>
        </w:rPr>
        <w:t xml:space="preserve">In the last RAN4 meeting, </w:t>
      </w:r>
      <w:r>
        <w:rPr>
          <w:rFonts w:hint="eastAsia" w:eastAsia="宋体"/>
          <w:kern w:val="0"/>
          <w:sz w:val="20"/>
          <w:szCs w:val="20"/>
          <w:lang w:val="en-US" w:eastAsia="zh-CN"/>
        </w:rPr>
        <w:t xml:space="preserve">there were some initial discussions to further evaluate coexistence performance for 60GHz </w:t>
      </w:r>
      <w:r>
        <w:rPr>
          <w:rFonts w:hint="eastAsia"/>
          <w:kern w:val="0"/>
          <w:sz w:val="20"/>
          <w:szCs w:val="20"/>
          <w:lang w:val="en-US" w:eastAsia="zh-CN"/>
        </w:rPr>
        <w:t>or</w:t>
      </w:r>
      <w:r>
        <w:rPr>
          <w:rFonts w:hint="eastAsia" w:eastAsia="宋体"/>
          <w:kern w:val="0"/>
          <w:sz w:val="20"/>
          <w:szCs w:val="20"/>
          <w:lang w:val="en-US" w:eastAsia="zh-CN"/>
        </w:rPr>
        <w:t xml:space="preserve"> whether coexistence work in TR 38.803 can be used as reference for the coexistence study for 60GHz. Based on our initial understandings, to increase the antenna array size for BS at 60GHz and lower the BS/UE maximum output power, this will only result in even lower ACIR values </w:t>
      </w:r>
      <w:r>
        <w:rPr>
          <w:rFonts w:hint="eastAsia"/>
          <w:kern w:val="0"/>
          <w:sz w:val="20"/>
          <w:szCs w:val="20"/>
          <w:lang w:val="en-US" w:eastAsia="zh-CN"/>
        </w:rPr>
        <w:t>with</w:t>
      </w:r>
      <w:r>
        <w:rPr>
          <w:rFonts w:hint="eastAsia" w:eastAsia="宋体"/>
          <w:kern w:val="0"/>
          <w:sz w:val="20"/>
          <w:szCs w:val="20"/>
          <w:lang w:val="en-US" w:eastAsia="zh-CN"/>
        </w:rPr>
        <w:t xml:space="preserve"> the the coexistence study. Based on our understandings, this agreed value in Table 2 is also feasibl</w:t>
      </w:r>
      <w:r>
        <w:rPr>
          <w:rFonts w:hint="eastAsia"/>
          <w:kern w:val="0"/>
          <w:sz w:val="20"/>
          <w:szCs w:val="20"/>
          <w:lang w:val="en-US" w:eastAsia="zh-CN"/>
        </w:rPr>
        <w:t>e, therefore we think it should be fine to agree ACS as 23dBcfor 60GHz.</w:t>
      </w:r>
    </w:p>
    <w:p>
      <w:pPr>
        <w:jc w:val="center"/>
        <w:rPr>
          <w:rFonts w:hint="eastAsia"/>
          <w:lang w:val="en-US" w:eastAsia="zh-CN"/>
        </w:rPr>
      </w:pPr>
      <w:r>
        <w:rPr>
          <w:rFonts w:hint="eastAsia" w:eastAsia="宋体"/>
          <w:b/>
          <w:bCs/>
          <w:kern w:val="0"/>
          <w:sz w:val="20"/>
          <w:szCs w:val="20"/>
          <w:lang w:val="en-US" w:eastAsia="zh-CN"/>
        </w:rPr>
        <w:t>Table 2. Way forward on BS ACLR and ACS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i w:val="0"/>
                <w:iCs/>
              </w:rPr>
              <w:t>BS</w:t>
            </w:r>
          </w:p>
        </w:tc>
        <w:tc>
          <w:tcPr>
            <w:tcW w:w="0" w:type="auto"/>
            <w:vAlign w:val="bottom"/>
          </w:tcPr>
          <w:p>
            <w:pPr>
              <w:pStyle w:val="32"/>
              <w:rPr>
                <w:rFonts w:hint="eastAsia"/>
                <w:i w:val="0"/>
                <w:iCs/>
                <w:lang w:val="en-US" w:eastAsia="zh-CN"/>
              </w:rPr>
            </w:pPr>
            <w:r>
              <w:rPr>
                <w:rFonts w:hint="default"/>
                <w:i w:val="0"/>
                <w:iCs/>
              </w:rPr>
              <w:t>30 GHz</w:t>
            </w:r>
          </w:p>
        </w:tc>
        <w:tc>
          <w:tcPr>
            <w:tcW w:w="0" w:type="auto"/>
            <w:vAlign w:val="bottom"/>
          </w:tcPr>
          <w:p>
            <w:pPr>
              <w:pStyle w:val="32"/>
              <w:rPr>
                <w:rFonts w:hint="eastAsia"/>
                <w:i w:val="0"/>
                <w:iCs/>
                <w:lang w:val="en-US" w:eastAsia="zh-CN"/>
              </w:rPr>
            </w:pPr>
            <w:r>
              <w:rPr>
                <w:rFonts w:hint="default"/>
                <w:i w:val="0"/>
                <w:iCs/>
              </w:rPr>
              <w:t>45 GHz</w:t>
            </w:r>
          </w:p>
        </w:tc>
        <w:tc>
          <w:tcPr>
            <w:tcW w:w="0" w:type="auto"/>
            <w:vAlign w:val="bottom"/>
          </w:tcPr>
          <w:p>
            <w:pPr>
              <w:pStyle w:val="32"/>
              <w:rPr>
                <w:rFonts w:hint="eastAsia"/>
                <w:i w:val="0"/>
                <w:iCs/>
                <w:lang w:val="en-US" w:eastAsia="zh-CN"/>
              </w:rPr>
            </w:pPr>
            <w:r>
              <w:rPr>
                <w:rFonts w:hint="default"/>
                <w:i w:val="0"/>
                <w:iC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vAlign w:val="bottom"/>
          </w:tcPr>
          <w:p>
            <w:pPr>
              <w:pStyle w:val="32"/>
              <w:rPr>
                <w:rFonts w:hint="eastAsia"/>
                <w:i w:val="0"/>
                <w:iCs/>
                <w:lang w:val="en-US" w:eastAsia="zh-CN"/>
              </w:rPr>
            </w:pPr>
            <w:r>
              <w:rPr>
                <w:rFonts w:hint="default"/>
                <w:i w:val="0"/>
                <w:iCs/>
              </w:rPr>
              <w:t>ACLR</w:t>
            </w:r>
          </w:p>
        </w:tc>
        <w:tc>
          <w:tcPr>
            <w:tcW w:w="0" w:type="auto"/>
            <w:vAlign w:val="bottom"/>
          </w:tcPr>
          <w:p>
            <w:pPr>
              <w:pStyle w:val="32"/>
              <w:rPr>
                <w:rFonts w:hint="eastAsia"/>
                <w:i w:val="0"/>
                <w:iCs/>
                <w:lang w:val="en-US" w:eastAsia="zh-CN"/>
              </w:rPr>
            </w:pPr>
            <w:r>
              <w:rPr>
                <w:rFonts w:hint="default"/>
                <w:i w:val="0"/>
                <w:iCs/>
              </w:rPr>
              <w:t>27.5</w:t>
            </w:r>
          </w:p>
        </w:tc>
        <w:tc>
          <w:tcPr>
            <w:tcW w:w="0" w:type="auto"/>
            <w:vAlign w:val="bottom"/>
          </w:tcPr>
          <w:p>
            <w:pPr>
              <w:pStyle w:val="32"/>
              <w:rPr>
                <w:rFonts w:hint="eastAsia"/>
                <w:i w:val="0"/>
                <w:iCs/>
                <w:lang w:val="en-US" w:eastAsia="zh-CN"/>
              </w:rPr>
            </w:pPr>
            <w:r>
              <w:rPr>
                <w:rFonts w:hint="default"/>
                <w:i w:val="0"/>
                <w:iCs/>
              </w:rPr>
              <w:t>25.5</w:t>
            </w:r>
          </w:p>
        </w:tc>
        <w:tc>
          <w:tcPr>
            <w:tcW w:w="0" w:type="auto"/>
            <w:vAlign w:val="bottom"/>
          </w:tcPr>
          <w:p>
            <w:pPr>
              <w:pStyle w:val="32"/>
              <w:rPr>
                <w:rFonts w:hint="eastAsia"/>
                <w:i w:val="0"/>
                <w:iCs/>
                <w:lang w:val="en-US" w:eastAsia="zh-CN"/>
              </w:rPr>
            </w:pPr>
            <w:r>
              <w:rPr>
                <w:rFonts w:hint="default"/>
                <w:i w:val="0"/>
                <w:iCs/>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rFonts w:hint="default"/>
                <w:i w:val="0"/>
                <w:iCs/>
              </w:rPr>
              <w:t>ACS</w:t>
            </w:r>
          </w:p>
        </w:tc>
        <w:tc>
          <w:tcPr>
            <w:tcW w:w="0" w:type="auto"/>
            <w:vAlign w:val="bottom"/>
          </w:tcPr>
          <w:p>
            <w:pPr>
              <w:pStyle w:val="32"/>
              <w:rPr>
                <w:rFonts w:hint="eastAsia"/>
                <w:i w:val="0"/>
                <w:iCs/>
                <w:lang w:val="en-US" w:eastAsia="zh-CN"/>
              </w:rPr>
            </w:pPr>
            <w:r>
              <w:rPr>
                <w:rFonts w:hint="default"/>
                <w:i w:val="0"/>
                <w:iCs/>
              </w:rPr>
              <w:t>23.5</w:t>
            </w:r>
          </w:p>
        </w:tc>
        <w:tc>
          <w:tcPr>
            <w:tcW w:w="0" w:type="auto"/>
            <w:vAlign w:val="bottom"/>
          </w:tcPr>
          <w:p>
            <w:pPr>
              <w:pStyle w:val="32"/>
              <w:rPr>
                <w:rFonts w:hint="eastAsia"/>
                <w:i w:val="0"/>
                <w:iCs/>
                <w:lang w:val="en-US" w:eastAsia="zh-CN"/>
              </w:rPr>
            </w:pPr>
            <w:r>
              <w:rPr>
                <w:rFonts w:hint="default"/>
                <w:i w:val="0"/>
                <w:iCs/>
              </w:rPr>
              <w:t>22.5</w:t>
            </w:r>
          </w:p>
        </w:tc>
        <w:tc>
          <w:tcPr>
            <w:tcW w:w="0" w:type="auto"/>
            <w:vAlign w:val="bottom"/>
          </w:tcPr>
          <w:p>
            <w:pPr>
              <w:pStyle w:val="32"/>
              <w:rPr>
                <w:rFonts w:hint="eastAsia"/>
                <w:i w:val="0"/>
                <w:iCs/>
                <w:lang w:val="en-US" w:eastAsia="zh-CN"/>
              </w:rPr>
            </w:pPr>
            <w:r>
              <w:rPr>
                <w:rFonts w:hint="default"/>
                <w:i w:val="0"/>
                <w:iCs/>
              </w:rPr>
              <w:t>21.5</w:t>
            </w:r>
          </w:p>
        </w:tc>
      </w:tr>
    </w:tbl>
    <w:p>
      <w:pPr>
        <w:rPr>
          <w:rFonts w:hint="eastAsia"/>
          <w:b/>
          <w:bCs/>
          <w:kern w:val="0"/>
          <w:sz w:val="20"/>
          <w:szCs w:val="20"/>
          <w:lang w:val="en-US" w:eastAsia="zh-CN"/>
        </w:rPr>
      </w:pPr>
      <w:r>
        <w:rPr>
          <w:rFonts w:hint="eastAsia"/>
          <w:kern w:val="0"/>
          <w:sz w:val="20"/>
          <w:szCs w:val="20"/>
          <w:lang w:val="en-US" w:eastAsia="zh-CN"/>
        </w:rPr>
        <w:t xml:space="preserve">In addition, for interfering signal of ACS requirement and IBB requirements, it should be updated as 100MHz instead of 50MHz since it was agreed that minimum channel bandwidth for this frequency range is 100MHz already. </w:t>
      </w:r>
    </w:p>
    <w:p>
      <w:pPr>
        <w:pStyle w:val="42"/>
        <w:rPr>
          <w:rFonts w:hint="default" w:eastAsia="宋体"/>
          <w:lang w:val="en-US" w:eastAsia="zh-CN"/>
        </w:rPr>
      </w:pPr>
      <w:r>
        <w:t xml:space="preserve">Table </w:t>
      </w:r>
      <w:r>
        <w:rPr>
          <w:rFonts w:eastAsia="宋体"/>
          <w:lang w:eastAsia="zh-CN"/>
        </w:rPr>
        <w:t>10.5.1.3</w:t>
      </w:r>
      <w:r>
        <w:t>-</w:t>
      </w:r>
      <w:r>
        <w:rPr>
          <w:rFonts w:eastAsia="宋体"/>
          <w:lang w:eastAsia="zh-CN"/>
        </w:rPr>
        <w:t>1</w:t>
      </w:r>
      <w:r>
        <w:t>: OTA A</w:t>
      </w:r>
      <w:r>
        <w:rPr>
          <w:rFonts w:eastAsia="宋体"/>
          <w:lang w:eastAsia="zh-CN"/>
        </w:rPr>
        <w:t xml:space="preserve">CS requirement for </w:t>
      </w:r>
      <w:r>
        <w:rPr>
          <w:rFonts w:hint="eastAsia" w:eastAsia="宋体"/>
          <w:i/>
          <w:lang w:val="en-US" w:eastAsia="zh-CN"/>
        </w:rPr>
        <w:t>60GHz</w:t>
      </w:r>
    </w:p>
    <w:tbl>
      <w:tblPr>
        <w:tblStyle w:val="21"/>
        <w:tblW w:w="7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t>Wanted signal mean power (dBm)</w:t>
            </w:r>
          </w:p>
        </w:tc>
        <w:tc>
          <w:tcPr>
            <w:tcW w:w="328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rFonts w:hint="default" w:eastAsia="宋体"/>
                <w:lang w:val="en-US" w:eastAsia="zh-CN"/>
              </w:rPr>
            </w:pPr>
            <w:r>
              <w:t>100, 200, 400</w:t>
            </w:r>
            <w:r>
              <w:rPr>
                <w:rFonts w:hint="eastAsia" w:eastAsia="宋体"/>
                <w:lang w:val="en-US" w:eastAsia="zh-CN"/>
              </w:rPr>
              <w:t>,800,1200,1600,2000</w:t>
            </w:r>
          </w:p>
        </w:tc>
        <w:tc>
          <w:tcPr>
            <w:tcW w:w="1792"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lang w:eastAsia="ja-JP"/>
              </w:rPr>
            </w:pPr>
            <w:r>
              <w:rPr>
                <w:rFonts w:cs="Arial"/>
                <w:highlight w:val="yellow"/>
              </w:rPr>
              <w:t>EIS</w:t>
            </w:r>
            <w:r>
              <w:rPr>
                <w:rFonts w:cs="Arial"/>
                <w:highlight w:val="yellow"/>
                <w:vertAlign w:val="subscript"/>
              </w:rPr>
              <w:t>REFSENS</w:t>
            </w:r>
            <w:r>
              <w:t xml:space="preserve"> + 6 dB </w:t>
            </w:r>
          </w:p>
        </w:tc>
        <w:tc>
          <w:tcPr>
            <w:tcW w:w="328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rPr>
                <w:rFonts w:cs="Arial"/>
                <w:highlight w:val="yellow"/>
              </w:rPr>
              <w:t>EIS</w:t>
            </w:r>
            <w:r>
              <w:rPr>
                <w:rFonts w:cs="Arial"/>
                <w:highlight w:val="yellow"/>
                <w:vertAlign w:val="subscript"/>
              </w:rPr>
              <w:t>REFSENS_50M</w:t>
            </w:r>
            <w:r>
              <w:rPr>
                <w:rFonts w:eastAsia="宋体"/>
                <w:highlight w:val="yellow"/>
                <w:lang w:eastAsia="zh-CN"/>
              </w:rPr>
              <w:t xml:space="preserve"> + 2</w:t>
            </w:r>
            <w:r>
              <w:rPr>
                <w:rFonts w:hint="eastAsia" w:eastAsia="宋体"/>
                <w:highlight w:val="yellow"/>
                <w:lang w:val="en-US" w:eastAsia="zh-CN"/>
              </w:rPr>
              <w:t>5</w:t>
            </w:r>
            <w:r>
              <w:rPr>
                <w:rFonts w:eastAsia="宋体"/>
                <w:highlight w:val="yellow"/>
                <w:lang w:eastAsia="zh-CN"/>
              </w:rPr>
              <w:t xml:space="preserve">.7 </w:t>
            </w:r>
            <w:r>
              <w:rPr>
                <w:rFonts w:cs="Arial"/>
                <w:highlight w:val="yellow"/>
              </w:rPr>
              <w:t xml:space="preserve">+ </w:t>
            </w:r>
            <w:r>
              <w:rPr>
                <w:highlight w:val="yellow"/>
              </w:rPr>
              <w:t>Δ</w:t>
            </w:r>
            <w:r>
              <w:rPr>
                <w:highlight w:val="yellow"/>
                <w:vertAlign w:val="subscript"/>
              </w:rPr>
              <w:t>FR2_REFSENS</w:t>
            </w:r>
            <w:r>
              <w:rPr>
                <w:rFonts w:eastAsia="宋体"/>
                <w:highlight w:val="yellow"/>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29" w:type="dxa"/>
            <w:gridSpan w:val="3"/>
            <w:tcBorders>
              <w:top w:val="single" w:color="auto" w:sz="4" w:space="0"/>
              <w:left w:val="single" w:color="auto" w:sz="4" w:space="0"/>
              <w:bottom w:val="single" w:color="auto" w:sz="4" w:space="0"/>
              <w:right w:val="single" w:color="auto" w:sz="4" w:space="0"/>
            </w:tcBorders>
          </w:tcPr>
          <w:p>
            <w:pPr>
              <w:pStyle w:val="46"/>
              <w:rPr>
                <w:rFonts w:cs="Arial"/>
              </w:rPr>
            </w:pPr>
            <w:r>
              <w:rPr>
                <w:rFonts w:eastAsia="宋体"/>
                <w:lang w:eastAsia="zh-CN"/>
              </w:rPr>
              <w:t>NOTE 3:</w:t>
            </w:r>
            <w:r>
              <w:rPr>
                <w:rFonts w:eastAsia="宋体"/>
                <w:lang w:eastAsia="zh-CN"/>
              </w:rPr>
              <w:tab/>
            </w:r>
            <w:r>
              <w:t>EIS</w:t>
            </w:r>
            <w:r>
              <w:rPr>
                <w:vertAlign w:val="subscript"/>
              </w:rPr>
              <w:t>REFSENS</w:t>
            </w:r>
            <w:r>
              <w:t xml:space="preserve"> is given in clause 10.3.3</w:t>
            </w:r>
          </w:p>
        </w:tc>
      </w:tr>
    </w:tbl>
    <w:p/>
    <w:p>
      <w:pPr>
        <w:pStyle w:val="42"/>
        <w:rPr>
          <w:rFonts w:hint="default" w:eastAsia="宋体"/>
          <w:highlight w:val="yellow"/>
          <w:lang w:val="en-US" w:eastAsia="zh-CN"/>
        </w:rPr>
      </w:pPr>
      <w:r>
        <w:rPr>
          <w:highlight w:val="yellow"/>
        </w:rPr>
        <w:t xml:space="preserve">Table </w:t>
      </w:r>
      <w:r>
        <w:rPr>
          <w:rFonts w:eastAsia="宋体"/>
          <w:highlight w:val="yellow"/>
          <w:lang w:eastAsia="zh-CN"/>
        </w:rPr>
        <w:t>10.5.1.3</w:t>
      </w:r>
      <w:r>
        <w:rPr>
          <w:highlight w:val="yellow"/>
        </w:rPr>
        <w:t>-</w:t>
      </w:r>
      <w:r>
        <w:rPr>
          <w:rFonts w:eastAsia="宋体"/>
          <w:highlight w:val="yellow"/>
          <w:lang w:eastAsia="zh-CN"/>
        </w:rPr>
        <w:t>2</w:t>
      </w:r>
      <w:r>
        <w:rPr>
          <w:highlight w:val="yellow"/>
        </w:rPr>
        <w:t>: OTA A</w:t>
      </w:r>
      <w:r>
        <w:rPr>
          <w:rFonts w:eastAsia="宋体"/>
          <w:highlight w:val="yellow"/>
          <w:lang w:eastAsia="zh-CN"/>
        </w:rPr>
        <w:t xml:space="preserve">CS interferer frequency offset for </w:t>
      </w:r>
      <w:r>
        <w:rPr>
          <w:rFonts w:hint="eastAsia" w:eastAsia="宋体"/>
          <w:i/>
          <w:highlight w:val="yellow"/>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32"/>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835" w:type="dxa"/>
            <w:shd w:val="clear" w:color="auto" w:fill="auto"/>
          </w:tcPr>
          <w:p>
            <w:pPr>
              <w:pStyle w:val="32"/>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lang w:val="en-GB" w:eastAsia="zh-CN" w:bidi="ar-SA"/>
              </w:rPr>
            </w:pPr>
            <w:r>
              <w:rPr>
                <w:rFonts w:eastAsia="宋体"/>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lang w:eastAsia="zh-CN"/>
              </w:rPr>
            </w:pPr>
            <w:r>
              <w:rPr>
                <w:rFonts w:hint="eastAsia" w:eastAsia="宋体"/>
                <w:highlight w:val="yellow"/>
                <w:lang w:val="en-US" w:eastAsia="zh-CN"/>
              </w:rPr>
              <w:t>10</w:t>
            </w:r>
            <w:r>
              <w:rPr>
                <w:rFonts w:eastAsia="宋体"/>
                <w:highlight w:val="yellow"/>
                <w:lang w:eastAsia="zh-CN"/>
              </w:rPr>
              <w:t>0</w:t>
            </w:r>
            <w:r>
              <w:rPr>
                <w:rFonts w:eastAsia="宋体"/>
                <w:highlight w:val="yellow"/>
                <w:lang w:val="en-US" w:eastAsia="zh-CN"/>
              </w:rPr>
              <w:t> </w:t>
            </w:r>
            <w:r>
              <w:rPr>
                <w:rFonts w:eastAsia="宋体"/>
                <w:highlight w:val="yellow"/>
                <w:lang w:eastAsia="zh-CN"/>
              </w:rPr>
              <w:t>MHz DFT-s-OFDM NR signal,</w:t>
            </w:r>
            <w:r>
              <w:rPr>
                <w:rFonts w:hint="eastAsia" w:eastAsia="宋体"/>
                <w:highlight w:val="yellow"/>
                <w:lang w:val="en-US" w:eastAsia="zh-CN"/>
              </w:rPr>
              <w:t>120</w:t>
            </w:r>
            <w:r>
              <w:rPr>
                <w:rFonts w:eastAsia="宋体"/>
                <w:highlight w:val="yellow"/>
                <w:lang w:eastAsia="zh-CN"/>
              </w:rPr>
              <w:t xml:space="preserve"> kHz SCS, 6</w:t>
            </w:r>
            <w:r>
              <w:rPr>
                <w:rFonts w:hint="eastAsia" w:eastAsia="宋体"/>
                <w:highlight w:val="yellow"/>
                <w:lang w:val="en-US" w:eastAsia="zh-CN"/>
              </w:rPr>
              <w:t>4</w:t>
            </w:r>
            <w:r>
              <w:rPr>
                <w:rFonts w:eastAsia="宋体"/>
                <w:highlight w:val="yellow"/>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lang w:val="en-GB" w:eastAsia="zh-CN" w:bidi="ar-SA"/>
              </w:rPr>
            </w:pPr>
            <w:r>
              <w:rPr>
                <w:rFonts w:eastAsia="宋体"/>
                <w:lang w:eastAsia="zh-CN"/>
              </w:rPr>
              <w:t>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lang w:val="en-GB" w:eastAsia="zh-CN" w:bidi="ar-SA"/>
              </w:rPr>
            </w:pPr>
            <w:r>
              <w:rPr>
                <w:rFonts w:eastAsia="宋体"/>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lang w:val="en-US" w:eastAsia="zh-CN"/>
              </w:rPr>
            </w:pPr>
            <w:r>
              <w:rPr>
                <w:rFonts w:hint="eastAsia" w:eastAsia="宋体"/>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lang w:val="en-US" w:eastAsia="zh-CN"/>
              </w:rPr>
            </w:pPr>
            <w:r>
              <w:rPr>
                <w:rFonts w:hint="eastAsia" w:eastAsia="宋体"/>
                <w:lang w:val="en-US" w:eastAsia="zh-CN"/>
              </w:rPr>
              <w:t>1200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lang w:val="en-US" w:eastAsia="zh-CN"/>
              </w:rPr>
            </w:pPr>
            <w:r>
              <w:rPr>
                <w:rFonts w:hint="eastAsia" w:eastAsia="宋体"/>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lang w:val="en-US" w:eastAsia="zh-CN"/>
              </w:rPr>
            </w:pPr>
            <w:r>
              <w:rPr>
                <w:rFonts w:hint="eastAsia" w:eastAsia="宋体"/>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rPr>
            </w:pPr>
            <w:r>
              <w:rPr>
                <w:rFonts w:hint="default" w:ascii="Arial" w:hAnsi="Arial" w:eastAsia="宋体" w:cs="Arial"/>
                <w:i w:val="0"/>
                <w:color w:val="000000"/>
                <w:kern w:val="0"/>
                <w:sz w:val="18"/>
                <w:szCs w:val="18"/>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lang w:eastAsia="zh-CN"/>
              </w:rPr>
            </w:pPr>
          </w:p>
        </w:tc>
      </w:tr>
    </w:tbl>
    <w:p>
      <w:pPr>
        <w:pBdr>
          <w:top w:val="none" w:color="auto" w:sz="0" w:space="0"/>
          <w:left w:val="none" w:color="auto" w:sz="0" w:space="0"/>
          <w:bottom w:val="none" w:color="auto" w:sz="0" w:space="0"/>
          <w:right w:val="none" w:color="auto" w:sz="0" w:space="0"/>
          <w:between w:val="none" w:color="auto" w:sz="0" w:space="0"/>
        </w:pBdr>
        <w:rPr>
          <w:rFonts w:hint="eastAsia"/>
          <w:b/>
          <w:bCs/>
          <w:kern w:val="0"/>
          <w:sz w:val="20"/>
          <w:szCs w:val="20"/>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lang w:val="en-US" w:eastAsia="zh-CN"/>
        </w:rPr>
      </w:pPr>
      <w:r>
        <w:rPr>
          <w:rFonts w:hint="eastAsia"/>
          <w:b/>
          <w:bCs/>
          <w:kern w:val="0"/>
          <w:sz w:val="20"/>
          <w:szCs w:val="20"/>
          <w:lang w:val="en-US" w:eastAsia="zh-CN"/>
        </w:rPr>
        <w:t>Proposal 2</w:t>
      </w:r>
      <w:r>
        <w:rPr>
          <w:rFonts w:hint="eastAsia"/>
          <w:b w:val="0"/>
          <w:bCs w:val="0"/>
          <w:kern w:val="0"/>
          <w:sz w:val="20"/>
          <w:szCs w:val="20"/>
          <w:lang w:val="en-US" w:eastAsia="zh-CN"/>
        </w:rPr>
        <w:t>: to agree ACS as 23dBc for 60GHz and channel bandwidth of interfering signal should be 100MHz;</w:t>
      </w:r>
    </w:p>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lang w:val="en-US" w:eastAsia="zh-CN"/>
        </w:rPr>
      </w:pPr>
    </w:p>
    <w:p>
      <w:pPr>
        <w:rPr>
          <w:rFonts w:hint="eastAsia"/>
          <w:kern w:val="0"/>
          <w:sz w:val="20"/>
          <w:szCs w:val="20"/>
          <w:lang w:val="en-US" w:eastAsia="zh-CN"/>
        </w:rPr>
      </w:pPr>
      <w:r>
        <w:rPr>
          <w:rFonts w:hint="eastAsia"/>
          <w:kern w:val="0"/>
          <w:sz w:val="20"/>
          <w:szCs w:val="20"/>
          <w:lang w:val="en-US" w:eastAsia="zh-CN"/>
        </w:rPr>
        <w:t>For IBB requirements, typically 33dB offset from reference sensitivity used for interfering signal could also be applied for 60GHz here.</w:t>
      </w:r>
    </w:p>
    <w:p>
      <w:pPr>
        <w:rPr>
          <w:rFonts w:hint="default"/>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a 33dB offset from the reference sensitivity used for interfering signal could also been applied for 60GHz.</w:t>
      </w:r>
    </w:p>
    <w:p>
      <w:pPr>
        <w:pStyle w:val="42"/>
        <w:rPr>
          <w:rFonts w:hint="default" w:eastAsia="宋体"/>
          <w:lang w:val="en-US" w:eastAsia="zh-CN"/>
        </w:rPr>
      </w:pPr>
      <w:r>
        <w:t xml:space="preserve">Table </w:t>
      </w:r>
      <w:r>
        <w:rPr>
          <w:rFonts w:eastAsia="宋体"/>
          <w:lang w:eastAsia="zh-CN"/>
        </w:rPr>
        <w:t>10.5.2.3</w:t>
      </w:r>
      <w:r>
        <w:t>-</w:t>
      </w:r>
      <w:r>
        <w:rPr>
          <w:rFonts w:eastAsia="宋体"/>
          <w:lang w:eastAsia="zh-CN"/>
        </w:rPr>
        <w:t>1</w:t>
      </w:r>
      <w:r>
        <w:t xml:space="preserve">: General OTA blocking requirement for </w:t>
      </w:r>
      <w:r>
        <w:rPr>
          <w:rFonts w:hint="eastAsia"/>
          <w:i/>
          <w:lang w:val="en-US" w:eastAsia="zh-CN"/>
        </w:rPr>
        <w:t>60GHz</w:t>
      </w:r>
    </w:p>
    <w:tbl>
      <w:tblPr>
        <w:tblStyle w:val="2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768"/>
        <w:gridCol w:w="1962"/>
        <w:gridCol w:w="1749"/>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pPr>
            <w:r>
              <w:rPr>
                <w:i/>
              </w:rPr>
              <w:t>BS channel bandwidth</w:t>
            </w:r>
            <w:r>
              <w:t xml:space="preserve"> of the </w:t>
            </w:r>
            <w:r>
              <w:rPr>
                <w:i/>
              </w:rPr>
              <w:t>lowest/highest carrier</w:t>
            </w:r>
            <w:r>
              <w:t xml:space="preserve"> received (MHz)</w:t>
            </w:r>
          </w:p>
        </w:tc>
        <w:tc>
          <w:tcPr>
            <w:tcW w:w="176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t>OTA wanted signal mean power (dBm)</w:t>
            </w:r>
          </w:p>
        </w:tc>
        <w:tc>
          <w:tcPr>
            <w:tcW w:w="196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rPr>
                <w:rFonts w:cs="Arial"/>
              </w:rPr>
              <w:t>OTA interfering signal mean power (dBm)</w:t>
            </w:r>
          </w:p>
        </w:tc>
        <w:tc>
          <w:tcPr>
            <w:tcW w:w="174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pPr>
            <w:r>
              <w:t>OTA interfering signal centre frequency offset</w:t>
            </w:r>
          </w:p>
          <w:p>
            <w:pPr>
              <w:pStyle w:val="32"/>
              <w:tabs>
                <w:tab w:val="left" w:pos="540"/>
                <w:tab w:val="left" w:pos="1260"/>
                <w:tab w:val="left" w:pos="1800"/>
              </w:tabs>
              <w:rPr>
                <w:lang w:eastAsia="ja-JP"/>
              </w:rPr>
            </w:pP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21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t>100, 200, 400</w:t>
            </w:r>
            <w:r>
              <w:rPr>
                <w:rFonts w:hint="eastAsia" w:eastAsia="宋体"/>
                <w:lang w:val="en-US" w:eastAsia="zh-CN"/>
              </w:rPr>
              <w:t>,800,1200,1600,2000</w:t>
            </w:r>
          </w:p>
        </w:tc>
        <w:tc>
          <w:tcPr>
            <w:tcW w:w="176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lang w:eastAsia="ja-JP"/>
              </w:rPr>
            </w:pPr>
            <w:r>
              <w:rPr>
                <w:rFonts w:cs="Arial"/>
              </w:rPr>
              <w:t>EIS</w:t>
            </w:r>
            <w:r>
              <w:rPr>
                <w:rFonts w:cs="Arial"/>
                <w:vertAlign w:val="subscript"/>
              </w:rPr>
              <w:t>REFSENS</w:t>
            </w:r>
            <w:r>
              <w:t xml:space="preserve"> + 6 dB</w:t>
            </w:r>
          </w:p>
        </w:tc>
        <w:tc>
          <w:tcPr>
            <w:tcW w:w="196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val="sv-SE" w:eastAsia="zh-CN"/>
              </w:rPr>
            </w:pPr>
            <w:r>
              <w:rPr>
                <w:rFonts w:cs="Arial"/>
                <w:lang w:val="sv-SE"/>
              </w:rPr>
              <w:t>EIS</w:t>
            </w:r>
            <w:r>
              <w:rPr>
                <w:rFonts w:cs="Arial"/>
                <w:vertAlign w:val="subscript"/>
                <w:lang w:val="sv-SE"/>
              </w:rPr>
              <w:t>REFSENS_50M</w:t>
            </w:r>
            <w:r>
              <w:rPr>
                <w:lang w:val="sv-SE"/>
              </w:rPr>
              <w:t xml:space="preserve"> + 33 </w:t>
            </w:r>
            <w:r>
              <w:rPr>
                <w:rFonts w:cs="Arial"/>
                <w:lang w:val="sv-SE"/>
              </w:rPr>
              <w:t xml:space="preserve">+ </w:t>
            </w:r>
            <w:r>
              <w:t>Δ</w:t>
            </w:r>
            <w:r>
              <w:rPr>
                <w:vertAlign w:val="subscript"/>
                <w:lang w:val="sv-SE"/>
              </w:rPr>
              <w:t>FR2_REFSENS</w:t>
            </w:r>
          </w:p>
        </w:tc>
        <w:tc>
          <w:tcPr>
            <w:tcW w:w="174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rPr>
                <w:rFonts w:cs="Arial"/>
              </w:rPr>
              <w:t>±</w:t>
            </w:r>
            <w:r>
              <w:t>75</w:t>
            </w:r>
          </w:p>
        </w:tc>
        <w:tc>
          <w:tcPr>
            <w:tcW w:w="221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pPr>
            <w:r>
              <w:rPr>
                <w:rFonts w:hint="eastAsia" w:eastAsia="宋体"/>
                <w:lang w:val="en-US" w:eastAsia="zh-CN"/>
              </w:rPr>
              <w:t>10</w:t>
            </w:r>
            <w:r>
              <w:t xml:space="preserve">0 MHz </w:t>
            </w:r>
            <w:r>
              <w:rPr>
                <w:lang w:val="en-US"/>
              </w:rPr>
              <w:t xml:space="preserve">DFT-s-OFDM </w:t>
            </w:r>
            <w:r>
              <w:rPr>
                <w:rFonts w:eastAsia="宋体"/>
                <w:lang w:eastAsia="zh-CN"/>
              </w:rPr>
              <w:t>NR</w:t>
            </w:r>
            <w:r>
              <w:t xml:space="preserve"> signal,</w:t>
            </w:r>
          </w:p>
          <w:p>
            <w:pPr>
              <w:pStyle w:val="33"/>
              <w:tabs>
                <w:tab w:val="left" w:pos="540"/>
                <w:tab w:val="left" w:pos="1260"/>
                <w:tab w:val="left" w:pos="1800"/>
              </w:tabs>
              <w:rPr>
                <w:lang w:eastAsia="ja-JP"/>
              </w:rPr>
            </w:pPr>
            <w:r>
              <w:rPr>
                <w:rFonts w:hint="eastAsia" w:eastAsia="宋体"/>
                <w:lang w:val="en-US" w:eastAsia="zh-CN"/>
              </w:rPr>
              <w:t>12</w:t>
            </w:r>
            <w:r>
              <w:t>0 kHz SCS</w:t>
            </w:r>
            <w:r>
              <w:rPr>
                <w:rFonts w:cs="Arial"/>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46"/>
            </w:pPr>
            <w:r>
              <w:rPr>
                <w:rFonts w:eastAsia="宋体"/>
              </w:rPr>
              <w:t>NOTE:</w:t>
            </w:r>
            <w:r>
              <w:tab/>
            </w:r>
            <w:r>
              <w:t>EIS</w:t>
            </w:r>
            <w:r>
              <w:rPr>
                <w:vertAlign w:val="subscript"/>
              </w:rPr>
              <w:t>REFSENS</w:t>
            </w:r>
            <w:r>
              <w:t xml:space="preserve"> and EIS</w:t>
            </w:r>
            <w:r>
              <w:rPr>
                <w:vertAlign w:val="subscript"/>
              </w:rPr>
              <w:t>REFSENS_50M</w:t>
            </w:r>
            <w:r>
              <w:t xml:space="preserve"> are given in clause 10.3.3.</w:t>
            </w:r>
          </w:p>
        </w:tc>
      </w:tr>
    </w:tbl>
    <w:p>
      <w:pPr>
        <w:rPr>
          <w:rFonts w:hint="default"/>
          <w:lang w:val="en-US" w:eastAsia="zh-CN"/>
        </w:rPr>
      </w:pPr>
    </w:p>
    <w:p>
      <w:pPr>
        <w:rPr>
          <w:rFonts w:hint="default" w:ascii="Arial" w:hAnsi="Arial" w:eastAsia="宋体" w:cs="Arial"/>
          <w:sz w:val="24"/>
          <w:szCs w:val="24"/>
          <w:lang w:val="en-US" w:eastAsia="zh-CN"/>
        </w:rPr>
      </w:pPr>
      <w:r>
        <w:rPr>
          <w:rFonts w:hint="eastAsia" w:ascii="Arial" w:hAnsi="Arial" w:eastAsia="宋体" w:cs="Arial"/>
          <w:sz w:val="24"/>
          <w:szCs w:val="24"/>
          <w:lang w:val="en-US" w:eastAsia="zh-CN"/>
        </w:rPr>
        <w:t>2.4. RX IMD requirements</w:t>
      </w:r>
    </w:p>
    <w:p>
      <w:pPr>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0"/>
          <w:sz w:val="20"/>
          <w:szCs w:val="20"/>
          <w:lang w:val="en-US" w:eastAsia="zh-CN"/>
        </w:rPr>
      </w:pPr>
      <w:r>
        <w:rPr>
          <w:rFonts w:hint="eastAsia"/>
          <w:b w:val="0"/>
          <w:bCs w:val="0"/>
          <w:kern w:val="0"/>
          <w:sz w:val="20"/>
          <w:szCs w:val="20"/>
          <w:lang w:val="en-US" w:eastAsia="zh-CN"/>
        </w:rPr>
        <w:t>Similar as in-band blocking, the interferer levels for general receiver intermodulation should be derived by applying an offset of 8 dB below OTA blocking levels. In addition, the in</w:t>
      </w: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0"/>
          <w:sz w:val="20"/>
          <w:szCs w:val="20"/>
          <w:lang w:val="en-US" w:eastAsia="zh-CN"/>
        </w:rPr>
      </w:pPr>
      <w:r>
        <w:rPr>
          <w:rFonts w:hint="eastAsia"/>
          <w:b w:val="0"/>
          <w:bCs w:val="0"/>
          <w:kern w:val="0"/>
          <w:sz w:val="20"/>
          <w:szCs w:val="20"/>
          <w:lang w:val="en-US" w:eastAsia="zh-CN"/>
        </w:rPr>
        <w:t>For the frequency offset of RX IMD requirement, since this is related with SU of wanted signal and interfering signal, therefore it</w:t>
      </w:r>
      <w:r>
        <w:rPr>
          <w:rFonts w:hint="default"/>
          <w:b w:val="0"/>
          <w:bCs w:val="0"/>
          <w:kern w:val="0"/>
          <w:sz w:val="20"/>
          <w:szCs w:val="20"/>
          <w:lang w:val="en-US" w:eastAsia="zh-CN"/>
        </w:rPr>
        <w:t>’</w:t>
      </w:r>
      <w:r>
        <w:rPr>
          <w:rFonts w:hint="eastAsia"/>
          <w:b w:val="0"/>
          <w:bCs w:val="0"/>
          <w:kern w:val="0"/>
          <w:sz w:val="20"/>
          <w:szCs w:val="20"/>
          <w:lang w:val="en-US" w:eastAsia="zh-CN"/>
        </w:rPr>
        <w:t>s better to postpone the discussion until there are clear agreement for SU of 60GHz.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lang w:val="en-US" w:eastAsia="zh-CN"/>
        </w:rPr>
        <w:t>Proposal 4:</w:t>
      </w:r>
      <w:r>
        <w:rPr>
          <w:rFonts w:hint="eastAsia"/>
          <w:b w:val="0"/>
          <w:bCs w:val="0"/>
          <w:kern w:val="0"/>
          <w:sz w:val="20"/>
          <w:szCs w:val="20"/>
          <w:lang w:val="en-US" w:eastAsia="zh-CN"/>
        </w:rPr>
        <w:t>to apply an offset of 8 dB below OTA blocking levels for RX IMD interfering signal.</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further</w:t>
      </w:r>
      <w:r>
        <w:rPr>
          <w:rFonts w:hint="eastAsia"/>
          <w:kern w:val="0"/>
          <w:sz w:val="20"/>
          <w:szCs w:val="20"/>
          <w:lang w:val="en-US" w:eastAsia="zh-CN"/>
        </w:rPr>
        <w:t xml:space="preserve"> considerations on each BS Rx requirements for 60GHz and some proposals and observations are made as following:</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:the existing range specified for EISREFSENS_50M could also applicable for 60GHz.</w:t>
      </w:r>
    </w:p>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lang w:val="en-US" w:eastAsia="zh-CN"/>
        </w:rPr>
      </w:pPr>
      <w:r>
        <w:rPr>
          <w:rFonts w:hint="eastAsia"/>
          <w:b/>
          <w:bCs/>
          <w:kern w:val="0"/>
          <w:sz w:val="20"/>
          <w:szCs w:val="20"/>
          <w:lang w:val="en-US" w:eastAsia="zh-CN"/>
        </w:rPr>
        <w:t>Proposal 2</w:t>
      </w:r>
      <w:r>
        <w:rPr>
          <w:rFonts w:hint="eastAsia"/>
          <w:b w:val="0"/>
          <w:bCs w:val="0"/>
          <w:kern w:val="0"/>
          <w:sz w:val="20"/>
          <w:szCs w:val="20"/>
          <w:lang w:val="en-US" w:eastAsia="zh-CN"/>
        </w:rPr>
        <w:t>: to agree ACS as 23dBc for 60GHz and channel bandwidth of interfering signal should be 100MHz;</w:t>
      </w:r>
    </w:p>
    <w:p>
      <w:pPr>
        <w:rPr>
          <w:rFonts w:hint="eastAsia"/>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a 33dB offset from the reference sensitivity used for interfering signal could also been applied for 60GHz.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lang w:val="en-US" w:eastAsia="zh-CN"/>
        </w:rPr>
        <w:t>Proposal 4:</w:t>
      </w:r>
      <w:r>
        <w:rPr>
          <w:rFonts w:hint="eastAsia"/>
          <w:b w:val="0"/>
          <w:bCs w:val="0"/>
          <w:kern w:val="0"/>
          <w:sz w:val="20"/>
          <w:szCs w:val="20"/>
          <w:lang w:val="en-US" w:eastAsia="zh-CN"/>
        </w:rPr>
        <w:t>to apply an offset of 8 dB below OTA blocking levels for RX IMD interfering signal.</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eastAsia="宋体" w:cs="Times New Roman"/>
          <w:b w:val="0"/>
          <w:i w:val="0"/>
          <w:caps w:val="0"/>
          <w:color w:val="000000"/>
          <w:spacing w:val="0"/>
          <w:sz w:val="18"/>
          <w:szCs w:val="18"/>
          <w:shd w:val="clear" w:fill="FFFFFF"/>
        </w:rPr>
      </w:pPr>
      <w:r>
        <w:rPr>
          <w:rFonts w:hint="eastAsia" w:ascii="Times New Roman" w:hAnsi="Times New Roman" w:eastAsia="宋体" w:cs="Times New Roman"/>
          <w:b w:val="0"/>
          <w:i w:val="0"/>
          <w:caps w:val="0"/>
          <w:color w:val="000000"/>
          <w:spacing w:val="0"/>
          <w:sz w:val="18"/>
          <w:szCs w:val="18"/>
          <w:shd w:val="clear" w:fill="FFFFFF"/>
        </w:rPr>
        <w:t>R4-2106114</w:t>
      </w:r>
      <w:r>
        <w:rPr>
          <w:rFonts w:hint="eastAsia" w:cs="Times New Roman"/>
          <w:b w:val="0"/>
          <w:i w:val="0"/>
          <w:caps w:val="0"/>
          <w:color w:val="000000"/>
          <w:spacing w:val="0"/>
          <w:sz w:val="18"/>
          <w:szCs w:val="18"/>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shd w:val="clear" w:fill="FFFFFF"/>
        </w:rPr>
        <w:t>WF on BS RF RX requirements for 52.6 – 71 GHz, approved.</w:t>
      </w:r>
    </w:p>
    <w:p>
      <w:pPr>
        <w:pStyle w:val="51"/>
        <w:numPr>
          <w:ilvl w:val="0"/>
          <w:numId w:val="2"/>
        </w:numPr>
        <w:rPr>
          <w:rFonts w:ascii="Arial" w:hAnsi="Arial" w:eastAsia="宋体" w:cs="Arial"/>
          <w:b w:val="0"/>
          <w:i w:val="0"/>
          <w:caps w:val="0"/>
          <w:color w:val="000000"/>
          <w:spacing w:val="0"/>
          <w:sz w:val="18"/>
          <w:szCs w:val="18"/>
          <w:shd w:val="clear" w:fill="FFFFFF"/>
        </w:rPr>
      </w:pPr>
      <w:r>
        <w:rPr>
          <w:rFonts w:hint="eastAsia" w:cs="Times New Roman"/>
          <w:b w:val="0"/>
          <w:i w:val="0"/>
          <w:caps w:val="0"/>
          <w:color w:val="000000"/>
          <w:spacing w:val="0"/>
          <w:sz w:val="18"/>
          <w:szCs w:val="18"/>
          <w:shd w:val="clear" w:fill="FFFFFF"/>
          <w:lang w:val="en-US" w:eastAsia="zh-CN"/>
        </w:rPr>
        <w:t>TR 38.808</w:t>
      </w:r>
    </w:p>
    <w:p>
      <w:pPr>
        <w:pStyle w:val="51"/>
        <w:numPr>
          <w:ilvl w:val="0"/>
          <w:numId w:val="2"/>
        </w:numPr>
        <w:rPr>
          <w:rFonts w:hint="default" w:ascii="Times New Roman" w:hAnsi="Times New Roman" w:cs="Times New Roman"/>
          <w:sz w:val="20"/>
          <w:szCs w:val="20"/>
        </w:rPr>
      </w:pPr>
      <w:r>
        <w:rPr>
          <w:rFonts w:hint="default" w:ascii="Times New Roman" w:hAnsi="Times New Roman" w:cs="Times New Roman"/>
          <w:sz w:val="20"/>
          <w:szCs w:val="20"/>
        </w:rPr>
        <w:t>R4-1700302</w:t>
      </w:r>
      <w:r>
        <w:rPr>
          <w:rFonts w:hint="eastAsia" w:cs="Times New Roman"/>
          <w:sz w:val="20"/>
          <w:szCs w:val="20"/>
          <w:lang w:val="en-US" w:eastAsia="zh-CN"/>
        </w:rPr>
        <w:t>,Way forward on ACLR &amp; ACS for WP5D LS, approved.</w:t>
      </w: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796A37"/>
    <w:rsid w:val="027E7FD1"/>
    <w:rsid w:val="028748E0"/>
    <w:rsid w:val="02892A7A"/>
    <w:rsid w:val="029342BD"/>
    <w:rsid w:val="02B06DC0"/>
    <w:rsid w:val="02B31189"/>
    <w:rsid w:val="02B5012C"/>
    <w:rsid w:val="02C86D51"/>
    <w:rsid w:val="02CE3DD2"/>
    <w:rsid w:val="02DC6BBC"/>
    <w:rsid w:val="02E3271D"/>
    <w:rsid w:val="02E929C0"/>
    <w:rsid w:val="02F573DC"/>
    <w:rsid w:val="02F95CD1"/>
    <w:rsid w:val="030150CB"/>
    <w:rsid w:val="03186045"/>
    <w:rsid w:val="031E0FAC"/>
    <w:rsid w:val="031E4C95"/>
    <w:rsid w:val="032E4DBB"/>
    <w:rsid w:val="0331128A"/>
    <w:rsid w:val="03332CAE"/>
    <w:rsid w:val="03343BC7"/>
    <w:rsid w:val="033D4705"/>
    <w:rsid w:val="033F52A3"/>
    <w:rsid w:val="03402EB3"/>
    <w:rsid w:val="034D5654"/>
    <w:rsid w:val="0354325C"/>
    <w:rsid w:val="035C4C68"/>
    <w:rsid w:val="03651217"/>
    <w:rsid w:val="03687ADD"/>
    <w:rsid w:val="036A231E"/>
    <w:rsid w:val="03774924"/>
    <w:rsid w:val="03822F79"/>
    <w:rsid w:val="039B69FD"/>
    <w:rsid w:val="03A32E58"/>
    <w:rsid w:val="03C0647A"/>
    <w:rsid w:val="03D4427A"/>
    <w:rsid w:val="03F54B29"/>
    <w:rsid w:val="03FF3D36"/>
    <w:rsid w:val="04105E9A"/>
    <w:rsid w:val="041875C1"/>
    <w:rsid w:val="04252816"/>
    <w:rsid w:val="04376B0F"/>
    <w:rsid w:val="0444783F"/>
    <w:rsid w:val="044753DC"/>
    <w:rsid w:val="045E1DEE"/>
    <w:rsid w:val="04786ED3"/>
    <w:rsid w:val="048829D4"/>
    <w:rsid w:val="04BC324F"/>
    <w:rsid w:val="050C5E3D"/>
    <w:rsid w:val="051034CD"/>
    <w:rsid w:val="051F43BC"/>
    <w:rsid w:val="053E1AC2"/>
    <w:rsid w:val="05583DC1"/>
    <w:rsid w:val="05816D10"/>
    <w:rsid w:val="05930F73"/>
    <w:rsid w:val="05940F3F"/>
    <w:rsid w:val="05B173DC"/>
    <w:rsid w:val="05B27D07"/>
    <w:rsid w:val="05B658ED"/>
    <w:rsid w:val="05BE42A5"/>
    <w:rsid w:val="05D16BC6"/>
    <w:rsid w:val="05EE3B4E"/>
    <w:rsid w:val="060C4FD6"/>
    <w:rsid w:val="060D249E"/>
    <w:rsid w:val="06111076"/>
    <w:rsid w:val="06260B4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D5028"/>
    <w:rsid w:val="076F4BA4"/>
    <w:rsid w:val="077F542D"/>
    <w:rsid w:val="077F5D16"/>
    <w:rsid w:val="07817B19"/>
    <w:rsid w:val="07916BE4"/>
    <w:rsid w:val="07A2728D"/>
    <w:rsid w:val="07AA3E51"/>
    <w:rsid w:val="07D835FB"/>
    <w:rsid w:val="07DD018B"/>
    <w:rsid w:val="07E014BE"/>
    <w:rsid w:val="07E85751"/>
    <w:rsid w:val="0800676F"/>
    <w:rsid w:val="08073429"/>
    <w:rsid w:val="08171593"/>
    <w:rsid w:val="0835476E"/>
    <w:rsid w:val="08367FC2"/>
    <w:rsid w:val="084E0029"/>
    <w:rsid w:val="08557BDD"/>
    <w:rsid w:val="085D6C7E"/>
    <w:rsid w:val="08611CAF"/>
    <w:rsid w:val="0865781A"/>
    <w:rsid w:val="0866133E"/>
    <w:rsid w:val="087E046C"/>
    <w:rsid w:val="08813C88"/>
    <w:rsid w:val="08942BDF"/>
    <w:rsid w:val="089852F1"/>
    <w:rsid w:val="08990610"/>
    <w:rsid w:val="089D6B7D"/>
    <w:rsid w:val="08B21918"/>
    <w:rsid w:val="08B40442"/>
    <w:rsid w:val="08B94847"/>
    <w:rsid w:val="08C14001"/>
    <w:rsid w:val="08E61B8C"/>
    <w:rsid w:val="09016732"/>
    <w:rsid w:val="09127CF4"/>
    <w:rsid w:val="092234B5"/>
    <w:rsid w:val="092C26C9"/>
    <w:rsid w:val="09353200"/>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6255E6"/>
    <w:rsid w:val="0A7200B0"/>
    <w:rsid w:val="0A771CA5"/>
    <w:rsid w:val="0A843B9D"/>
    <w:rsid w:val="0A8621F2"/>
    <w:rsid w:val="0A8C711B"/>
    <w:rsid w:val="0A8F1F9F"/>
    <w:rsid w:val="0A9B6BF5"/>
    <w:rsid w:val="0AB329A9"/>
    <w:rsid w:val="0ABA55D8"/>
    <w:rsid w:val="0ACD4245"/>
    <w:rsid w:val="0AD57FD6"/>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93015"/>
    <w:rsid w:val="0D1A52C8"/>
    <w:rsid w:val="0D2767B5"/>
    <w:rsid w:val="0D346E85"/>
    <w:rsid w:val="0D3E327E"/>
    <w:rsid w:val="0D5552FB"/>
    <w:rsid w:val="0D5800C7"/>
    <w:rsid w:val="0D6A353C"/>
    <w:rsid w:val="0D904522"/>
    <w:rsid w:val="0D976014"/>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3B6AEF"/>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1C339B"/>
    <w:rsid w:val="10220F60"/>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80866"/>
    <w:rsid w:val="10FA45D2"/>
    <w:rsid w:val="11024527"/>
    <w:rsid w:val="110A4489"/>
    <w:rsid w:val="11150F62"/>
    <w:rsid w:val="111A28E5"/>
    <w:rsid w:val="1122559B"/>
    <w:rsid w:val="112F54D2"/>
    <w:rsid w:val="1133321C"/>
    <w:rsid w:val="11461F96"/>
    <w:rsid w:val="114C3CA8"/>
    <w:rsid w:val="114D3A1D"/>
    <w:rsid w:val="11576536"/>
    <w:rsid w:val="11607F73"/>
    <w:rsid w:val="117561EB"/>
    <w:rsid w:val="117824F0"/>
    <w:rsid w:val="117E2370"/>
    <w:rsid w:val="11847341"/>
    <w:rsid w:val="118E7D11"/>
    <w:rsid w:val="11AC7561"/>
    <w:rsid w:val="11AF439E"/>
    <w:rsid w:val="11B66269"/>
    <w:rsid w:val="11BA0839"/>
    <w:rsid w:val="11F267E8"/>
    <w:rsid w:val="11F427FC"/>
    <w:rsid w:val="1210456D"/>
    <w:rsid w:val="12134828"/>
    <w:rsid w:val="12143598"/>
    <w:rsid w:val="121729B6"/>
    <w:rsid w:val="122C6138"/>
    <w:rsid w:val="12322CFD"/>
    <w:rsid w:val="12396B0A"/>
    <w:rsid w:val="123A52C3"/>
    <w:rsid w:val="12431CBA"/>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384099"/>
    <w:rsid w:val="143B68D5"/>
    <w:rsid w:val="144442DA"/>
    <w:rsid w:val="144C6544"/>
    <w:rsid w:val="147E0276"/>
    <w:rsid w:val="14812D74"/>
    <w:rsid w:val="14836C15"/>
    <w:rsid w:val="14862300"/>
    <w:rsid w:val="148C00A0"/>
    <w:rsid w:val="148E59FC"/>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926C53"/>
    <w:rsid w:val="15AA7A19"/>
    <w:rsid w:val="15AC5259"/>
    <w:rsid w:val="15B06B12"/>
    <w:rsid w:val="15BE3D9D"/>
    <w:rsid w:val="15D4474D"/>
    <w:rsid w:val="15D7597F"/>
    <w:rsid w:val="160A09CB"/>
    <w:rsid w:val="160C437B"/>
    <w:rsid w:val="16160429"/>
    <w:rsid w:val="161C3234"/>
    <w:rsid w:val="16327AD4"/>
    <w:rsid w:val="1641433F"/>
    <w:rsid w:val="165C4863"/>
    <w:rsid w:val="1663476A"/>
    <w:rsid w:val="166C0D1B"/>
    <w:rsid w:val="167344C7"/>
    <w:rsid w:val="16794785"/>
    <w:rsid w:val="16853FE3"/>
    <w:rsid w:val="1695742C"/>
    <w:rsid w:val="169C6D32"/>
    <w:rsid w:val="169D1595"/>
    <w:rsid w:val="16A65B92"/>
    <w:rsid w:val="16AD0A57"/>
    <w:rsid w:val="16AD18F1"/>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4B7216"/>
    <w:rsid w:val="19537076"/>
    <w:rsid w:val="195621A4"/>
    <w:rsid w:val="19564B19"/>
    <w:rsid w:val="195E2D4F"/>
    <w:rsid w:val="195F336A"/>
    <w:rsid w:val="196A0432"/>
    <w:rsid w:val="19720BF1"/>
    <w:rsid w:val="19764535"/>
    <w:rsid w:val="198374F4"/>
    <w:rsid w:val="1989194D"/>
    <w:rsid w:val="19894C83"/>
    <w:rsid w:val="19A7296F"/>
    <w:rsid w:val="19AB49F1"/>
    <w:rsid w:val="19B94DE5"/>
    <w:rsid w:val="19BB7983"/>
    <w:rsid w:val="19D76F77"/>
    <w:rsid w:val="19DE7440"/>
    <w:rsid w:val="1A045B87"/>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45E17"/>
    <w:rsid w:val="1AF84C8C"/>
    <w:rsid w:val="1AFE2079"/>
    <w:rsid w:val="1B00502A"/>
    <w:rsid w:val="1B0B3B20"/>
    <w:rsid w:val="1B1613A0"/>
    <w:rsid w:val="1B1779E0"/>
    <w:rsid w:val="1B2A7E36"/>
    <w:rsid w:val="1B324397"/>
    <w:rsid w:val="1B372EB9"/>
    <w:rsid w:val="1B40005E"/>
    <w:rsid w:val="1B4170C4"/>
    <w:rsid w:val="1B4268B4"/>
    <w:rsid w:val="1B4A7E52"/>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4F3198"/>
    <w:rsid w:val="1C561E66"/>
    <w:rsid w:val="1C6D4144"/>
    <w:rsid w:val="1C726EC3"/>
    <w:rsid w:val="1C793EB9"/>
    <w:rsid w:val="1C7F3D5F"/>
    <w:rsid w:val="1C807142"/>
    <w:rsid w:val="1C842984"/>
    <w:rsid w:val="1C9A166E"/>
    <w:rsid w:val="1CAA7318"/>
    <w:rsid w:val="1CB702E9"/>
    <w:rsid w:val="1CBE5026"/>
    <w:rsid w:val="1CF333A5"/>
    <w:rsid w:val="1D024F6E"/>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161CF"/>
    <w:rsid w:val="1E1D7E95"/>
    <w:rsid w:val="1E224747"/>
    <w:rsid w:val="1E304B88"/>
    <w:rsid w:val="1E3E02E7"/>
    <w:rsid w:val="1E6703B7"/>
    <w:rsid w:val="1E680B85"/>
    <w:rsid w:val="1E9D4737"/>
    <w:rsid w:val="1E9D55A8"/>
    <w:rsid w:val="1E9E37A0"/>
    <w:rsid w:val="1EA13E87"/>
    <w:rsid w:val="1EC11B39"/>
    <w:rsid w:val="1ED94E25"/>
    <w:rsid w:val="1EDB6C5F"/>
    <w:rsid w:val="1EE6740D"/>
    <w:rsid w:val="1F141EF2"/>
    <w:rsid w:val="1F303EA7"/>
    <w:rsid w:val="1F3C6AF7"/>
    <w:rsid w:val="1F405E44"/>
    <w:rsid w:val="1F4E681F"/>
    <w:rsid w:val="1F5324C1"/>
    <w:rsid w:val="1F6833F6"/>
    <w:rsid w:val="1F7216B7"/>
    <w:rsid w:val="1F7959F4"/>
    <w:rsid w:val="1F7C19E4"/>
    <w:rsid w:val="1F83562C"/>
    <w:rsid w:val="1F9B2922"/>
    <w:rsid w:val="1FB63655"/>
    <w:rsid w:val="1FBD7AAE"/>
    <w:rsid w:val="1FBE77B2"/>
    <w:rsid w:val="1FC26AB9"/>
    <w:rsid w:val="1FD1309D"/>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035D"/>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464BF"/>
    <w:rsid w:val="217C7971"/>
    <w:rsid w:val="217D44BC"/>
    <w:rsid w:val="21986210"/>
    <w:rsid w:val="21997056"/>
    <w:rsid w:val="219B2AEE"/>
    <w:rsid w:val="219D3F2A"/>
    <w:rsid w:val="21AB77F7"/>
    <w:rsid w:val="21BF03BC"/>
    <w:rsid w:val="21BF480E"/>
    <w:rsid w:val="21D06D34"/>
    <w:rsid w:val="21D52CEC"/>
    <w:rsid w:val="21FF71D8"/>
    <w:rsid w:val="2209399D"/>
    <w:rsid w:val="22101F8E"/>
    <w:rsid w:val="2225227E"/>
    <w:rsid w:val="22461AAA"/>
    <w:rsid w:val="224E39DE"/>
    <w:rsid w:val="224E74D0"/>
    <w:rsid w:val="227F5037"/>
    <w:rsid w:val="228A008B"/>
    <w:rsid w:val="229A7E25"/>
    <w:rsid w:val="229C6584"/>
    <w:rsid w:val="22AA0362"/>
    <w:rsid w:val="22B059F5"/>
    <w:rsid w:val="22B06BDB"/>
    <w:rsid w:val="22BD504B"/>
    <w:rsid w:val="22D61781"/>
    <w:rsid w:val="22E95A8D"/>
    <w:rsid w:val="22EF2816"/>
    <w:rsid w:val="22F017B2"/>
    <w:rsid w:val="22F97E5B"/>
    <w:rsid w:val="22FA647A"/>
    <w:rsid w:val="230B07F6"/>
    <w:rsid w:val="23143B37"/>
    <w:rsid w:val="231637F9"/>
    <w:rsid w:val="23230E78"/>
    <w:rsid w:val="232670CF"/>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34ED"/>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4288C"/>
    <w:rsid w:val="26AA10DC"/>
    <w:rsid w:val="26B6478F"/>
    <w:rsid w:val="26BA59F2"/>
    <w:rsid w:val="26C36DE5"/>
    <w:rsid w:val="26C9404D"/>
    <w:rsid w:val="26F40E3F"/>
    <w:rsid w:val="26F40EBD"/>
    <w:rsid w:val="26FA2DE3"/>
    <w:rsid w:val="27222699"/>
    <w:rsid w:val="272A3F42"/>
    <w:rsid w:val="273216D6"/>
    <w:rsid w:val="273D1CBA"/>
    <w:rsid w:val="27450038"/>
    <w:rsid w:val="274A7B1A"/>
    <w:rsid w:val="275439E1"/>
    <w:rsid w:val="276320D7"/>
    <w:rsid w:val="279408D2"/>
    <w:rsid w:val="279A2ED3"/>
    <w:rsid w:val="27B02558"/>
    <w:rsid w:val="27B91021"/>
    <w:rsid w:val="27C06D17"/>
    <w:rsid w:val="27E852C3"/>
    <w:rsid w:val="27FE4240"/>
    <w:rsid w:val="280008FF"/>
    <w:rsid w:val="28050D91"/>
    <w:rsid w:val="281035C6"/>
    <w:rsid w:val="28255041"/>
    <w:rsid w:val="283A1E3E"/>
    <w:rsid w:val="284543A1"/>
    <w:rsid w:val="28553E1D"/>
    <w:rsid w:val="285C1E48"/>
    <w:rsid w:val="28750CA2"/>
    <w:rsid w:val="28821314"/>
    <w:rsid w:val="28AD2029"/>
    <w:rsid w:val="28B220F4"/>
    <w:rsid w:val="28C075A4"/>
    <w:rsid w:val="28C33C7D"/>
    <w:rsid w:val="28DA6C60"/>
    <w:rsid w:val="28DB0A30"/>
    <w:rsid w:val="28F33F0D"/>
    <w:rsid w:val="28F638CC"/>
    <w:rsid w:val="28F95F71"/>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77F01"/>
    <w:rsid w:val="2A49761F"/>
    <w:rsid w:val="2A4C74B8"/>
    <w:rsid w:val="2A500712"/>
    <w:rsid w:val="2A627A42"/>
    <w:rsid w:val="2A630308"/>
    <w:rsid w:val="2A676AD0"/>
    <w:rsid w:val="2A687AA6"/>
    <w:rsid w:val="2A770CC7"/>
    <w:rsid w:val="2A8437F5"/>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A43BC"/>
    <w:rsid w:val="2B8B34AB"/>
    <w:rsid w:val="2B914C5E"/>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CB109D"/>
    <w:rsid w:val="2CDA4FDA"/>
    <w:rsid w:val="2CDC7091"/>
    <w:rsid w:val="2CFD5C64"/>
    <w:rsid w:val="2D0128E8"/>
    <w:rsid w:val="2D0E231B"/>
    <w:rsid w:val="2D1A1A6B"/>
    <w:rsid w:val="2D1A3529"/>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3B8F"/>
    <w:rsid w:val="2F4530B9"/>
    <w:rsid w:val="2F4B7821"/>
    <w:rsid w:val="2F526911"/>
    <w:rsid w:val="2F612D64"/>
    <w:rsid w:val="2F712CF7"/>
    <w:rsid w:val="2F7645B8"/>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563157"/>
    <w:rsid w:val="32666821"/>
    <w:rsid w:val="326B7BBB"/>
    <w:rsid w:val="327A3DD6"/>
    <w:rsid w:val="327E6AD8"/>
    <w:rsid w:val="32946A84"/>
    <w:rsid w:val="32B145E6"/>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D687A"/>
    <w:rsid w:val="356579E8"/>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101A49"/>
    <w:rsid w:val="361A2F27"/>
    <w:rsid w:val="36265F04"/>
    <w:rsid w:val="36297754"/>
    <w:rsid w:val="363F4D43"/>
    <w:rsid w:val="365F765A"/>
    <w:rsid w:val="36627C0A"/>
    <w:rsid w:val="36693B36"/>
    <w:rsid w:val="366B0AAA"/>
    <w:rsid w:val="366D49A8"/>
    <w:rsid w:val="36752210"/>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7A245F"/>
    <w:rsid w:val="3A8B3C77"/>
    <w:rsid w:val="3A9A224E"/>
    <w:rsid w:val="3A9C1F8C"/>
    <w:rsid w:val="3A9D2551"/>
    <w:rsid w:val="3AA15A8E"/>
    <w:rsid w:val="3AA97F70"/>
    <w:rsid w:val="3ABF42F5"/>
    <w:rsid w:val="3ACA1E5F"/>
    <w:rsid w:val="3AFD37D0"/>
    <w:rsid w:val="3B016EE9"/>
    <w:rsid w:val="3B075C4E"/>
    <w:rsid w:val="3B333CF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A1130D"/>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04ACA"/>
    <w:rsid w:val="3ED671CD"/>
    <w:rsid w:val="3EE14A57"/>
    <w:rsid w:val="3EE21263"/>
    <w:rsid w:val="3EFB258B"/>
    <w:rsid w:val="3F144192"/>
    <w:rsid w:val="3F217DDA"/>
    <w:rsid w:val="3F384992"/>
    <w:rsid w:val="3F441B08"/>
    <w:rsid w:val="3F4A4087"/>
    <w:rsid w:val="3F5361F5"/>
    <w:rsid w:val="3F952814"/>
    <w:rsid w:val="3FA41C63"/>
    <w:rsid w:val="3FAB3D87"/>
    <w:rsid w:val="3FAB41A2"/>
    <w:rsid w:val="3FAE47F6"/>
    <w:rsid w:val="3FE210C1"/>
    <w:rsid w:val="3FEB1C22"/>
    <w:rsid w:val="3FF44FD5"/>
    <w:rsid w:val="400A1CFC"/>
    <w:rsid w:val="401E145A"/>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04351"/>
    <w:rsid w:val="413B1BAB"/>
    <w:rsid w:val="414F41D7"/>
    <w:rsid w:val="414F7876"/>
    <w:rsid w:val="415A0FEF"/>
    <w:rsid w:val="41653B51"/>
    <w:rsid w:val="416C15E7"/>
    <w:rsid w:val="416E039C"/>
    <w:rsid w:val="41800377"/>
    <w:rsid w:val="418B26ED"/>
    <w:rsid w:val="418D0CE3"/>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2FE215A"/>
    <w:rsid w:val="43112BE5"/>
    <w:rsid w:val="431B56C6"/>
    <w:rsid w:val="431C7B04"/>
    <w:rsid w:val="432E5E21"/>
    <w:rsid w:val="433C41B8"/>
    <w:rsid w:val="433D2335"/>
    <w:rsid w:val="43445D4A"/>
    <w:rsid w:val="43476354"/>
    <w:rsid w:val="4363090C"/>
    <w:rsid w:val="436A2192"/>
    <w:rsid w:val="438B6310"/>
    <w:rsid w:val="439C3431"/>
    <w:rsid w:val="439D0E7C"/>
    <w:rsid w:val="43A26A83"/>
    <w:rsid w:val="43D67A91"/>
    <w:rsid w:val="43E21F58"/>
    <w:rsid w:val="43E30134"/>
    <w:rsid w:val="43E35EF0"/>
    <w:rsid w:val="43F76F69"/>
    <w:rsid w:val="43FC0DB2"/>
    <w:rsid w:val="442F07CA"/>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244BE"/>
    <w:rsid w:val="459F2381"/>
    <w:rsid w:val="45A663F1"/>
    <w:rsid w:val="45B64B84"/>
    <w:rsid w:val="45E526A6"/>
    <w:rsid w:val="45E826B2"/>
    <w:rsid w:val="45E9423E"/>
    <w:rsid w:val="45EF7955"/>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64932"/>
    <w:rsid w:val="46CD1F17"/>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4A12C6"/>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4D1B2E"/>
    <w:rsid w:val="4A6C0FC7"/>
    <w:rsid w:val="4A6D7FF3"/>
    <w:rsid w:val="4A7413BF"/>
    <w:rsid w:val="4A7D09F3"/>
    <w:rsid w:val="4A7F0E00"/>
    <w:rsid w:val="4A840EFE"/>
    <w:rsid w:val="4AA75186"/>
    <w:rsid w:val="4ABC0CF4"/>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8E03BA"/>
    <w:rsid w:val="4B901807"/>
    <w:rsid w:val="4B9B25E4"/>
    <w:rsid w:val="4BAD4CA2"/>
    <w:rsid w:val="4BC456EF"/>
    <w:rsid w:val="4BC647B0"/>
    <w:rsid w:val="4BDF4B49"/>
    <w:rsid w:val="4BE57E16"/>
    <w:rsid w:val="4BE819D0"/>
    <w:rsid w:val="4BE8649D"/>
    <w:rsid w:val="4C0236B4"/>
    <w:rsid w:val="4C192F75"/>
    <w:rsid w:val="4C1E085C"/>
    <w:rsid w:val="4C20259F"/>
    <w:rsid w:val="4C312ECF"/>
    <w:rsid w:val="4C3A4874"/>
    <w:rsid w:val="4C422CA7"/>
    <w:rsid w:val="4C5035A1"/>
    <w:rsid w:val="4C5F0B5D"/>
    <w:rsid w:val="4C64471A"/>
    <w:rsid w:val="4C77619E"/>
    <w:rsid w:val="4C860543"/>
    <w:rsid w:val="4C880367"/>
    <w:rsid w:val="4C8C716F"/>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91158"/>
    <w:rsid w:val="4D8B34C7"/>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D01A7"/>
    <w:rsid w:val="4ED21D53"/>
    <w:rsid w:val="4EE4117D"/>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F1426"/>
    <w:rsid w:val="50607726"/>
    <w:rsid w:val="506309DB"/>
    <w:rsid w:val="50752AF6"/>
    <w:rsid w:val="508431ED"/>
    <w:rsid w:val="509F1AB5"/>
    <w:rsid w:val="50B139BD"/>
    <w:rsid w:val="50BC25BD"/>
    <w:rsid w:val="50BD1498"/>
    <w:rsid w:val="50BE1B1D"/>
    <w:rsid w:val="50C51F05"/>
    <w:rsid w:val="50C65E30"/>
    <w:rsid w:val="50D228CF"/>
    <w:rsid w:val="50E63519"/>
    <w:rsid w:val="50ED76FB"/>
    <w:rsid w:val="51186B87"/>
    <w:rsid w:val="51187610"/>
    <w:rsid w:val="51375EB3"/>
    <w:rsid w:val="513853CC"/>
    <w:rsid w:val="51392D77"/>
    <w:rsid w:val="513F081D"/>
    <w:rsid w:val="514C1E16"/>
    <w:rsid w:val="51556F97"/>
    <w:rsid w:val="515A64E3"/>
    <w:rsid w:val="515C30A6"/>
    <w:rsid w:val="5161698E"/>
    <w:rsid w:val="517F00BC"/>
    <w:rsid w:val="5195533B"/>
    <w:rsid w:val="519D2F03"/>
    <w:rsid w:val="51A1385A"/>
    <w:rsid w:val="51A473C4"/>
    <w:rsid w:val="51BE2EAE"/>
    <w:rsid w:val="51DA5890"/>
    <w:rsid w:val="51EE7B3E"/>
    <w:rsid w:val="51F473EF"/>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B51AC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365F1"/>
    <w:rsid w:val="54B62C99"/>
    <w:rsid w:val="54DF688B"/>
    <w:rsid w:val="54E95643"/>
    <w:rsid w:val="550E6C32"/>
    <w:rsid w:val="55242C68"/>
    <w:rsid w:val="554E0863"/>
    <w:rsid w:val="555737A6"/>
    <w:rsid w:val="555953EB"/>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6214A7B"/>
    <w:rsid w:val="562E1F90"/>
    <w:rsid w:val="56373380"/>
    <w:rsid w:val="563B616D"/>
    <w:rsid w:val="56436207"/>
    <w:rsid w:val="566510CB"/>
    <w:rsid w:val="567215D4"/>
    <w:rsid w:val="56786B34"/>
    <w:rsid w:val="567A6CC0"/>
    <w:rsid w:val="567D540A"/>
    <w:rsid w:val="568D0940"/>
    <w:rsid w:val="56927DA4"/>
    <w:rsid w:val="56A04928"/>
    <w:rsid w:val="56A50EBB"/>
    <w:rsid w:val="56AD339E"/>
    <w:rsid w:val="56B16CBD"/>
    <w:rsid w:val="56B96F66"/>
    <w:rsid w:val="56BE75C0"/>
    <w:rsid w:val="56C71CAD"/>
    <w:rsid w:val="56CE5F20"/>
    <w:rsid w:val="56D20B58"/>
    <w:rsid w:val="56DA3EBA"/>
    <w:rsid w:val="56E33383"/>
    <w:rsid w:val="56ED5E03"/>
    <w:rsid w:val="56FB0134"/>
    <w:rsid w:val="57012351"/>
    <w:rsid w:val="57095761"/>
    <w:rsid w:val="5718006E"/>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D4409"/>
    <w:rsid w:val="585328D1"/>
    <w:rsid w:val="58590DD2"/>
    <w:rsid w:val="586E1447"/>
    <w:rsid w:val="5878285F"/>
    <w:rsid w:val="587E2D46"/>
    <w:rsid w:val="588509DD"/>
    <w:rsid w:val="58953B9F"/>
    <w:rsid w:val="58957A8C"/>
    <w:rsid w:val="589C0BA1"/>
    <w:rsid w:val="589F18E4"/>
    <w:rsid w:val="58A26665"/>
    <w:rsid w:val="58B156C4"/>
    <w:rsid w:val="58B8443B"/>
    <w:rsid w:val="58BC4002"/>
    <w:rsid w:val="58CA785A"/>
    <w:rsid w:val="58DB456A"/>
    <w:rsid w:val="58E909DD"/>
    <w:rsid w:val="58EB1C90"/>
    <w:rsid w:val="58F57D12"/>
    <w:rsid w:val="59241C32"/>
    <w:rsid w:val="59267EF0"/>
    <w:rsid w:val="59421F7E"/>
    <w:rsid w:val="59424509"/>
    <w:rsid w:val="594935F2"/>
    <w:rsid w:val="595748B2"/>
    <w:rsid w:val="595C0946"/>
    <w:rsid w:val="59604A5E"/>
    <w:rsid w:val="59642A7A"/>
    <w:rsid w:val="596B249E"/>
    <w:rsid w:val="596D32B4"/>
    <w:rsid w:val="59774D3E"/>
    <w:rsid w:val="599148CE"/>
    <w:rsid w:val="59A24ED6"/>
    <w:rsid w:val="59AF0514"/>
    <w:rsid w:val="59B64AF3"/>
    <w:rsid w:val="59B6531E"/>
    <w:rsid w:val="59B75E8A"/>
    <w:rsid w:val="59BC0F73"/>
    <w:rsid w:val="59BD2911"/>
    <w:rsid w:val="59BE1CC3"/>
    <w:rsid w:val="59C13A26"/>
    <w:rsid w:val="59D80915"/>
    <w:rsid w:val="59D906FD"/>
    <w:rsid w:val="59DA6C9E"/>
    <w:rsid w:val="59E11C9B"/>
    <w:rsid w:val="59EB0D06"/>
    <w:rsid w:val="59F511B7"/>
    <w:rsid w:val="59FF2F18"/>
    <w:rsid w:val="5A0640DE"/>
    <w:rsid w:val="5A1215B1"/>
    <w:rsid w:val="5A1855C0"/>
    <w:rsid w:val="5A1D0AF2"/>
    <w:rsid w:val="5A1F5196"/>
    <w:rsid w:val="5A227353"/>
    <w:rsid w:val="5A2D0557"/>
    <w:rsid w:val="5A340B09"/>
    <w:rsid w:val="5A3F3527"/>
    <w:rsid w:val="5A440B9D"/>
    <w:rsid w:val="5A5128C3"/>
    <w:rsid w:val="5A575C31"/>
    <w:rsid w:val="5A5C7772"/>
    <w:rsid w:val="5A6336A1"/>
    <w:rsid w:val="5A6B7C88"/>
    <w:rsid w:val="5A73612A"/>
    <w:rsid w:val="5A90223F"/>
    <w:rsid w:val="5A991629"/>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033B3"/>
    <w:rsid w:val="5B532679"/>
    <w:rsid w:val="5B5B64C5"/>
    <w:rsid w:val="5B5D71A8"/>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463908"/>
    <w:rsid w:val="5C5E033F"/>
    <w:rsid w:val="5C6875EE"/>
    <w:rsid w:val="5C6F12DC"/>
    <w:rsid w:val="5C7534B9"/>
    <w:rsid w:val="5CC43404"/>
    <w:rsid w:val="5CC93DAE"/>
    <w:rsid w:val="5CD31EE3"/>
    <w:rsid w:val="5CE1654F"/>
    <w:rsid w:val="5D072BC8"/>
    <w:rsid w:val="5D076525"/>
    <w:rsid w:val="5D0A3A75"/>
    <w:rsid w:val="5D2B5629"/>
    <w:rsid w:val="5D2E45E5"/>
    <w:rsid w:val="5D315CEB"/>
    <w:rsid w:val="5D3B59DF"/>
    <w:rsid w:val="5D473075"/>
    <w:rsid w:val="5D5830EC"/>
    <w:rsid w:val="5D5864DB"/>
    <w:rsid w:val="5D73393B"/>
    <w:rsid w:val="5D784379"/>
    <w:rsid w:val="5D7B3457"/>
    <w:rsid w:val="5D8B2715"/>
    <w:rsid w:val="5D915AFD"/>
    <w:rsid w:val="5D930ED4"/>
    <w:rsid w:val="5D9F7C74"/>
    <w:rsid w:val="5DAE2E8C"/>
    <w:rsid w:val="5DAE7F34"/>
    <w:rsid w:val="5DB65502"/>
    <w:rsid w:val="5DFB7543"/>
    <w:rsid w:val="5E00720B"/>
    <w:rsid w:val="5E012896"/>
    <w:rsid w:val="5E0A6049"/>
    <w:rsid w:val="5E156B70"/>
    <w:rsid w:val="5E21165A"/>
    <w:rsid w:val="5E226508"/>
    <w:rsid w:val="5E54270A"/>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340C2"/>
    <w:rsid w:val="5F966692"/>
    <w:rsid w:val="5FA00A10"/>
    <w:rsid w:val="5FA4374A"/>
    <w:rsid w:val="5FA4380A"/>
    <w:rsid w:val="5FB25387"/>
    <w:rsid w:val="5FC53509"/>
    <w:rsid w:val="5FD20829"/>
    <w:rsid w:val="5FFE6C22"/>
    <w:rsid w:val="60000309"/>
    <w:rsid w:val="600A1A34"/>
    <w:rsid w:val="600B6B90"/>
    <w:rsid w:val="600C3224"/>
    <w:rsid w:val="600F6605"/>
    <w:rsid w:val="60143AD3"/>
    <w:rsid w:val="60281FCD"/>
    <w:rsid w:val="60361BF9"/>
    <w:rsid w:val="603771DA"/>
    <w:rsid w:val="60734371"/>
    <w:rsid w:val="6085543E"/>
    <w:rsid w:val="60885F4F"/>
    <w:rsid w:val="60907882"/>
    <w:rsid w:val="609517E9"/>
    <w:rsid w:val="609A2B73"/>
    <w:rsid w:val="60BA0952"/>
    <w:rsid w:val="60C5483E"/>
    <w:rsid w:val="60C867C5"/>
    <w:rsid w:val="60D3354A"/>
    <w:rsid w:val="60DA2498"/>
    <w:rsid w:val="60DB0800"/>
    <w:rsid w:val="60DE0DB6"/>
    <w:rsid w:val="60E54273"/>
    <w:rsid w:val="60F46839"/>
    <w:rsid w:val="61067A64"/>
    <w:rsid w:val="610C7D1D"/>
    <w:rsid w:val="6112529A"/>
    <w:rsid w:val="611F0B09"/>
    <w:rsid w:val="61200AAF"/>
    <w:rsid w:val="612D2321"/>
    <w:rsid w:val="61421C60"/>
    <w:rsid w:val="61455CF4"/>
    <w:rsid w:val="616E223F"/>
    <w:rsid w:val="616F4360"/>
    <w:rsid w:val="61751F59"/>
    <w:rsid w:val="617C28AF"/>
    <w:rsid w:val="61925C83"/>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5B7D3C"/>
    <w:rsid w:val="646C4EF1"/>
    <w:rsid w:val="64706C6F"/>
    <w:rsid w:val="648B777B"/>
    <w:rsid w:val="64937D17"/>
    <w:rsid w:val="6494650D"/>
    <w:rsid w:val="649A6134"/>
    <w:rsid w:val="649D2569"/>
    <w:rsid w:val="64A41669"/>
    <w:rsid w:val="64A51362"/>
    <w:rsid w:val="64A55A03"/>
    <w:rsid w:val="64B125F0"/>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8D4A39"/>
    <w:rsid w:val="659C17EE"/>
    <w:rsid w:val="65B40820"/>
    <w:rsid w:val="65BD3777"/>
    <w:rsid w:val="65C32ABF"/>
    <w:rsid w:val="65D70270"/>
    <w:rsid w:val="66032E7B"/>
    <w:rsid w:val="66053581"/>
    <w:rsid w:val="660A19B0"/>
    <w:rsid w:val="661002E8"/>
    <w:rsid w:val="661026AA"/>
    <w:rsid w:val="661177DB"/>
    <w:rsid w:val="66265B2E"/>
    <w:rsid w:val="663D054E"/>
    <w:rsid w:val="66460692"/>
    <w:rsid w:val="666503F2"/>
    <w:rsid w:val="666F5EBF"/>
    <w:rsid w:val="6679372B"/>
    <w:rsid w:val="667B3C56"/>
    <w:rsid w:val="66844CDD"/>
    <w:rsid w:val="66980BF6"/>
    <w:rsid w:val="66B35222"/>
    <w:rsid w:val="66B81454"/>
    <w:rsid w:val="66BE1292"/>
    <w:rsid w:val="66BF76F1"/>
    <w:rsid w:val="66CD47E0"/>
    <w:rsid w:val="66DA3497"/>
    <w:rsid w:val="66DC5BF8"/>
    <w:rsid w:val="66E173F9"/>
    <w:rsid w:val="66E3226C"/>
    <w:rsid w:val="66E611A7"/>
    <w:rsid w:val="66EC287F"/>
    <w:rsid w:val="66EC5E36"/>
    <w:rsid w:val="66F17695"/>
    <w:rsid w:val="67181932"/>
    <w:rsid w:val="672A4901"/>
    <w:rsid w:val="67441B08"/>
    <w:rsid w:val="67510C8A"/>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8FE3B95"/>
    <w:rsid w:val="690C5E8F"/>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2064F"/>
    <w:rsid w:val="6AD6142A"/>
    <w:rsid w:val="6AE26C27"/>
    <w:rsid w:val="6AED013C"/>
    <w:rsid w:val="6AF159FF"/>
    <w:rsid w:val="6AF63F29"/>
    <w:rsid w:val="6B285741"/>
    <w:rsid w:val="6B340EF1"/>
    <w:rsid w:val="6B3D06AC"/>
    <w:rsid w:val="6B444BB7"/>
    <w:rsid w:val="6B4B2C3B"/>
    <w:rsid w:val="6B5B0A52"/>
    <w:rsid w:val="6B5B7218"/>
    <w:rsid w:val="6B5D2504"/>
    <w:rsid w:val="6B6C560D"/>
    <w:rsid w:val="6B846AF2"/>
    <w:rsid w:val="6B95396B"/>
    <w:rsid w:val="6BBB00B1"/>
    <w:rsid w:val="6BBD3E9D"/>
    <w:rsid w:val="6BC03721"/>
    <w:rsid w:val="6BC55B54"/>
    <w:rsid w:val="6BCC01D5"/>
    <w:rsid w:val="6BCF2DCA"/>
    <w:rsid w:val="6BDD0493"/>
    <w:rsid w:val="6BDE54AC"/>
    <w:rsid w:val="6BE068F6"/>
    <w:rsid w:val="6BF229CE"/>
    <w:rsid w:val="6BF25C39"/>
    <w:rsid w:val="6C06150E"/>
    <w:rsid w:val="6C155F31"/>
    <w:rsid w:val="6C206E21"/>
    <w:rsid w:val="6C263A06"/>
    <w:rsid w:val="6C375FAB"/>
    <w:rsid w:val="6C3A624E"/>
    <w:rsid w:val="6C3F4795"/>
    <w:rsid w:val="6C431738"/>
    <w:rsid w:val="6C505966"/>
    <w:rsid w:val="6C5D04BB"/>
    <w:rsid w:val="6C5D2B1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0832CF"/>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265EB"/>
    <w:rsid w:val="6E035B81"/>
    <w:rsid w:val="6E0F0D37"/>
    <w:rsid w:val="6E0F320E"/>
    <w:rsid w:val="6E131686"/>
    <w:rsid w:val="6E1B4CD0"/>
    <w:rsid w:val="6E2A0DD8"/>
    <w:rsid w:val="6E376A3A"/>
    <w:rsid w:val="6E3F1C0F"/>
    <w:rsid w:val="6E567CD0"/>
    <w:rsid w:val="6E575BA4"/>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CF3906"/>
    <w:rsid w:val="70D91094"/>
    <w:rsid w:val="70DB76EF"/>
    <w:rsid w:val="70E47264"/>
    <w:rsid w:val="710B03C6"/>
    <w:rsid w:val="71121177"/>
    <w:rsid w:val="712D2ADB"/>
    <w:rsid w:val="712D4159"/>
    <w:rsid w:val="71346CB6"/>
    <w:rsid w:val="7136388E"/>
    <w:rsid w:val="71397D34"/>
    <w:rsid w:val="714200B6"/>
    <w:rsid w:val="71431855"/>
    <w:rsid w:val="7143374A"/>
    <w:rsid w:val="715117C4"/>
    <w:rsid w:val="71536701"/>
    <w:rsid w:val="715D365A"/>
    <w:rsid w:val="715D7038"/>
    <w:rsid w:val="716A160C"/>
    <w:rsid w:val="716B5F96"/>
    <w:rsid w:val="71747EDF"/>
    <w:rsid w:val="718B3A9F"/>
    <w:rsid w:val="71936186"/>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5530C"/>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124EF"/>
    <w:rsid w:val="73343997"/>
    <w:rsid w:val="73370B0A"/>
    <w:rsid w:val="733C723A"/>
    <w:rsid w:val="733C7C6A"/>
    <w:rsid w:val="73634D11"/>
    <w:rsid w:val="736411CC"/>
    <w:rsid w:val="73690216"/>
    <w:rsid w:val="736A02D8"/>
    <w:rsid w:val="73893467"/>
    <w:rsid w:val="738A36E1"/>
    <w:rsid w:val="73912A81"/>
    <w:rsid w:val="739B1EFF"/>
    <w:rsid w:val="73A16D22"/>
    <w:rsid w:val="73B1400F"/>
    <w:rsid w:val="73BA064C"/>
    <w:rsid w:val="73BB3C6E"/>
    <w:rsid w:val="73CE1997"/>
    <w:rsid w:val="73DE1AB7"/>
    <w:rsid w:val="73EC7C9D"/>
    <w:rsid w:val="73FA634E"/>
    <w:rsid w:val="7407051F"/>
    <w:rsid w:val="741076D1"/>
    <w:rsid w:val="74215D04"/>
    <w:rsid w:val="742A0965"/>
    <w:rsid w:val="742D6DB6"/>
    <w:rsid w:val="744642D9"/>
    <w:rsid w:val="744C2D8A"/>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1242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71048"/>
    <w:rsid w:val="7729766A"/>
    <w:rsid w:val="772D35A6"/>
    <w:rsid w:val="773A62B8"/>
    <w:rsid w:val="77422DC5"/>
    <w:rsid w:val="774B3934"/>
    <w:rsid w:val="77570E77"/>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2E0F62"/>
    <w:rsid w:val="78316382"/>
    <w:rsid w:val="78375EBD"/>
    <w:rsid w:val="784151EC"/>
    <w:rsid w:val="78555549"/>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34F94"/>
    <w:rsid w:val="7CA67728"/>
    <w:rsid w:val="7CB62523"/>
    <w:rsid w:val="7CE70935"/>
    <w:rsid w:val="7CF84A31"/>
    <w:rsid w:val="7CFC44C2"/>
    <w:rsid w:val="7D013B39"/>
    <w:rsid w:val="7D0826CA"/>
    <w:rsid w:val="7D130509"/>
    <w:rsid w:val="7D182D5A"/>
    <w:rsid w:val="7D1946C0"/>
    <w:rsid w:val="7D21286D"/>
    <w:rsid w:val="7D2A5CCB"/>
    <w:rsid w:val="7D401CAA"/>
    <w:rsid w:val="7D4E195B"/>
    <w:rsid w:val="7D64087E"/>
    <w:rsid w:val="7D7A555A"/>
    <w:rsid w:val="7D7F5298"/>
    <w:rsid w:val="7D811243"/>
    <w:rsid w:val="7D8362BA"/>
    <w:rsid w:val="7D9342FF"/>
    <w:rsid w:val="7DAB10BD"/>
    <w:rsid w:val="7DD7657D"/>
    <w:rsid w:val="7DF464FC"/>
    <w:rsid w:val="7DFB2B0A"/>
    <w:rsid w:val="7E006A11"/>
    <w:rsid w:val="7E054F9B"/>
    <w:rsid w:val="7E1C55F3"/>
    <w:rsid w:val="7E2E7D3F"/>
    <w:rsid w:val="7E347694"/>
    <w:rsid w:val="7E3B4055"/>
    <w:rsid w:val="7E3B5911"/>
    <w:rsid w:val="7E495416"/>
    <w:rsid w:val="7E497873"/>
    <w:rsid w:val="7E573082"/>
    <w:rsid w:val="7E750E81"/>
    <w:rsid w:val="7E7F5DCA"/>
    <w:rsid w:val="7E9044A6"/>
    <w:rsid w:val="7E922E52"/>
    <w:rsid w:val="7E9B5C66"/>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1F60CC"/>
    <w:rsid w:val="7F314300"/>
    <w:rsid w:val="7F3B01C9"/>
    <w:rsid w:val="7F4B52CF"/>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2021-05-11T13:04:56Z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