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46259C98" w:rsidR="00803510" w:rsidRPr="00A412D5" w:rsidRDefault="00604DAE" w:rsidP="00803510">
      <w:pPr>
        <w:pStyle w:val="3GPPHeader"/>
        <w:spacing w:after="0"/>
        <w:rPr>
          <w:lang w:val="en-US"/>
        </w:rPr>
      </w:pPr>
      <w:r w:rsidRPr="00A412D5">
        <w:rPr>
          <w:lang w:val="en-US"/>
        </w:rPr>
        <w:t xml:space="preserve">3GPP TSG-RAN WG4 Meeting </w:t>
      </w:r>
      <w:r w:rsidR="00AD7B8E" w:rsidRPr="00A412D5">
        <w:rPr>
          <w:lang w:val="en-US"/>
        </w:rPr>
        <w:t># 98-bis-e</w:t>
      </w:r>
      <w:r w:rsidR="00803510" w:rsidRPr="00A412D5">
        <w:rPr>
          <w:lang w:val="en-US"/>
        </w:rPr>
        <w:tab/>
      </w:r>
      <w:r w:rsidR="00464176" w:rsidRPr="00464176">
        <w:rPr>
          <w:lang w:val="en-US"/>
        </w:rPr>
        <w:t>R4-2104437</w:t>
      </w:r>
    </w:p>
    <w:p w14:paraId="091FE811" w14:textId="6C1F43C9" w:rsidR="00803510" w:rsidRPr="00A412D5" w:rsidRDefault="00AD7B8E" w:rsidP="00803510">
      <w:pPr>
        <w:pStyle w:val="3GPPHeader"/>
        <w:spacing w:after="0"/>
        <w:rPr>
          <w:lang w:val="en-US"/>
        </w:rPr>
      </w:pPr>
      <w:r w:rsidRPr="00A412D5">
        <w:rPr>
          <w:lang w:val="en-US"/>
        </w:rPr>
        <w:t>Electronic Meeting, Apr. 12-20, 2021</w:t>
      </w:r>
    </w:p>
    <w:p w14:paraId="26F858F2" w14:textId="77777777" w:rsidR="0043450E" w:rsidRPr="00A412D5" w:rsidRDefault="0043450E" w:rsidP="0043450E">
      <w:pPr>
        <w:overflowPunct/>
        <w:autoSpaceDE/>
        <w:autoSpaceDN/>
        <w:adjustRightInd/>
        <w:textAlignment w:val="auto"/>
        <w:rPr>
          <w:rFonts w:ascii="Arial" w:hAnsi="Arial"/>
          <w:b/>
          <w:noProof/>
          <w:sz w:val="24"/>
          <w:lang w:val="en-US"/>
        </w:rPr>
      </w:pP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49BA1860"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r w:rsidR="007B1C85">
        <w:rPr>
          <w:sz w:val="22"/>
        </w:rPr>
        <w:t xml:space="preserve">Potential issues on UL Intra band NC CA with </w:t>
      </w:r>
      <w:r w:rsidR="00CD402B">
        <w:rPr>
          <w:sz w:val="22"/>
        </w:rPr>
        <w:t>1PA/1LO</w:t>
      </w:r>
      <w:r w:rsidR="007B1C85">
        <w:rPr>
          <w:sz w:val="22"/>
        </w:rPr>
        <w:t xml:space="preserve"> assumption</w:t>
      </w:r>
    </w:p>
    <w:p w14:paraId="23226DA5" w14:textId="2BF554ED"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464176">
        <w:rPr>
          <w:sz w:val="22"/>
        </w:rPr>
        <w:t>8.2.2.5</w:t>
      </w:r>
    </w:p>
    <w:p w14:paraId="7AD518C5" w14:textId="18EDA80A"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3510" w:rsidRPr="00A412D5">
        <w:rPr>
          <w:sz w:val="22"/>
        </w:rPr>
        <w:t>Approval</w:t>
      </w:r>
    </w:p>
    <w:p w14:paraId="5C2448DB" w14:textId="1CFD1FA8" w:rsidR="0043450E" w:rsidRPr="00A412D5" w:rsidRDefault="00126055" w:rsidP="0043450E">
      <w:pPr>
        <w:pStyle w:val="Heading1"/>
      </w:pPr>
      <w:r w:rsidRPr="00A412D5">
        <w:t>1</w:t>
      </w:r>
      <w:r w:rsidRPr="00A412D5">
        <w:tab/>
        <w:t>Introduction</w:t>
      </w:r>
    </w:p>
    <w:p w14:paraId="1A0633D3" w14:textId="06714F98" w:rsidR="00CD402B" w:rsidRDefault="000A3CB6" w:rsidP="002D746B">
      <w:r w:rsidRPr="00A412D5">
        <w:t>RAN</w:t>
      </w:r>
      <w:r w:rsidR="00F82F84" w:rsidRPr="00A412D5">
        <w:t>4</w:t>
      </w:r>
      <w:r w:rsidR="00126055" w:rsidRPr="00A412D5">
        <w:t>#9</w:t>
      </w:r>
      <w:r w:rsidR="00F82F84" w:rsidRPr="00A412D5">
        <w:t>8</w:t>
      </w:r>
      <w:r w:rsidR="008926AE" w:rsidRPr="00A412D5">
        <w:t>-</w:t>
      </w:r>
      <w:r w:rsidR="00F62561" w:rsidRPr="00A412D5">
        <w:t>e</w:t>
      </w:r>
      <w:r w:rsidR="005155DE" w:rsidRPr="00A412D5">
        <w:t xml:space="preserve"> </w:t>
      </w:r>
      <w:r w:rsidR="00CD402B">
        <w:t xml:space="preserve">approved an WF [1] </w:t>
      </w:r>
      <w:r w:rsidR="00CD402B" w:rsidRPr="00CD402B">
        <w:t>on NC UL CA PC2 evaluation assumptions and scenarios</w:t>
      </w:r>
      <w:r w:rsidR="00CD402B">
        <w:t>, where UE RF architectures to evaluate MPR/A-MPR are described. More specifically, there are following texts in [1].</w:t>
      </w:r>
    </w:p>
    <w:p w14:paraId="5C308256" w14:textId="77777777" w:rsidR="00CD402B" w:rsidRPr="00CD402B" w:rsidRDefault="00CD402B" w:rsidP="00CD402B">
      <w:pPr>
        <w:numPr>
          <w:ilvl w:val="0"/>
          <w:numId w:val="38"/>
        </w:numPr>
        <w:tabs>
          <w:tab w:val="num" w:pos="720"/>
        </w:tabs>
      </w:pPr>
      <w:r w:rsidRPr="00CD402B">
        <w:rPr>
          <w:lang w:val="en-CA"/>
        </w:rPr>
        <w:t xml:space="preserve">Other architecture options are limited to &lt;3.3GHz bands (&lt;200MHz BW) and need to be allowed for in gap exceptions. </w:t>
      </w:r>
    </w:p>
    <w:p w14:paraId="4C04F3EF" w14:textId="77777777" w:rsidR="00CD402B" w:rsidRPr="00CD402B" w:rsidRDefault="00CD402B" w:rsidP="00CD402B">
      <w:pPr>
        <w:numPr>
          <w:ilvl w:val="1"/>
          <w:numId w:val="38"/>
        </w:numPr>
        <w:tabs>
          <w:tab w:val="num" w:pos="1440"/>
        </w:tabs>
      </w:pPr>
      <w:r w:rsidRPr="00CD402B">
        <w:rPr>
          <w:lang w:val="en-CA"/>
        </w:rPr>
        <w:t>They cannot be used as baseline but they can be further discussed</w:t>
      </w:r>
    </w:p>
    <w:p w14:paraId="750EF7BB" w14:textId="77777777" w:rsidR="00CD402B" w:rsidRPr="00CD402B" w:rsidRDefault="00CD402B" w:rsidP="00CD402B">
      <w:pPr>
        <w:numPr>
          <w:ilvl w:val="1"/>
          <w:numId w:val="38"/>
        </w:numPr>
        <w:tabs>
          <w:tab w:val="num" w:pos="1440"/>
        </w:tabs>
      </w:pPr>
      <w:r w:rsidRPr="00CD402B">
        <w:rPr>
          <w:lang w:val="en-CA"/>
        </w:rPr>
        <w:t>A clear band example where exceptions are acceptable needs to be used. From PC3 discussions there was some level of consensus that it can only be for TDD band and if the affected channel belongs to the same operator. Following architectures would be applicable:</w:t>
      </w:r>
    </w:p>
    <w:p w14:paraId="3C114588" w14:textId="77777777" w:rsidR="00CD402B" w:rsidRPr="00CD402B" w:rsidRDefault="00CD402B" w:rsidP="003E5396">
      <w:pPr>
        <w:numPr>
          <w:ilvl w:val="1"/>
          <w:numId w:val="38"/>
        </w:numPr>
        <w:tabs>
          <w:tab w:val="num" w:pos="1440"/>
        </w:tabs>
      </w:pPr>
      <w:r w:rsidRPr="00CD402B">
        <w:rPr>
          <w:lang w:val="en-CA"/>
        </w:rPr>
        <w:t>1x26dBm PA + 1LO with 200MHz BW</w:t>
      </w:r>
    </w:p>
    <w:p w14:paraId="4407283A" w14:textId="5E6DF9B4" w:rsidR="00CD402B" w:rsidRDefault="00CD402B" w:rsidP="003E5396">
      <w:pPr>
        <w:numPr>
          <w:ilvl w:val="1"/>
          <w:numId w:val="38"/>
        </w:numPr>
        <w:tabs>
          <w:tab w:val="num" w:pos="1440"/>
        </w:tabs>
      </w:pPr>
      <w:r w:rsidRPr="00CD402B">
        <w:rPr>
          <w:lang w:val="en-CA"/>
        </w:rPr>
        <w:t>2x23dBm PA + 1LO with 200MHz BW</w:t>
      </w:r>
    </w:p>
    <w:p w14:paraId="148CA651" w14:textId="7DC7DC8A" w:rsidR="000A3CB6" w:rsidRPr="00A412D5" w:rsidRDefault="0089065E" w:rsidP="002D746B">
      <w:pPr>
        <w:rPr>
          <w:lang w:eastAsia="ko-KR"/>
        </w:rPr>
      </w:pPr>
      <w:bookmarkStart w:id="0" w:name="_Hlk58440727"/>
      <w:r>
        <w:rPr>
          <w:lang w:eastAsia="ko-KR"/>
        </w:rPr>
        <w:t>T</w:t>
      </w:r>
      <w:r w:rsidR="00F82F84" w:rsidRPr="00A412D5">
        <w:rPr>
          <w:lang w:eastAsia="ko-KR"/>
        </w:rPr>
        <w:t xml:space="preserve">his contribution </w:t>
      </w:r>
      <w:r w:rsidR="00464176">
        <w:rPr>
          <w:rFonts w:hint="eastAsia"/>
          <w:lang w:eastAsia="ja-JP"/>
        </w:rPr>
        <w:t>discusses</w:t>
      </w:r>
      <w:r w:rsidR="00CD402B">
        <w:rPr>
          <w:lang w:eastAsia="ko-KR"/>
        </w:rPr>
        <w:t xml:space="preserve"> foreseeable challenges to proceed with specification development with </w:t>
      </w:r>
      <w:r w:rsidR="00CD402B" w:rsidRPr="00CD402B">
        <w:rPr>
          <w:lang w:val="en-CA"/>
        </w:rPr>
        <w:t>1LO</w:t>
      </w:r>
      <w:r w:rsidR="00CD402B">
        <w:rPr>
          <w:lang w:val="en-CA"/>
        </w:rPr>
        <w:t xml:space="preserve"> architectures</w:t>
      </w:r>
      <w:r w:rsidR="00F82F84" w:rsidRPr="00A412D5">
        <w:rPr>
          <w:lang w:eastAsia="ko-KR"/>
        </w:rPr>
        <w:t>.</w:t>
      </w:r>
    </w:p>
    <w:bookmarkEnd w:id="0"/>
    <w:p w14:paraId="2DF59AA2" w14:textId="4D9FE7C6" w:rsidR="000D164D" w:rsidRPr="00A412D5" w:rsidRDefault="000D164D" w:rsidP="000D164D">
      <w:pPr>
        <w:pStyle w:val="Heading1"/>
        <w:ind w:left="709" w:hanging="709"/>
      </w:pPr>
      <w:r w:rsidRPr="00A412D5">
        <w:t>2</w:t>
      </w:r>
      <w:r w:rsidRPr="00A412D5">
        <w:tab/>
      </w:r>
      <w:r w:rsidR="00E40A52">
        <w:t>Discussion</w:t>
      </w:r>
    </w:p>
    <w:p w14:paraId="195DBD84" w14:textId="1FC7AA5B" w:rsidR="00E40A52" w:rsidRPr="00E40A52" w:rsidRDefault="00E40A52" w:rsidP="00811E46">
      <w:pPr>
        <w:jc w:val="both"/>
        <w:rPr>
          <w:lang w:val="en-US"/>
        </w:rPr>
      </w:pPr>
      <w:r w:rsidRPr="000940AF">
        <w:rPr>
          <w:lang w:val="en-US"/>
        </w:rPr>
        <w:t xml:space="preserve">In the next sub-sections, we discuss </w:t>
      </w:r>
      <w:r w:rsidR="00CD402B">
        <w:rPr>
          <w:lang w:val="en-US"/>
        </w:rPr>
        <w:t>several challenges with 1LO architectures.</w:t>
      </w:r>
      <w:r w:rsidRPr="000940AF">
        <w:rPr>
          <w:lang w:val="en-US"/>
        </w:rPr>
        <w:t xml:space="preserve"> </w:t>
      </w:r>
    </w:p>
    <w:p w14:paraId="3C3C4001" w14:textId="4E462E2F" w:rsidR="00E40A52" w:rsidRDefault="00E40A52" w:rsidP="00E40A52">
      <w:pPr>
        <w:pStyle w:val="Heading4"/>
        <w:rPr>
          <w:lang w:val="en-US"/>
        </w:rPr>
      </w:pPr>
      <w:r w:rsidRPr="00AF4991">
        <w:rPr>
          <w:lang w:val="en-US"/>
        </w:rPr>
        <w:t>2</w:t>
      </w:r>
      <w:r w:rsidRPr="0095061F">
        <w:rPr>
          <w:rFonts w:cs="Arial"/>
          <w:lang w:val="en-US"/>
        </w:rPr>
        <w:t>.</w:t>
      </w:r>
      <w:r>
        <w:rPr>
          <w:rFonts w:cs="Arial"/>
          <w:lang w:val="en-US"/>
        </w:rPr>
        <w:t>1</w:t>
      </w:r>
      <w:r w:rsidRPr="005A208E">
        <w:rPr>
          <w:rFonts w:cs="Arial"/>
          <w:szCs w:val="24"/>
          <w:lang w:val="en-US"/>
        </w:rPr>
        <w:t xml:space="preserve"> </w:t>
      </w:r>
      <w:r w:rsidR="000E78E2">
        <w:rPr>
          <w:rFonts w:cs="Arial"/>
          <w:szCs w:val="24"/>
          <w:lang w:val="en-US"/>
        </w:rPr>
        <w:t xml:space="preserve">Challenges on </w:t>
      </w:r>
      <w:r w:rsidR="00CD402B">
        <w:rPr>
          <w:rFonts w:cs="Arial"/>
          <w:szCs w:val="24"/>
          <w:lang w:val="en-US"/>
        </w:rPr>
        <w:t>MPR evaluation</w:t>
      </w:r>
      <w:r>
        <w:rPr>
          <w:rFonts w:cs="Arial"/>
          <w:szCs w:val="24"/>
          <w:lang w:val="en-US"/>
        </w:rPr>
        <w:t xml:space="preserve"> </w:t>
      </w:r>
    </w:p>
    <w:p w14:paraId="3BF01448" w14:textId="3E7F966F" w:rsidR="00380CD3" w:rsidRDefault="00380CD3" w:rsidP="009157FA">
      <w:r>
        <w:t xml:space="preserve">The left figure in </w:t>
      </w:r>
      <w:r w:rsidR="000E78E2">
        <w:t>Figure 2.1-1 shows 1RB transmissions in each CC with 70 MHz gap, where the CCs have 10MHz and 40MHz width, respectively</w:t>
      </w:r>
      <w:r>
        <w:t xml:space="preserve"> while the right figure shows corresponding case with 20MHz gap</w:t>
      </w:r>
      <w:r w:rsidR="000E78E2">
        <w:t xml:space="preserve">. Note that DC position is </w:t>
      </w:r>
      <w:r w:rsidR="00BC2342">
        <w:t xml:space="preserve">placed at Frequency offset zero position in the figure. </w:t>
      </w:r>
      <w:r>
        <w:t>Several conspicuous peaks are listed below.</w:t>
      </w:r>
    </w:p>
    <w:p w14:paraId="3FBAE5C8" w14:textId="286EF4E7" w:rsidR="00380CD3" w:rsidRPr="00380CD3" w:rsidRDefault="00380CD3" w:rsidP="009157FA">
      <w:pPr>
        <w:rPr>
          <w:b/>
          <w:bCs/>
          <w:u w:val="single"/>
        </w:rPr>
      </w:pPr>
      <w:r w:rsidRPr="00380CD3">
        <w:rPr>
          <w:b/>
          <w:bCs/>
          <w:u w:val="single"/>
        </w:rPr>
        <w:t>Left Figure: Wider gap</w:t>
      </w:r>
    </w:p>
    <w:p w14:paraId="042C2013" w14:textId="0B967EB7" w:rsidR="000E78E2" w:rsidRDefault="00380CD3" w:rsidP="00BC2342">
      <w:pPr>
        <w:pStyle w:val="ListParagraph"/>
        <w:numPr>
          <w:ilvl w:val="0"/>
          <w:numId w:val="39"/>
        </w:numPr>
      </w:pPr>
      <w:r>
        <w:t xml:space="preserve">IMD3: </w:t>
      </w:r>
      <w:r w:rsidR="00BC2342">
        <w:t>At around -130MHz and 110MHz</w:t>
      </w:r>
      <w:r>
        <w:t xml:space="preserve">, general </w:t>
      </w:r>
      <w:r w:rsidR="00BC2342" w:rsidRPr="00BC2342">
        <w:t>spurious emission limit violation</w:t>
      </w:r>
    </w:p>
    <w:p w14:paraId="481CDCFA" w14:textId="23F73455" w:rsidR="00BC2342" w:rsidRDefault="00380CD3" w:rsidP="00BC2342">
      <w:pPr>
        <w:pStyle w:val="ListParagraph"/>
        <w:numPr>
          <w:ilvl w:val="0"/>
          <w:numId w:val="39"/>
        </w:numPr>
      </w:pPr>
      <w:r>
        <w:t xml:space="preserve">LO leakage: </w:t>
      </w:r>
      <w:r w:rsidR="00BC2342">
        <w:t>At zero MHz</w:t>
      </w:r>
      <w:r>
        <w:t>, g</w:t>
      </w:r>
      <w:r w:rsidR="00BC2342">
        <w:t xml:space="preserve">eneral </w:t>
      </w:r>
      <w:r>
        <w:t>SEM</w:t>
      </w:r>
      <w:r w:rsidR="00BC2342">
        <w:t xml:space="preserve"> </w:t>
      </w:r>
      <w:r w:rsidR="00BC2342" w:rsidRPr="00BC2342">
        <w:t xml:space="preserve">limit violation </w:t>
      </w:r>
    </w:p>
    <w:p w14:paraId="7027B273" w14:textId="7F8CC4F7" w:rsidR="00BC2342" w:rsidRDefault="00380CD3" w:rsidP="00BC2342">
      <w:pPr>
        <w:pStyle w:val="ListParagraph"/>
        <w:numPr>
          <w:ilvl w:val="0"/>
          <w:numId w:val="39"/>
        </w:numPr>
      </w:pPr>
      <w:r>
        <w:t xml:space="preserve">Image: </w:t>
      </w:r>
      <w:r w:rsidR="00BC2342">
        <w:t>At around -30MHz</w:t>
      </w:r>
      <w:r>
        <w:t>, g</w:t>
      </w:r>
      <w:r w:rsidR="00BC2342" w:rsidRPr="00BC2342">
        <w:t>eneral spurious emission limit violation</w:t>
      </w:r>
    </w:p>
    <w:p w14:paraId="6FF1D65D" w14:textId="0363A743" w:rsidR="00380CD3" w:rsidRPr="00380CD3" w:rsidRDefault="00380CD3" w:rsidP="00380CD3">
      <w:pPr>
        <w:rPr>
          <w:b/>
          <w:bCs/>
          <w:u w:val="single"/>
        </w:rPr>
      </w:pPr>
      <w:r>
        <w:rPr>
          <w:b/>
          <w:bCs/>
          <w:u w:val="single"/>
        </w:rPr>
        <w:t>Right</w:t>
      </w:r>
      <w:r w:rsidRPr="00380CD3">
        <w:rPr>
          <w:b/>
          <w:bCs/>
          <w:u w:val="single"/>
        </w:rPr>
        <w:t xml:space="preserve"> Figure: </w:t>
      </w:r>
      <w:r>
        <w:rPr>
          <w:b/>
          <w:bCs/>
          <w:u w:val="single"/>
        </w:rPr>
        <w:t>Narrower</w:t>
      </w:r>
      <w:r w:rsidRPr="00380CD3">
        <w:rPr>
          <w:b/>
          <w:bCs/>
          <w:u w:val="single"/>
        </w:rPr>
        <w:t xml:space="preserve"> gap</w:t>
      </w:r>
    </w:p>
    <w:p w14:paraId="27649D93" w14:textId="7CFC0447" w:rsidR="00380CD3" w:rsidRDefault="00380CD3" w:rsidP="00380CD3">
      <w:pPr>
        <w:pStyle w:val="ListParagraph"/>
        <w:numPr>
          <w:ilvl w:val="0"/>
          <w:numId w:val="39"/>
        </w:numPr>
      </w:pPr>
      <w:r>
        <w:t>IMD3: At around -</w:t>
      </w:r>
      <w:r w:rsidR="0006310F">
        <w:t xml:space="preserve">85MHz </w:t>
      </w:r>
      <w:r>
        <w:t xml:space="preserve">and </w:t>
      </w:r>
      <w:r w:rsidR="0006310F">
        <w:t>65MHz</w:t>
      </w:r>
      <w:r>
        <w:t xml:space="preserve">, general </w:t>
      </w:r>
      <w:r w:rsidRPr="00BC2342">
        <w:t xml:space="preserve">spurious emission limit </w:t>
      </w:r>
      <w:r>
        <w:t>and general SEM, respectively</w:t>
      </w:r>
    </w:p>
    <w:p w14:paraId="59FDD662" w14:textId="3F893049" w:rsidR="00380CD3" w:rsidRDefault="00380CD3" w:rsidP="00380CD3">
      <w:pPr>
        <w:pStyle w:val="ListParagraph"/>
        <w:numPr>
          <w:ilvl w:val="0"/>
          <w:numId w:val="39"/>
        </w:numPr>
      </w:pPr>
      <w:r>
        <w:t xml:space="preserve">LO leakage: At zero MHz, general SEM </w:t>
      </w:r>
      <w:r w:rsidRPr="00BC2342">
        <w:t>limit violation</w:t>
      </w:r>
      <w:r>
        <w:t xml:space="preserve"> (the required limit is different from wider gap case)</w:t>
      </w:r>
    </w:p>
    <w:p w14:paraId="7A166077" w14:textId="1EB22749" w:rsidR="00380CD3" w:rsidRDefault="00380CD3" w:rsidP="00380CD3">
      <w:pPr>
        <w:pStyle w:val="ListParagraph"/>
        <w:numPr>
          <w:ilvl w:val="0"/>
          <w:numId w:val="39"/>
        </w:numPr>
      </w:pPr>
      <w:r>
        <w:t>Image: At around -</w:t>
      </w:r>
      <w:r w:rsidR="0006310F">
        <w:t>15MHz</w:t>
      </w:r>
      <w:r>
        <w:t>, g</w:t>
      </w:r>
      <w:r w:rsidRPr="00BC2342">
        <w:t xml:space="preserve">eneral </w:t>
      </w:r>
      <w:r>
        <w:t>SEM</w:t>
      </w:r>
      <w:r w:rsidRPr="00BC2342">
        <w:t xml:space="preserve"> limit violation</w:t>
      </w:r>
    </w:p>
    <w:p w14:paraId="7FDFA11B" w14:textId="7083B4C8" w:rsidR="00BC2342" w:rsidRDefault="00BC2342" w:rsidP="00BC2342">
      <w:r>
        <w:t xml:space="preserve">Given that general spurious emission requirement shall be satisfied, the </w:t>
      </w:r>
      <w:r w:rsidR="001A00AA">
        <w:t xml:space="preserve">MPR </w:t>
      </w:r>
      <w:r>
        <w:t xml:space="preserve">gating factor for </w:t>
      </w:r>
      <w:r w:rsidR="001A00AA">
        <w:t>wider gap case</w:t>
      </w:r>
      <w:r>
        <w:t xml:space="preserve"> becomes the general spurious emission limit by an image at around -30MHz</w:t>
      </w:r>
      <w:r w:rsidR="00380CD3">
        <w:t xml:space="preserve"> </w:t>
      </w:r>
      <w:r w:rsidR="001A00AA">
        <w:t>where the required MPR would be around 23dB. Note that the amount of the limit violation is 23dB(-7dBm - (-30dBm/MHz)) and to meet the -30dBm/MHz, exactly the same value corresponding to the exceed value is required due to one-to-one relation between the image and Tx power. T</w:t>
      </w:r>
      <w:r w:rsidR="00380CD3">
        <w:t xml:space="preserve">hat for </w:t>
      </w:r>
      <w:r w:rsidR="001A00AA">
        <w:t xml:space="preserve">narrower gap, however, is different from that for wider gap and it becomes the general SEM limit by an image at around -8 MHz, though IMD3 at around -50MHz would require fairly close power back-off for the image. </w:t>
      </w:r>
      <w:r>
        <w:t xml:space="preserve">The amount of MPR would be around </w:t>
      </w:r>
      <w:r w:rsidR="001A00AA">
        <w:t>6</w:t>
      </w:r>
      <w:r>
        <w:t xml:space="preserve"> dB</w:t>
      </w:r>
      <w:r w:rsidR="001A00AA">
        <w:t xml:space="preserve"> due to the image for the narrow gap</w:t>
      </w:r>
      <w:r>
        <w:t>.</w:t>
      </w:r>
    </w:p>
    <w:p w14:paraId="1CCC7A58" w14:textId="77777777" w:rsidR="00BC2342" w:rsidRDefault="00BC2342" w:rsidP="00BC2342">
      <w:pPr>
        <w:ind w:left="284"/>
      </w:pPr>
      <w:r>
        <w:t>Note that though the current specification allows “exception” when an image falls into sub-blocks, it is not clear what this exception allows as emission requirement. And this aspect will be treated in the next sub-section 2.2.</w:t>
      </w:r>
    </w:p>
    <w:p w14:paraId="0A17C4F9" w14:textId="344D4BEF" w:rsidR="00BC2342" w:rsidRDefault="001A00AA" w:rsidP="00BC2342">
      <w:r>
        <w:lastRenderedPageBreak/>
        <w:t>As described above</w:t>
      </w:r>
      <w:r w:rsidR="00BC2342">
        <w:t xml:space="preserve">, the gating factor changes according to the sub-block distance and </w:t>
      </w:r>
      <w:r>
        <w:t xml:space="preserve">the respective </w:t>
      </w:r>
      <w:r w:rsidR="00BC2342">
        <w:t xml:space="preserve">CC’s width. </w:t>
      </w:r>
      <w:r>
        <w:t xml:space="preserve">This </w:t>
      </w:r>
      <w:r w:rsidR="00BC2342">
        <w:t xml:space="preserve">makes MPR evaluation </w:t>
      </w:r>
      <w:r>
        <w:t xml:space="preserve">and defining MPR with reasonable granularity </w:t>
      </w:r>
      <w:r w:rsidR="00BC2342">
        <w:t>significantly complicated.</w:t>
      </w:r>
      <w:r>
        <w:t xml:space="preserve"> And even if meeting general spurious emission was exempted, the tendency would be kept because SEM limit between sub-blocks changes according to the distance and the respective CC’s width.</w:t>
      </w:r>
    </w:p>
    <w:p w14:paraId="0D7FA5AF" w14:textId="16AC6F79" w:rsidR="00BC2342" w:rsidRDefault="001A00AA" w:rsidP="00BC2342">
      <w:r w:rsidRPr="00A412D5">
        <w:rPr>
          <w:b/>
          <w:bCs/>
        </w:rPr>
        <w:t>Observation 1:</w:t>
      </w:r>
      <w:r>
        <w:rPr>
          <w:b/>
          <w:bCs/>
        </w:rPr>
        <w:t xml:space="preserve"> MPR evaluation/development with 1PA/1LO would be more complicated than that with 2PA/2LO.</w:t>
      </w:r>
    </w:p>
    <w:p w14:paraId="7A32C6DF" w14:textId="41119F77" w:rsidR="000E78E2" w:rsidRDefault="00380CD3" w:rsidP="00380CD3">
      <w:pPr>
        <w:jc w:val="center"/>
      </w:pPr>
      <w:r>
        <w:rPr>
          <w:noProof/>
        </w:rPr>
        <w:drawing>
          <wp:inline distT="0" distB="0" distL="0" distR="0" wp14:anchorId="0771ACA4" wp14:editId="0C8D6DC9">
            <wp:extent cx="2851410" cy="2902584"/>
            <wp:effectExtent l="19050" t="19050" r="25400" b="1270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77014" cy="2928648"/>
                    </a:xfrm>
                    <a:prstGeom prst="rect">
                      <a:avLst/>
                    </a:prstGeom>
                    <a:ln>
                      <a:solidFill>
                        <a:schemeClr val="tx1"/>
                      </a:solidFill>
                    </a:ln>
                  </pic:spPr>
                </pic:pic>
              </a:graphicData>
            </a:graphic>
          </wp:inline>
        </w:drawing>
      </w:r>
      <w:r w:rsidR="0006310F">
        <w:rPr>
          <w:noProof/>
        </w:rPr>
        <w:drawing>
          <wp:inline distT="0" distB="0" distL="0" distR="0" wp14:anchorId="5C1F71B2" wp14:editId="5A24F3A5">
            <wp:extent cx="2838310" cy="2889250"/>
            <wp:effectExtent l="19050" t="19050" r="19685" b="2540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1042" cy="2912390"/>
                    </a:xfrm>
                    <a:prstGeom prst="rect">
                      <a:avLst/>
                    </a:prstGeom>
                    <a:ln>
                      <a:solidFill>
                        <a:schemeClr val="tx1"/>
                      </a:solidFill>
                    </a:ln>
                  </pic:spPr>
                </pic:pic>
              </a:graphicData>
            </a:graphic>
          </wp:inline>
        </w:drawing>
      </w:r>
    </w:p>
    <w:p w14:paraId="0BDE3CB5" w14:textId="01139A4C" w:rsidR="000E78E2" w:rsidRDefault="000E78E2" w:rsidP="000E78E2">
      <w:pPr>
        <w:jc w:val="center"/>
        <w:rPr>
          <w:rFonts w:ascii="Arial" w:hAnsi="Arial" w:cs="Arial"/>
        </w:rPr>
      </w:pPr>
      <w:r w:rsidRPr="000E78E2">
        <w:rPr>
          <w:rFonts w:ascii="Arial" w:hAnsi="Arial" w:cs="Arial"/>
        </w:rPr>
        <w:t xml:space="preserve">Figure 2.1-1: </w:t>
      </w:r>
      <w:r w:rsidR="00380CD3">
        <w:rPr>
          <w:rFonts w:ascii="Arial" w:hAnsi="Arial" w:cs="Arial"/>
        </w:rPr>
        <w:t>w</w:t>
      </w:r>
      <w:r w:rsidRPr="000E78E2">
        <w:rPr>
          <w:rFonts w:ascii="Arial" w:hAnsi="Arial" w:cs="Arial"/>
        </w:rPr>
        <w:t xml:space="preserve">ider gap </w:t>
      </w:r>
      <w:r w:rsidR="00380CD3">
        <w:rPr>
          <w:rFonts w:ascii="Arial" w:hAnsi="Arial" w:cs="Arial"/>
        </w:rPr>
        <w:t>(</w:t>
      </w:r>
      <w:r w:rsidR="001A00AA">
        <w:rPr>
          <w:rFonts w:ascii="Arial" w:hAnsi="Arial" w:cs="Arial"/>
        </w:rPr>
        <w:t>l</w:t>
      </w:r>
      <w:r w:rsidR="00380CD3">
        <w:rPr>
          <w:rFonts w:ascii="Arial" w:hAnsi="Arial" w:cs="Arial"/>
        </w:rPr>
        <w:t>eft) and narrow gap</w:t>
      </w:r>
      <w:r w:rsidR="001A00AA">
        <w:rPr>
          <w:rFonts w:ascii="Arial" w:hAnsi="Arial" w:cs="Arial"/>
        </w:rPr>
        <w:t>(right)</w:t>
      </w:r>
      <w:r w:rsidR="00380CD3">
        <w:rPr>
          <w:rFonts w:ascii="Arial" w:hAnsi="Arial" w:cs="Arial"/>
        </w:rPr>
        <w:t xml:space="preserve"> cases </w:t>
      </w:r>
      <w:r w:rsidR="00380CD3" w:rsidRPr="000E78E2">
        <w:rPr>
          <w:rFonts w:ascii="Arial" w:hAnsi="Arial" w:cs="Arial"/>
        </w:rPr>
        <w:t>between two CCs</w:t>
      </w:r>
    </w:p>
    <w:p w14:paraId="68130E54" w14:textId="65602CC1" w:rsidR="00167107" w:rsidRPr="000E78E2" w:rsidRDefault="00167107" w:rsidP="00167107">
      <w:pPr>
        <w:ind w:left="284"/>
        <w:rPr>
          <w:rFonts w:ascii="Arial" w:hAnsi="Arial" w:cs="Arial"/>
        </w:rPr>
      </w:pPr>
      <w:r>
        <w:rPr>
          <w:rFonts w:ascii="Arial" w:hAnsi="Arial" w:cs="Arial"/>
        </w:rPr>
        <w:t xml:space="preserve">Note: </w:t>
      </w:r>
      <w:r w:rsidRPr="00167107">
        <w:rPr>
          <w:rFonts w:ascii="Arial" w:hAnsi="Arial" w:cs="Arial"/>
        </w:rPr>
        <w:t xml:space="preserve">LO and image suppressions </w:t>
      </w:r>
      <w:r>
        <w:rPr>
          <w:rFonts w:ascii="Arial" w:hAnsi="Arial" w:cs="Arial"/>
        </w:rPr>
        <w:t>are</w:t>
      </w:r>
      <w:r w:rsidRPr="00167107">
        <w:rPr>
          <w:rFonts w:ascii="Arial" w:hAnsi="Arial" w:cs="Arial"/>
        </w:rPr>
        <w:t xml:space="preserve"> -28 dBc</w:t>
      </w:r>
      <w:r>
        <w:rPr>
          <w:rFonts w:ascii="Arial" w:hAnsi="Arial" w:cs="Arial"/>
        </w:rPr>
        <w:t xml:space="preserve"> and </w:t>
      </w:r>
      <w:r w:rsidRPr="00167107">
        <w:rPr>
          <w:rFonts w:ascii="Arial" w:hAnsi="Arial" w:cs="Arial"/>
        </w:rPr>
        <w:t xml:space="preserve">counter-IM3 suppression </w:t>
      </w:r>
      <w:r>
        <w:rPr>
          <w:rFonts w:ascii="Arial" w:hAnsi="Arial" w:cs="Arial"/>
        </w:rPr>
        <w:t xml:space="preserve">is </w:t>
      </w:r>
      <w:r w:rsidRPr="00167107">
        <w:rPr>
          <w:rFonts w:ascii="Arial" w:hAnsi="Arial" w:cs="Arial"/>
        </w:rPr>
        <w:t>-60 dBc</w:t>
      </w:r>
      <w:r>
        <w:rPr>
          <w:rFonts w:ascii="Arial" w:hAnsi="Arial" w:cs="Arial"/>
        </w:rPr>
        <w:t xml:space="preserve">. An </w:t>
      </w:r>
      <w:r w:rsidRPr="00167107">
        <w:rPr>
          <w:rFonts w:ascii="Arial" w:hAnsi="Arial" w:cs="Arial"/>
        </w:rPr>
        <w:t xml:space="preserve">applied PA calibration is 20MHz 15kHz 100RB@edge SC-FDMA QPSK MPR=1 waveform. </w:t>
      </w:r>
    </w:p>
    <w:p w14:paraId="0CEC6C92" w14:textId="1452FFBD" w:rsidR="00B41993" w:rsidRDefault="00B41993" w:rsidP="00B41993">
      <w:pPr>
        <w:pStyle w:val="Heading4"/>
        <w:rPr>
          <w:lang w:val="en-US"/>
        </w:rPr>
      </w:pPr>
      <w:r w:rsidRPr="00AF4991">
        <w:rPr>
          <w:lang w:val="en-US"/>
        </w:rPr>
        <w:t>2</w:t>
      </w:r>
      <w:r w:rsidRPr="0095061F">
        <w:rPr>
          <w:rFonts w:cs="Arial"/>
          <w:lang w:val="en-US"/>
        </w:rPr>
        <w:t>.</w:t>
      </w:r>
      <w:r>
        <w:rPr>
          <w:rFonts w:cs="Arial"/>
          <w:lang w:val="en-US"/>
        </w:rPr>
        <w:t>2</w:t>
      </w:r>
      <w:r w:rsidRPr="005A208E">
        <w:rPr>
          <w:rFonts w:cs="Arial"/>
          <w:szCs w:val="24"/>
          <w:lang w:val="en-US"/>
        </w:rPr>
        <w:t xml:space="preserve"> </w:t>
      </w:r>
      <w:r w:rsidR="001A00AA">
        <w:rPr>
          <w:rFonts w:cs="Arial"/>
          <w:szCs w:val="24"/>
          <w:lang w:val="en-US"/>
        </w:rPr>
        <w:t>Specification ambiguity</w:t>
      </w:r>
    </w:p>
    <w:p w14:paraId="65A556EB" w14:textId="19AC6EAA" w:rsidR="001A00AA" w:rsidRDefault="001A00AA" w:rsidP="001A00AA">
      <w:r>
        <w:t xml:space="preserve">Rel-16 introduced PC3 UL intra band non-contiguous CA requirements, where some exceptions are allowed to accommodate 1PA/1LO architecture, though actual MPR/A-MPR based on that architecture has not been specified yet. </w:t>
      </w:r>
      <w:r w:rsidRPr="00A412D5">
        <w:rPr>
          <w:b/>
          <w:bCs/>
        </w:rPr>
        <w:t xml:space="preserve">Observation </w:t>
      </w:r>
      <w:r>
        <w:rPr>
          <w:b/>
          <w:bCs/>
        </w:rPr>
        <w:t>2</w:t>
      </w:r>
      <w:r w:rsidRPr="00A412D5">
        <w:rPr>
          <w:b/>
          <w:bCs/>
        </w:rPr>
        <w:t>:</w:t>
      </w:r>
      <w:r>
        <w:rPr>
          <w:b/>
          <w:bCs/>
        </w:rPr>
        <w:t xml:space="preserve"> Intra band UL non-contiguous CA requirements assuming 1PA/1LO architecture is not fully specified.</w:t>
      </w:r>
    </w:p>
    <w:p w14:paraId="196F80F0" w14:textId="130475A7" w:rsidR="001A00AA" w:rsidRDefault="001A00AA" w:rsidP="00811E46">
      <w:r>
        <w:t>Regarding the exception, that for ACLR is quite clear that 3dB relaxation is allowed while that for SEM and general spurious emission would not be clear. The corresponding requirement for general spurious emission requirement is excerpted.</w:t>
      </w:r>
    </w:p>
    <w:p w14:paraId="0A80CDB9" w14:textId="77777777" w:rsidR="001A00AA" w:rsidRPr="00A1115A" w:rsidRDefault="001A00AA" w:rsidP="001A00AA">
      <w:pPr>
        <w:pStyle w:val="B1"/>
        <w:ind w:left="284" w:firstLine="0"/>
      </w:pPr>
      <w:r w:rsidRPr="00A1115A">
        <w:t>For the signalling is absent for dualPA-Architecture IE, if carrier leakage or I/Q image lands inside the gap spectrum between 2 UL CCs when UL CCs are synchronized with frequencies in the gap, exception to the general spurious requirement applies.</w:t>
      </w:r>
    </w:p>
    <w:p w14:paraId="2DB3A208" w14:textId="4668FA69" w:rsidR="001A00AA" w:rsidRDefault="001A00AA" w:rsidP="00811E46">
      <w:r>
        <w:t xml:space="preserve">The above case applies to UEs whose architecture is at least NOT 2PAs. Hence, 1PA/1LO case follows this requirement. It is, however, not clear what requirements are applicable if general spurious emission requirement is exempted or not. If it meant no emission requirement for this case, it would indicate that any higher emission would be allowed. In order to better understand the real intent of this exception, we look back at a relevant WF for this and it seems that the exception would come from an WF of [2]. The below Figure 2.2-1 is an excerption of a slide mentioning general spurious emission handling in a gap in [2]. It says that </w:t>
      </w:r>
      <w:r w:rsidRPr="001A00AA">
        <w:t>No spurious requirement applies in the gap if W</w:t>
      </w:r>
      <w:r w:rsidRPr="001A00AA">
        <w:rPr>
          <w:vertAlign w:val="subscript"/>
        </w:rPr>
        <w:t>gap</w:t>
      </w:r>
      <w:r w:rsidRPr="001A00AA">
        <w:t xml:space="preserve"> &lt; ∆F</w:t>
      </w:r>
      <w:r w:rsidRPr="001A00AA">
        <w:rPr>
          <w:vertAlign w:val="subscript"/>
        </w:rPr>
        <w:t>OOB1</w:t>
      </w:r>
      <w:r w:rsidRPr="001A00AA">
        <w:t xml:space="preserve"> + ∆F</w:t>
      </w:r>
      <w:r w:rsidRPr="001A00AA">
        <w:rPr>
          <w:vertAlign w:val="subscript"/>
        </w:rPr>
        <w:t>OOB2</w:t>
      </w:r>
      <w:r w:rsidRPr="001A00AA">
        <w:t>, otherwise only composite SEM</w:t>
      </w:r>
      <w:r>
        <w:t>. This former text is understandable since it is not possible to find any frequency range where general spurious emission applies if</w:t>
      </w:r>
      <w:r w:rsidRPr="001A00AA">
        <w:t xml:space="preserve"> W</w:t>
      </w:r>
      <w:r w:rsidRPr="001A00AA">
        <w:rPr>
          <w:vertAlign w:val="subscript"/>
        </w:rPr>
        <w:t>gap</w:t>
      </w:r>
      <w:r w:rsidRPr="001A00AA">
        <w:t xml:space="preserve"> &lt; ∆F</w:t>
      </w:r>
      <w:r w:rsidRPr="001A00AA">
        <w:rPr>
          <w:vertAlign w:val="subscript"/>
        </w:rPr>
        <w:t>OOB1</w:t>
      </w:r>
      <w:r w:rsidRPr="001A00AA">
        <w:t xml:space="preserve"> + ∆F</w:t>
      </w:r>
      <w:r w:rsidRPr="001A00AA">
        <w:rPr>
          <w:vertAlign w:val="subscript"/>
        </w:rPr>
        <w:t>OOB2</w:t>
      </w:r>
      <w:r>
        <w:t xml:space="preserve">. The latter text is, however, not possible to understand it since if </w:t>
      </w:r>
      <w:r w:rsidRPr="001A00AA">
        <w:t>W</w:t>
      </w:r>
      <w:r w:rsidRPr="001A00AA">
        <w:rPr>
          <w:vertAlign w:val="subscript"/>
        </w:rPr>
        <w:t>gap</w:t>
      </w:r>
      <w:r w:rsidRPr="001A00AA">
        <w:t xml:space="preserve"> ≥ ∆F</w:t>
      </w:r>
      <w:r w:rsidRPr="001A00AA">
        <w:rPr>
          <w:vertAlign w:val="subscript"/>
        </w:rPr>
        <w:t>OOB1</w:t>
      </w:r>
      <w:r w:rsidRPr="001A00AA">
        <w:t xml:space="preserve"> + ∆F</w:t>
      </w:r>
      <w:r w:rsidRPr="001A00AA">
        <w:rPr>
          <w:vertAlign w:val="subscript"/>
        </w:rPr>
        <w:t>OOB2</w:t>
      </w:r>
      <w:r>
        <w:t>, there must be a frequency range where general SEM cannot reach out. Apart from the interpretation of the current specification, general spurious emission requirement comes from regulations. RAN4 specifications allow some exceptions such that spurious emissions for UE co-existence uses normally -50dBm/MHz protection but in case harmonics hit that protection areas, still general spurious emission requirements apply. Hence, we believe it would worth discussing the meaning of the “exception” and how to handle it.</w:t>
      </w:r>
    </w:p>
    <w:p w14:paraId="3958DEBB" w14:textId="12E3BAD8" w:rsidR="001A00AA" w:rsidRDefault="001A00AA" w:rsidP="001A00AA">
      <w:r w:rsidRPr="00A412D5">
        <w:rPr>
          <w:b/>
          <w:bCs/>
        </w:rPr>
        <w:t xml:space="preserve">Observation </w:t>
      </w:r>
      <w:r>
        <w:rPr>
          <w:b/>
          <w:bCs/>
        </w:rPr>
        <w:t>3</w:t>
      </w:r>
      <w:r w:rsidRPr="00A412D5">
        <w:rPr>
          <w:b/>
          <w:bCs/>
        </w:rPr>
        <w:t>:</w:t>
      </w:r>
      <w:r>
        <w:rPr>
          <w:b/>
          <w:bCs/>
        </w:rPr>
        <w:t xml:space="preserve"> Exception on general spurious emission/SEM needs to be clarified with consideration of regulations.</w:t>
      </w:r>
    </w:p>
    <w:p w14:paraId="445B6D9A" w14:textId="77777777" w:rsidR="001A00AA" w:rsidRDefault="001A00AA" w:rsidP="00811E46"/>
    <w:p w14:paraId="667BD287" w14:textId="5EC65964" w:rsidR="001A00AA" w:rsidRDefault="001A00AA" w:rsidP="001A00AA">
      <w:pPr>
        <w:jc w:val="center"/>
      </w:pPr>
      <w:r>
        <w:rPr>
          <w:noProof/>
        </w:rPr>
        <w:lastRenderedPageBreak/>
        <w:drawing>
          <wp:inline distT="0" distB="0" distL="0" distR="0" wp14:anchorId="7A6032F5" wp14:editId="08F4777D">
            <wp:extent cx="3717594" cy="2249300"/>
            <wp:effectExtent l="19050" t="19050" r="16510" b="1778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35523" cy="2260148"/>
                    </a:xfrm>
                    <a:prstGeom prst="rect">
                      <a:avLst/>
                    </a:prstGeom>
                    <a:ln>
                      <a:solidFill>
                        <a:schemeClr val="tx1"/>
                      </a:solidFill>
                    </a:ln>
                  </pic:spPr>
                </pic:pic>
              </a:graphicData>
            </a:graphic>
          </wp:inline>
        </w:drawing>
      </w:r>
    </w:p>
    <w:p w14:paraId="6531AF7C" w14:textId="76D41CFC" w:rsidR="001A00AA" w:rsidRPr="000E78E2" w:rsidRDefault="001A00AA" w:rsidP="001A00AA">
      <w:pPr>
        <w:jc w:val="center"/>
        <w:rPr>
          <w:rFonts w:ascii="Arial" w:hAnsi="Arial" w:cs="Arial"/>
        </w:rPr>
      </w:pPr>
      <w:r w:rsidRPr="000E78E2">
        <w:rPr>
          <w:rFonts w:ascii="Arial" w:hAnsi="Arial" w:cs="Arial"/>
        </w:rPr>
        <w:t>Figure 2.</w:t>
      </w:r>
      <w:r>
        <w:rPr>
          <w:rFonts w:ascii="Arial" w:hAnsi="Arial" w:cs="Arial"/>
        </w:rPr>
        <w:t>2</w:t>
      </w:r>
      <w:r w:rsidRPr="000E78E2">
        <w:rPr>
          <w:rFonts w:ascii="Arial" w:hAnsi="Arial" w:cs="Arial"/>
        </w:rPr>
        <w:t xml:space="preserve">-1: </w:t>
      </w:r>
      <w:r>
        <w:rPr>
          <w:rFonts w:ascii="Arial" w:hAnsi="Arial" w:cs="Arial"/>
        </w:rPr>
        <w:t>Agreement for general spurious handling in [2]</w:t>
      </w:r>
    </w:p>
    <w:p w14:paraId="59CBE812" w14:textId="20911350" w:rsidR="000D164D" w:rsidRPr="00A412D5" w:rsidRDefault="00BA303F" w:rsidP="000D164D">
      <w:pPr>
        <w:pStyle w:val="Heading1"/>
        <w:ind w:left="709" w:hanging="709"/>
      </w:pPr>
      <w:r w:rsidRPr="00A412D5">
        <w:t>3</w:t>
      </w:r>
      <w:r w:rsidR="000D164D" w:rsidRPr="00A412D5">
        <w:tab/>
      </w:r>
      <w:r w:rsidR="00811E46">
        <w:t>Conclusion</w:t>
      </w:r>
      <w:r w:rsidR="003B3ABC" w:rsidRPr="00A412D5">
        <w:t xml:space="preserve"> </w:t>
      </w:r>
    </w:p>
    <w:p w14:paraId="0F6C2E7E" w14:textId="5D5DED48" w:rsidR="00811E46" w:rsidRDefault="002D746B" w:rsidP="006A0E34">
      <w:pPr>
        <w:overflowPunct/>
        <w:autoSpaceDE/>
        <w:autoSpaceDN/>
        <w:adjustRightInd/>
        <w:textAlignment w:val="auto"/>
        <w:rPr>
          <w:lang w:eastAsia="ko-KR"/>
        </w:rPr>
      </w:pPr>
      <w:r w:rsidRPr="00A412D5">
        <w:rPr>
          <w:lang w:eastAsia="ko-KR"/>
        </w:rPr>
        <w:t xml:space="preserve">Based on the </w:t>
      </w:r>
      <w:r w:rsidR="00811E46">
        <w:rPr>
          <w:lang w:eastAsia="ko-KR"/>
        </w:rPr>
        <w:t>above discussion, we obtained three observations and propose the followings.</w:t>
      </w:r>
      <w:r w:rsidR="00380CD3" w:rsidRPr="00380CD3">
        <w:t xml:space="preserve"> </w:t>
      </w:r>
    </w:p>
    <w:p w14:paraId="7764EDBC" w14:textId="77777777" w:rsidR="001A00AA" w:rsidRDefault="001A00AA" w:rsidP="001A00AA">
      <w:r w:rsidRPr="00A412D5">
        <w:rPr>
          <w:b/>
          <w:bCs/>
        </w:rPr>
        <w:t>Observation 1:</w:t>
      </w:r>
      <w:r>
        <w:rPr>
          <w:b/>
          <w:bCs/>
        </w:rPr>
        <w:t xml:space="preserve"> MPR evaluation/development with 1PA/1LO would be more complicated than that with </w:t>
      </w:r>
      <w:r w:rsidRPr="00A412D5">
        <w:rPr>
          <w:b/>
          <w:bCs/>
        </w:rPr>
        <w:t xml:space="preserve">Observation </w:t>
      </w:r>
      <w:r>
        <w:rPr>
          <w:b/>
          <w:bCs/>
        </w:rPr>
        <w:t>2</w:t>
      </w:r>
      <w:r w:rsidRPr="00A412D5">
        <w:rPr>
          <w:b/>
          <w:bCs/>
        </w:rPr>
        <w:t>:</w:t>
      </w:r>
      <w:r>
        <w:rPr>
          <w:b/>
          <w:bCs/>
        </w:rPr>
        <w:t xml:space="preserve"> Intra band UL non-contiguous CA requirements assuming 1PA/1LO architecture is not fully specified.</w:t>
      </w:r>
    </w:p>
    <w:p w14:paraId="6FD5F47C" w14:textId="77777777" w:rsidR="001A00AA" w:rsidRDefault="001A00AA" w:rsidP="001A00AA">
      <w:r w:rsidRPr="00A412D5">
        <w:rPr>
          <w:b/>
          <w:bCs/>
        </w:rPr>
        <w:t xml:space="preserve">Observation </w:t>
      </w:r>
      <w:r>
        <w:rPr>
          <w:b/>
          <w:bCs/>
        </w:rPr>
        <w:t>3</w:t>
      </w:r>
      <w:r w:rsidRPr="00A412D5">
        <w:rPr>
          <w:b/>
          <w:bCs/>
        </w:rPr>
        <w:t>:</w:t>
      </w:r>
      <w:r>
        <w:rPr>
          <w:b/>
          <w:bCs/>
        </w:rPr>
        <w:t xml:space="preserve"> Exception on general spurious emission/SEM needs to be clarified with consideration of regulations.</w:t>
      </w:r>
    </w:p>
    <w:p w14:paraId="329C9481" w14:textId="7C7838C8" w:rsidR="00811E46" w:rsidRPr="00A412D5" w:rsidRDefault="00811E46" w:rsidP="00811E46">
      <w:pPr>
        <w:rPr>
          <w:b/>
          <w:bCs/>
        </w:rPr>
      </w:pPr>
      <w:r>
        <w:rPr>
          <w:b/>
          <w:bCs/>
        </w:rPr>
        <w:t xml:space="preserve">Proposal: </w:t>
      </w:r>
      <w:r w:rsidR="001A00AA">
        <w:rPr>
          <w:b/>
          <w:bCs/>
        </w:rPr>
        <w:t>In case RAN4 develops PC2 intra band non-contiguous CA requirements, challenges to develop MPR requirements and re-consideration of exception for general spurious emission/SEM should be considered.</w:t>
      </w:r>
    </w:p>
    <w:p w14:paraId="08E8FE59" w14:textId="282D0961" w:rsidR="00F62561" w:rsidRPr="00A412D5" w:rsidRDefault="00811E46" w:rsidP="00F62561">
      <w:pPr>
        <w:pStyle w:val="Heading1"/>
      </w:pPr>
      <w:r>
        <w:t>4</w:t>
      </w:r>
      <w:r w:rsidR="00F62561" w:rsidRPr="00A412D5">
        <w:tab/>
        <w:t>References</w:t>
      </w:r>
    </w:p>
    <w:p w14:paraId="072CEF36" w14:textId="59E173B9" w:rsidR="00E101DD" w:rsidRDefault="00F62561" w:rsidP="002D746B">
      <w:r w:rsidRPr="00A412D5">
        <w:t xml:space="preserve">[1] </w:t>
      </w:r>
      <w:r w:rsidR="00CD402B" w:rsidRPr="00CD402B">
        <w:t>R4-2103371</w:t>
      </w:r>
      <w:r w:rsidRPr="00A412D5">
        <w:t xml:space="preserve">, </w:t>
      </w:r>
      <w:r w:rsidR="00CD402B" w:rsidRPr="00CD402B">
        <w:t>Way forward on NC UL CA PC2 evaluation assumptions and scenarios</w:t>
      </w:r>
      <w:r w:rsidRPr="00A412D5">
        <w:t xml:space="preserve">, </w:t>
      </w:r>
      <w:r w:rsidR="00CD402B" w:rsidRPr="00CD402B">
        <w:t>Skyworks</w:t>
      </w:r>
    </w:p>
    <w:p w14:paraId="11BA5671" w14:textId="583902ED" w:rsidR="00E40A52" w:rsidRDefault="0089065E" w:rsidP="001A00AA">
      <w:r w:rsidRPr="00A412D5">
        <w:t>[</w:t>
      </w:r>
      <w:r>
        <w:t>2</w:t>
      </w:r>
      <w:r w:rsidRPr="00A412D5">
        <w:t>]</w:t>
      </w:r>
      <w:r w:rsidR="001A00AA">
        <w:t xml:space="preserve"> </w:t>
      </w:r>
      <w:r w:rsidR="001A00AA" w:rsidRPr="001A00AA">
        <w:t>R4-2005660</w:t>
      </w:r>
      <w:r w:rsidRPr="00A412D5">
        <w:t xml:space="preserve">, </w:t>
      </w:r>
      <w:r w:rsidR="001A00AA" w:rsidRPr="001A00AA">
        <w:t>WF on intra-band UL non-contiguous CA general requirements</w:t>
      </w:r>
      <w:r w:rsidRPr="00A412D5">
        <w:t xml:space="preserve">, </w:t>
      </w:r>
      <w:r w:rsidR="001A00AA" w:rsidRPr="001A00AA">
        <w:t>KDDI, Skyworks, Qualcomm, Huawei</w:t>
      </w:r>
    </w:p>
    <w:p w14:paraId="14CCD955" w14:textId="77777777" w:rsidR="00E40A52" w:rsidRDefault="00E40A52" w:rsidP="002D746B"/>
    <w:p w14:paraId="1145F2C5" w14:textId="77777777" w:rsidR="00E40A52" w:rsidRDefault="00E40A52" w:rsidP="002D746B"/>
    <w:p w14:paraId="28790223" w14:textId="77777777" w:rsidR="0089065E" w:rsidRPr="00A412D5" w:rsidRDefault="0089065E" w:rsidP="002D746B"/>
    <w:sectPr w:rsidR="0089065E" w:rsidRPr="00A412D5"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38C2A" w14:textId="77777777" w:rsidR="001544E7" w:rsidRDefault="001544E7" w:rsidP="002B3503">
      <w:pPr>
        <w:spacing w:after="0"/>
      </w:pPr>
      <w:r>
        <w:separator/>
      </w:r>
    </w:p>
  </w:endnote>
  <w:endnote w:type="continuationSeparator" w:id="0">
    <w:p w14:paraId="589B3B59" w14:textId="77777777" w:rsidR="001544E7" w:rsidRDefault="001544E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03A78" w14:textId="77777777" w:rsidR="001544E7" w:rsidRDefault="001544E7" w:rsidP="002B3503">
      <w:pPr>
        <w:spacing w:after="0"/>
      </w:pPr>
      <w:r>
        <w:separator/>
      </w:r>
    </w:p>
  </w:footnote>
  <w:footnote w:type="continuationSeparator" w:id="0">
    <w:p w14:paraId="54B5FB72" w14:textId="77777777" w:rsidR="001544E7" w:rsidRDefault="001544E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4E1F7C" w:rsidRDefault="004E1F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1171E"/>
    <w:multiLevelType w:val="hybridMultilevel"/>
    <w:tmpl w:val="45122576"/>
    <w:lvl w:ilvl="0" w:tplc="BB74F602">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2"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0"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6F668F4"/>
    <w:multiLevelType w:val="hybridMultilevel"/>
    <w:tmpl w:val="72C4446C"/>
    <w:lvl w:ilvl="0" w:tplc="32508700">
      <w:start w:val="1"/>
      <w:numFmt w:val="bullet"/>
      <w:lvlText w:val="•"/>
      <w:lvlJc w:val="left"/>
      <w:pPr>
        <w:tabs>
          <w:tab w:val="num" w:pos="360"/>
        </w:tabs>
        <w:ind w:left="360" w:hanging="360"/>
      </w:pPr>
      <w:rPr>
        <w:rFonts w:ascii="Arial" w:hAnsi="Arial" w:hint="default"/>
      </w:rPr>
    </w:lvl>
    <w:lvl w:ilvl="1" w:tplc="9A728C00">
      <w:numFmt w:val="bullet"/>
      <w:lvlText w:val="•"/>
      <w:lvlJc w:val="left"/>
      <w:pPr>
        <w:tabs>
          <w:tab w:val="num" w:pos="1080"/>
        </w:tabs>
        <w:ind w:left="1080" w:hanging="360"/>
      </w:pPr>
      <w:rPr>
        <w:rFonts w:ascii="Arial" w:hAnsi="Arial" w:hint="default"/>
      </w:rPr>
    </w:lvl>
    <w:lvl w:ilvl="2" w:tplc="4144567E" w:tentative="1">
      <w:start w:val="1"/>
      <w:numFmt w:val="bullet"/>
      <w:lvlText w:val="•"/>
      <w:lvlJc w:val="left"/>
      <w:pPr>
        <w:tabs>
          <w:tab w:val="num" w:pos="1800"/>
        </w:tabs>
        <w:ind w:left="1800" w:hanging="360"/>
      </w:pPr>
      <w:rPr>
        <w:rFonts w:ascii="Arial" w:hAnsi="Arial" w:hint="default"/>
      </w:rPr>
    </w:lvl>
    <w:lvl w:ilvl="3" w:tplc="9C607C04" w:tentative="1">
      <w:start w:val="1"/>
      <w:numFmt w:val="bullet"/>
      <w:lvlText w:val="•"/>
      <w:lvlJc w:val="left"/>
      <w:pPr>
        <w:tabs>
          <w:tab w:val="num" w:pos="2520"/>
        </w:tabs>
        <w:ind w:left="2520" w:hanging="360"/>
      </w:pPr>
      <w:rPr>
        <w:rFonts w:ascii="Arial" w:hAnsi="Arial" w:hint="default"/>
      </w:rPr>
    </w:lvl>
    <w:lvl w:ilvl="4" w:tplc="148CC6F2" w:tentative="1">
      <w:start w:val="1"/>
      <w:numFmt w:val="bullet"/>
      <w:lvlText w:val="•"/>
      <w:lvlJc w:val="left"/>
      <w:pPr>
        <w:tabs>
          <w:tab w:val="num" w:pos="3240"/>
        </w:tabs>
        <w:ind w:left="3240" w:hanging="360"/>
      </w:pPr>
      <w:rPr>
        <w:rFonts w:ascii="Arial" w:hAnsi="Arial" w:hint="default"/>
      </w:rPr>
    </w:lvl>
    <w:lvl w:ilvl="5" w:tplc="BEE85B8A" w:tentative="1">
      <w:start w:val="1"/>
      <w:numFmt w:val="bullet"/>
      <w:lvlText w:val="•"/>
      <w:lvlJc w:val="left"/>
      <w:pPr>
        <w:tabs>
          <w:tab w:val="num" w:pos="3960"/>
        </w:tabs>
        <w:ind w:left="3960" w:hanging="360"/>
      </w:pPr>
      <w:rPr>
        <w:rFonts w:ascii="Arial" w:hAnsi="Arial" w:hint="default"/>
      </w:rPr>
    </w:lvl>
    <w:lvl w:ilvl="6" w:tplc="5660F162" w:tentative="1">
      <w:start w:val="1"/>
      <w:numFmt w:val="bullet"/>
      <w:lvlText w:val="•"/>
      <w:lvlJc w:val="left"/>
      <w:pPr>
        <w:tabs>
          <w:tab w:val="num" w:pos="4680"/>
        </w:tabs>
        <w:ind w:left="4680" w:hanging="360"/>
      </w:pPr>
      <w:rPr>
        <w:rFonts w:ascii="Arial" w:hAnsi="Arial" w:hint="default"/>
      </w:rPr>
    </w:lvl>
    <w:lvl w:ilvl="7" w:tplc="CA049DAE" w:tentative="1">
      <w:start w:val="1"/>
      <w:numFmt w:val="bullet"/>
      <w:lvlText w:val="•"/>
      <w:lvlJc w:val="left"/>
      <w:pPr>
        <w:tabs>
          <w:tab w:val="num" w:pos="5400"/>
        </w:tabs>
        <w:ind w:left="5400" w:hanging="360"/>
      </w:pPr>
      <w:rPr>
        <w:rFonts w:ascii="Arial" w:hAnsi="Arial" w:hint="default"/>
      </w:rPr>
    </w:lvl>
    <w:lvl w:ilvl="8" w:tplc="AEEACA2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A046BC7"/>
    <w:multiLevelType w:val="hybridMultilevel"/>
    <w:tmpl w:val="E376C9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3"/>
  </w:num>
  <w:num w:numId="4">
    <w:abstractNumId w:val="24"/>
  </w:num>
  <w:num w:numId="5">
    <w:abstractNumId w:val="6"/>
  </w:num>
  <w:num w:numId="6">
    <w:abstractNumId w:val="23"/>
  </w:num>
  <w:num w:numId="7">
    <w:abstractNumId w:val="2"/>
  </w:num>
  <w:num w:numId="8">
    <w:abstractNumId w:val="25"/>
  </w:num>
  <w:num w:numId="9">
    <w:abstractNumId w:val="8"/>
  </w:num>
  <w:num w:numId="10">
    <w:abstractNumId w:val="3"/>
  </w:num>
  <w:num w:numId="11">
    <w:abstractNumId w:val="14"/>
  </w:num>
  <w:num w:numId="12">
    <w:abstractNumId w:val="27"/>
  </w:num>
  <w:num w:numId="13">
    <w:abstractNumId w:val="22"/>
  </w:num>
  <w:num w:numId="14">
    <w:abstractNumId w:val="5"/>
  </w:num>
  <w:num w:numId="15">
    <w:abstractNumId w:val="11"/>
  </w:num>
  <w:num w:numId="16">
    <w:abstractNumId w:val="15"/>
  </w:num>
  <w:num w:numId="17">
    <w:abstractNumId w:val="32"/>
  </w:num>
  <w:num w:numId="18">
    <w:abstractNumId w:val="0"/>
  </w:num>
  <w:num w:numId="19">
    <w:abstractNumId w:val="26"/>
  </w:num>
  <w:num w:numId="20">
    <w:abstractNumId w:val="7"/>
  </w:num>
  <w:num w:numId="21">
    <w:abstractNumId w:val="17"/>
  </w:num>
  <w:num w:numId="22">
    <w:abstractNumId w:val="12"/>
  </w:num>
  <w:num w:numId="23">
    <w:abstractNumId w:val="29"/>
  </w:num>
  <w:num w:numId="24">
    <w:abstractNumId w:val="20"/>
  </w:num>
  <w:num w:numId="25">
    <w:abstractNumId w:val="16"/>
  </w:num>
  <w:num w:numId="26">
    <w:abstractNumId w:val="36"/>
  </w:num>
  <w:num w:numId="27">
    <w:abstractNumId w:val="4"/>
  </w:num>
  <w:num w:numId="28">
    <w:abstractNumId w:val="38"/>
  </w:num>
  <w:num w:numId="29">
    <w:abstractNumId w:val="18"/>
  </w:num>
  <w:num w:numId="30">
    <w:abstractNumId w:val="33"/>
  </w:num>
  <w:num w:numId="31">
    <w:abstractNumId w:val="9"/>
  </w:num>
  <w:num w:numId="32">
    <w:abstractNumId w:val="37"/>
  </w:num>
  <w:num w:numId="33">
    <w:abstractNumId w:val="28"/>
  </w:num>
  <w:num w:numId="34">
    <w:abstractNumId w:val="34"/>
  </w:num>
  <w:num w:numId="35">
    <w:abstractNumId w:val="35"/>
  </w:num>
  <w:num w:numId="36">
    <w:abstractNumId w:val="1"/>
  </w:num>
  <w:num w:numId="37">
    <w:abstractNumId w:val="19"/>
  </w:num>
  <w:num w:numId="38">
    <w:abstractNumId w:val="21"/>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6310F"/>
    <w:rsid w:val="0007321B"/>
    <w:rsid w:val="00091F0B"/>
    <w:rsid w:val="000A3CB6"/>
    <w:rsid w:val="000A6473"/>
    <w:rsid w:val="000A754F"/>
    <w:rsid w:val="000B4E56"/>
    <w:rsid w:val="000B5E8E"/>
    <w:rsid w:val="000D164D"/>
    <w:rsid w:val="000E78E2"/>
    <w:rsid w:val="000F2546"/>
    <w:rsid w:val="000F50EC"/>
    <w:rsid w:val="00101626"/>
    <w:rsid w:val="0012090A"/>
    <w:rsid w:val="00121553"/>
    <w:rsid w:val="00126055"/>
    <w:rsid w:val="0012612A"/>
    <w:rsid w:val="00136328"/>
    <w:rsid w:val="001364A1"/>
    <w:rsid w:val="00141324"/>
    <w:rsid w:val="001413C7"/>
    <w:rsid w:val="00142124"/>
    <w:rsid w:val="0015000E"/>
    <w:rsid w:val="001524E4"/>
    <w:rsid w:val="001544E7"/>
    <w:rsid w:val="00154D1C"/>
    <w:rsid w:val="0016131F"/>
    <w:rsid w:val="00167107"/>
    <w:rsid w:val="001725F9"/>
    <w:rsid w:val="00177EFF"/>
    <w:rsid w:val="001953B8"/>
    <w:rsid w:val="001A00AA"/>
    <w:rsid w:val="001E413F"/>
    <w:rsid w:val="001E5D81"/>
    <w:rsid w:val="001F746E"/>
    <w:rsid w:val="002127E2"/>
    <w:rsid w:val="00214C87"/>
    <w:rsid w:val="00215035"/>
    <w:rsid w:val="00215E52"/>
    <w:rsid w:val="00236D19"/>
    <w:rsid w:val="002378AF"/>
    <w:rsid w:val="00242B76"/>
    <w:rsid w:val="00242D06"/>
    <w:rsid w:val="00272473"/>
    <w:rsid w:val="00276F69"/>
    <w:rsid w:val="00291DDD"/>
    <w:rsid w:val="00294DA5"/>
    <w:rsid w:val="002A066E"/>
    <w:rsid w:val="002A7181"/>
    <w:rsid w:val="002B0EF3"/>
    <w:rsid w:val="002B3503"/>
    <w:rsid w:val="002D1B45"/>
    <w:rsid w:val="002D746B"/>
    <w:rsid w:val="002F3001"/>
    <w:rsid w:val="002F3595"/>
    <w:rsid w:val="002F6A38"/>
    <w:rsid w:val="003029F0"/>
    <w:rsid w:val="00345D7E"/>
    <w:rsid w:val="00347DEA"/>
    <w:rsid w:val="00364459"/>
    <w:rsid w:val="003777FE"/>
    <w:rsid w:val="00380CD3"/>
    <w:rsid w:val="00385942"/>
    <w:rsid w:val="003B3ABC"/>
    <w:rsid w:val="003D26B4"/>
    <w:rsid w:val="003E1884"/>
    <w:rsid w:val="00406D6C"/>
    <w:rsid w:val="00417963"/>
    <w:rsid w:val="00420548"/>
    <w:rsid w:val="0042109F"/>
    <w:rsid w:val="00422ABC"/>
    <w:rsid w:val="00426A90"/>
    <w:rsid w:val="00430A73"/>
    <w:rsid w:val="0043450E"/>
    <w:rsid w:val="00453BA5"/>
    <w:rsid w:val="00454E53"/>
    <w:rsid w:val="00464176"/>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517D"/>
    <w:rsid w:val="005000E8"/>
    <w:rsid w:val="0050020A"/>
    <w:rsid w:val="005018A8"/>
    <w:rsid w:val="005155DE"/>
    <w:rsid w:val="00517050"/>
    <w:rsid w:val="00530035"/>
    <w:rsid w:val="00533F46"/>
    <w:rsid w:val="0053656E"/>
    <w:rsid w:val="00560A63"/>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C59"/>
    <w:rsid w:val="005F31A5"/>
    <w:rsid w:val="005F4052"/>
    <w:rsid w:val="005F6108"/>
    <w:rsid w:val="005F6CE3"/>
    <w:rsid w:val="006026F2"/>
    <w:rsid w:val="00602EB6"/>
    <w:rsid w:val="00604DAE"/>
    <w:rsid w:val="00613AB3"/>
    <w:rsid w:val="00624CC0"/>
    <w:rsid w:val="00641C2E"/>
    <w:rsid w:val="00641E1F"/>
    <w:rsid w:val="00653629"/>
    <w:rsid w:val="00664AE9"/>
    <w:rsid w:val="00664DF6"/>
    <w:rsid w:val="00686BD8"/>
    <w:rsid w:val="00687537"/>
    <w:rsid w:val="006919C7"/>
    <w:rsid w:val="00697736"/>
    <w:rsid w:val="006A0E34"/>
    <w:rsid w:val="006B0708"/>
    <w:rsid w:val="006B6CB6"/>
    <w:rsid w:val="006C44A0"/>
    <w:rsid w:val="006C6840"/>
    <w:rsid w:val="006D43D1"/>
    <w:rsid w:val="006D63C8"/>
    <w:rsid w:val="006D701F"/>
    <w:rsid w:val="006E49D4"/>
    <w:rsid w:val="00702ED2"/>
    <w:rsid w:val="00703602"/>
    <w:rsid w:val="00713482"/>
    <w:rsid w:val="00726265"/>
    <w:rsid w:val="00734EBD"/>
    <w:rsid w:val="0074778D"/>
    <w:rsid w:val="00747F44"/>
    <w:rsid w:val="00757284"/>
    <w:rsid w:val="00757CFC"/>
    <w:rsid w:val="00771966"/>
    <w:rsid w:val="0077527C"/>
    <w:rsid w:val="00777A5C"/>
    <w:rsid w:val="00781F19"/>
    <w:rsid w:val="0079049E"/>
    <w:rsid w:val="007B1C85"/>
    <w:rsid w:val="007B7EA2"/>
    <w:rsid w:val="007C3D2F"/>
    <w:rsid w:val="007D1C54"/>
    <w:rsid w:val="007D20DF"/>
    <w:rsid w:val="007E0C29"/>
    <w:rsid w:val="007E530F"/>
    <w:rsid w:val="007E752F"/>
    <w:rsid w:val="007F6E08"/>
    <w:rsid w:val="00803510"/>
    <w:rsid w:val="00804160"/>
    <w:rsid w:val="00811E46"/>
    <w:rsid w:val="00813258"/>
    <w:rsid w:val="008236E4"/>
    <w:rsid w:val="00846F0E"/>
    <w:rsid w:val="00850296"/>
    <w:rsid w:val="00871B4D"/>
    <w:rsid w:val="00881E35"/>
    <w:rsid w:val="0089065E"/>
    <w:rsid w:val="00891F14"/>
    <w:rsid w:val="008926AE"/>
    <w:rsid w:val="00893D45"/>
    <w:rsid w:val="00894106"/>
    <w:rsid w:val="00895E24"/>
    <w:rsid w:val="008A4493"/>
    <w:rsid w:val="008A635A"/>
    <w:rsid w:val="008B72EE"/>
    <w:rsid w:val="008D12E4"/>
    <w:rsid w:val="00901158"/>
    <w:rsid w:val="0091383D"/>
    <w:rsid w:val="00914AA9"/>
    <w:rsid w:val="009157FA"/>
    <w:rsid w:val="0092439E"/>
    <w:rsid w:val="009342E0"/>
    <w:rsid w:val="00940559"/>
    <w:rsid w:val="00966126"/>
    <w:rsid w:val="009922F2"/>
    <w:rsid w:val="00996062"/>
    <w:rsid w:val="009A1B59"/>
    <w:rsid w:val="009B1E68"/>
    <w:rsid w:val="009B2282"/>
    <w:rsid w:val="009B6543"/>
    <w:rsid w:val="009B7F2A"/>
    <w:rsid w:val="009D0290"/>
    <w:rsid w:val="009E38F4"/>
    <w:rsid w:val="00A03C3D"/>
    <w:rsid w:val="00A05A14"/>
    <w:rsid w:val="00A115AF"/>
    <w:rsid w:val="00A16F72"/>
    <w:rsid w:val="00A412D5"/>
    <w:rsid w:val="00A451E8"/>
    <w:rsid w:val="00A6018C"/>
    <w:rsid w:val="00A649C8"/>
    <w:rsid w:val="00A83B5D"/>
    <w:rsid w:val="00A925DB"/>
    <w:rsid w:val="00AA3CD1"/>
    <w:rsid w:val="00AB3FAE"/>
    <w:rsid w:val="00AB4684"/>
    <w:rsid w:val="00AD0CC8"/>
    <w:rsid w:val="00AD0F48"/>
    <w:rsid w:val="00AD7B8E"/>
    <w:rsid w:val="00AE1D3D"/>
    <w:rsid w:val="00AE52A5"/>
    <w:rsid w:val="00AE6327"/>
    <w:rsid w:val="00AF7CB0"/>
    <w:rsid w:val="00B1615C"/>
    <w:rsid w:val="00B20AD6"/>
    <w:rsid w:val="00B20B99"/>
    <w:rsid w:val="00B2349C"/>
    <w:rsid w:val="00B41993"/>
    <w:rsid w:val="00B4385F"/>
    <w:rsid w:val="00B60363"/>
    <w:rsid w:val="00B65B59"/>
    <w:rsid w:val="00B72408"/>
    <w:rsid w:val="00B77164"/>
    <w:rsid w:val="00BA303F"/>
    <w:rsid w:val="00BC228C"/>
    <w:rsid w:val="00BC2342"/>
    <w:rsid w:val="00BC2924"/>
    <w:rsid w:val="00BC764C"/>
    <w:rsid w:val="00BF4B17"/>
    <w:rsid w:val="00C07A46"/>
    <w:rsid w:val="00C17B19"/>
    <w:rsid w:val="00C21554"/>
    <w:rsid w:val="00C30772"/>
    <w:rsid w:val="00C3087E"/>
    <w:rsid w:val="00C45DB3"/>
    <w:rsid w:val="00C47C9F"/>
    <w:rsid w:val="00C60CEF"/>
    <w:rsid w:val="00C81190"/>
    <w:rsid w:val="00C83E86"/>
    <w:rsid w:val="00C91EE2"/>
    <w:rsid w:val="00CB607B"/>
    <w:rsid w:val="00CC2754"/>
    <w:rsid w:val="00CC277F"/>
    <w:rsid w:val="00CD402B"/>
    <w:rsid w:val="00CE241D"/>
    <w:rsid w:val="00CE4E40"/>
    <w:rsid w:val="00CE699C"/>
    <w:rsid w:val="00D07626"/>
    <w:rsid w:val="00D275CC"/>
    <w:rsid w:val="00D348C6"/>
    <w:rsid w:val="00D34A7A"/>
    <w:rsid w:val="00D40AED"/>
    <w:rsid w:val="00D44EB4"/>
    <w:rsid w:val="00D546CC"/>
    <w:rsid w:val="00D57C62"/>
    <w:rsid w:val="00D64074"/>
    <w:rsid w:val="00D767C4"/>
    <w:rsid w:val="00D77CF5"/>
    <w:rsid w:val="00D85C29"/>
    <w:rsid w:val="00DA03D6"/>
    <w:rsid w:val="00DA1BED"/>
    <w:rsid w:val="00DA4A61"/>
    <w:rsid w:val="00DA7396"/>
    <w:rsid w:val="00DA745E"/>
    <w:rsid w:val="00DC54FF"/>
    <w:rsid w:val="00DE00CF"/>
    <w:rsid w:val="00DE3EDB"/>
    <w:rsid w:val="00DF1DEC"/>
    <w:rsid w:val="00DF302A"/>
    <w:rsid w:val="00E014E2"/>
    <w:rsid w:val="00E03EF1"/>
    <w:rsid w:val="00E101DD"/>
    <w:rsid w:val="00E2059F"/>
    <w:rsid w:val="00E23850"/>
    <w:rsid w:val="00E332C0"/>
    <w:rsid w:val="00E33B68"/>
    <w:rsid w:val="00E36095"/>
    <w:rsid w:val="00E40A52"/>
    <w:rsid w:val="00E67197"/>
    <w:rsid w:val="00E87EDC"/>
    <w:rsid w:val="00E962C5"/>
    <w:rsid w:val="00EA3488"/>
    <w:rsid w:val="00EB0D8A"/>
    <w:rsid w:val="00EB5F7D"/>
    <w:rsid w:val="00EC2826"/>
    <w:rsid w:val="00EC4804"/>
    <w:rsid w:val="00EC589F"/>
    <w:rsid w:val="00EC6665"/>
    <w:rsid w:val="00ED54F1"/>
    <w:rsid w:val="00ED5B5A"/>
    <w:rsid w:val="00EE0298"/>
    <w:rsid w:val="00EE5885"/>
    <w:rsid w:val="00EE6657"/>
    <w:rsid w:val="00EF2401"/>
    <w:rsid w:val="00EF45DB"/>
    <w:rsid w:val="00F562CA"/>
    <w:rsid w:val="00F62561"/>
    <w:rsid w:val="00F646D5"/>
    <w:rsid w:val="00F648B5"/>
    <w:rsid w:val="00F7023C"/>
    <w:rsid w:val="00F7226A"/>
    <w:rsid w:val="00F82F84"/>
    <w:rsid w:val="00F97D64"/>
    <w:rsid w:val="00FA723F"/>
    <w:rsid w:val="00FC0A09"/>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1A00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20769867">
      <w:bodyDiv w:val="1"/>
      <w:marLeft w:val="0"/>
      <w:marRight w:val="0"/>
      <w:marTop w:val="0"/>
      <w:marBottom w:val="0"/>
      <w:divBdr>
        <w:top w:val="none" w:sz="0" w:space="0" w:color="auto"/>
        <w:left w:val="none" w:sz="0" w:space="0" w:color="auto"/>
        <w:bottom w:val="none" w:sz="0" w:space="0" w:color="auto"/>
        <w:right w:val="none" w:sz="0" w:space="0" w:color="auto"/>
      </w:divBdr>
      <w:divsChild>
        <w:div w:id="1703282960">
          <w:marLeft w:val="360"/>
          <w:marRight w:val="0"/>
          <w:marTop w:val="200"/>
          <w:marBottom w:val="0"/>
          <w:divBdr>
            <w:top w:val="none" w:sz="0" w:space="0" w:color="auto"/>
            <w:left w:val="none" w:sz="0" w:space="0" w:color="auto"/>
            <w:bottom w:val="none" w:sz="0" w:space="0" w:color="auto"/>
            <w:right w:val="none" w:sz="0" w:space="0" w:color="auto"/>
          </w:divBdr>
        </w:div>
        <w:div w:id="1919511677">
          <w:marLeft w:val="1080"/>
          <w:marRight w:val="0"/>
          <w:marTop w:val="100"/>
          <w:marBottom w:val="0"/>
          <w:divBdr>
            <w:top w:val="none" w:sz="0" w:space="0" w:color="auto"/>
            <w:left w:val="none" w:sz="0" w:space="0" w:color="auto"/>
            <w:bottom w:val="none" w:sz="0" w:space="0" w:color="auto"/>
            <w:right w:val="none" w:sz="0" w:space="0" w:color="auto"/>
          </w:divBdr>
        </w:div>
        <w:div w:id="1994798594">
          <w:marLeft w:val="1080"/>
          <w:marRight w:val="0"/>
          <w:marTop w:val="100"/>
          <w:marBottom w:val="0"/>
          <w:divBdr>
            <w:top w:val="none" w:sz="0" w:space="0" w:color="auto"/>
            <w:left w:val="none" w:sz="0" w:space="0" w:color="auto"/>
            <w:bottom w:val="none" w:sz="0" w:space="0" w:color="auto"/>
            <w:right w:val="none" w:sz="0" w:space="0" w:color="auto"/>
          </w:divBdr>
        </w:div>
        <w:div w:id="954139843">
          <w:marLeft w:val="108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2021-03-31T12:53:00Z</dcterms:created>
  <dcterms:modified xsi:type="dcterms:W3CDTF">2021-03-31T12:53:00Z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