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503FE58C"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0485C" w:rsidRPr="00A51F0E">
        <w:rPr>
          <w:rFonts w:ascii="Arial" w:hAnsi="Arial" w:cs="Times New Roman"/>
          <w:b/>
          <w:sz w:val="24"/>
          <w:szCs w:val="20"/>
          <w:lang w:val="en-GB"/>
        </w:rPr>
        <w:t>9</w:t>
      </w:r>
      <w:r w:rsidR="00EB47DB">
        <w:rPr>
          <w:rFonts w:ascii="Arial" w:hAnsi="Arial" w:cs="Times New Roman"/>
          <w:b/>
          <w:sz w:val="24"/>
          <w:szCs w:val="20"/>
          <w:lang w:val="en-GB" w:eastAsia="zh-CN"/>
        </w:rPr>
        <w:t>8</w:t>
      </w:r>
      <w:r w:rsidR="0071633D">
        <w:rPr>
          <w:rFonts w:ascii="Arial" w:hAnsi="Arial" w:cs="Times New Roman"/>
          <w:b/>
          <w:sz w:val="24"/>
          <w:szCs w:val="20"/>
          <w:lang w:val="en-GB" w:eastAsia="zh-CN"/>
        </w:rPr>
        <w:t>bis</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EB1DE1" w:rsidRPr="00EB1DE1">
        <w:rPr>
          <w:rFonts w:ascii="Arial" w:hAnsi="Arial" w:cs="Times New Roman"/>
          <w:b/>
          <w:bCs/>
          <w:sz w:val="24"/>
          <w:szCs w:val="20"/>
          <w:lang w:val="en-GB" w:eastAsia="ja-JP"/>
        </w:rPr>
        <w:t>R4-210722</w:t>
      </w:r>
      <w:r w:rsidR="00EB1DE1">
        <w:rPr>
          <w:rFonts w:ascii="Arial" w:hAnsi="Arial" w:cs="Times New Roman"/>
          <w:b/>
          <w:bCs/>
          <w:sz w:val="24"/>
          <w:szCs w:val="20"/>
          <w:lang w:val="en-GB" w:eastAsia="ja-JP"/>
        </w:rPr>
        <w:t>3</w:t>
      </w:r>
    </w:p>
    <w:bookmarkEnd w:id="0"/>
    <w:bookmarkEnd w:id="1"/>
    <w:p w14:paraId="571CD9BB" w14:textId="16196350" w:rsidR="00EB47DB" w:rsidRPr="00841BCD" w:rsidRDefault="00EB47DB" w:rsidP="00EB47DB">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71633D">
        <w:rPr>
          <w:rFonts w:ascii="Arial" w:hAnsi="Arial"/>
          <w:b/>
          <w:sz w:val="24"/>
          <w:szCs w:val="24"/>
          <w:lang w:eastAsia="zh-CN"/>
        </w:rPr>
        <w:t>Ap</w:t>
      </w:r>
      <w:r w:rsidR="00400D32">
        <w:rPr>
          <w:rFonts w:ascii="Arial" w:hAnsi="Arial"/>
          <w:b/>
          <w:sz w:val="24"/>
          <w:szCs w:val="24"/>
          <w:lang w:eastAsia="zh-CN"/>
        </w:rPr>
        <w:t>r</w:t>
      </w:r>
      <w:r>
        <w:rPr>
          <w:rFonts w:ascii="Arial" w:hAnsi="Arial" w:hint="eastAsia"/>
          <w:b/>
          <w:sz w:val="24"/>
          <w:szCs w:val="24"/>
          <w:lang w:eastAsia="zh-CN"/>
        </w:rPr>
        <w:t>.</w:t>
      </w:r>
      <w:r w:rsidR="00400D32">
        <w:rPr>
          <w:rFonts w:ascii="Arial" w:hAnsi="Arial"/>
          <w:b/>
          <w:sz w:val="24"/>
          <w:szCs w:val="24"/>
          <w:lang w:eastAsia="zh-CN"/>
        </w:rPr>
        <w:t>12</w:t>
      </w:r>
      <w:r>
        <w:rPr>
          <w:rFonts w:ascii="Arial" w:hAnsi="Arial"/>
          <w:b/>
          <w:sz w:val="24"/>
          <w:szCs w:val="24"/>
          <w:lang w:eastAsia="zh-CN"/>
        </w:rPr>
        <w:t xml:space="preserve"> - </w:t>
      </w:r>
      <w:r w:rsidR="00400D32">
        <w:rPr>
          <w:rFonts w:ascii="Arial" w:hAnsi="Arial"/>
          <w:b/>
          <w:sz w:val="24"/>
          <w:szCs w:val="24"/>
          <w:lang w:eastAsia="zh-CN"/>
        </w:rPr>
        <w:t>Apr</w:t>
      </w:r>
      <w:r>
        <w:rPr>
          <w:rFonts w:ascii="Arial" w:hAnsi="Arial"/>
          <w:b/>
          <w:sz w:val="24"/>
          <w:szCs w:val="24"/>
          <w:lang w:eastAsia="zh-CN"/>
        </w:rPr>
        <w:t>.</w:t>
      </w:r>
      <w:r w:rsidR="00400D32">
        <w:rPr>
          <w:rFonts w:ascii="Arial" w:hAnsi="Arial"/>
          <w:b/>
          <w:sz w:val="24"/>
          <w:szCs w:val="24"/>
          <w:lang w:eastAsia="zh-CN"/>
        </w:rPr>
        <w:t>20</w:t>
      </w:r>
      <w:r w:rsidRPr="00554399">
        <w:rPr>
          <w:rFonts w:ascii="Arial" w:hAnsi="Arial"/>
          <w:b/>
          <w:sz w:val="24"/>
          <w:szCs w:val="24"/>
          <w:lang w:eastAsia="zh-CN"/>
        </w:rPr>
        <w:t>, 202</w:t>
      </w:r>
      <w:r w:rsidR="00D513D5">
        <w:rPr>
          <w:rFonts w:ascii="Arial" w:hAnsi="Arial" w:cs="Times New Roman"/>
          <w:b/>
          <w:sz w:val="24"/>
          <w:szCs w:val="20"/>
          <w:lang w:val="en-GB"/>
        </w:rPr>
        <w:t>1</w:t>
      </w:r>
      <w:r>
        <w:rPr>
          <w:rFonts w:ascii="Arial" w:hAnsi="Arial" w:cs="Times New Roman"/>
          <w:b/>
          <w:bCs/>
          <w:noProof/>
          <w:sz w:val="24"/>
          <w:szCs w:val="20"/>
          <w:lang w:eastAsia="zh-CN"/>
        </w:rPr>
        <w:t xml:space="preserve"> </w:t>
      </w:r>
    </w:p>
    <w:p w14:paraId="592E0FB1" w14:textId="77777777" w:rsidR="00EB47DB" w:rsidRPr="00841BCD" w:rsidRDefault="00EB47DB"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7926E1A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Discussion on</w:t>
      </w:r>
      <w:r w:rsidR="008F5606">
        <w:rPr>
          <w:rFonts w:ascii="Arial" w:eastAsia="Calibri" w:hAnsi="Arial" w:cs="Arial"/>
          <w:b/>
          <w:bCs/>
          <w:sz w:val="24"/>
          <w:lang w:val="en-GB"/>
        </w:rPr>
        <w:t xml:space="preserve"> test cases </w:t>
      </w:r>
      <w:r w:rsidR="00C62EBB">
        <w:rPr>
          <w:rFonts w:ascii="Arial" w:eastAsia="Calibri" w:hAnsi="Arial" w:cs="Arial"/>
          <w:b/>
          <w:bCs/>
          <w:sz w:val="24"/>
          <w:lang w:val="en-GB"/>
        </w:rPr>
        <w:t>for</w:t>
      </w:r>
      <w:r w:rsidR="00BB7C01">
        <w:rPr>
          <w:rFonts w:ascii="Arial" w:eastAsia="Calibri" w:hAnsi="Arial" w:cs="Arial"/>
          <w:b/>
          <w:bCs/>
          <w:sz w:val="24"/>
          <w:lang w:val="en-GB"/>
        </w:rPr>
        <w:t xml:space="preserve"> </w:t>
      </w:r>
      <w:r w:rsidR="00400D32">
        <w:rPr>
          <w:rFonts w:ascii="Arial" w:eastAsia="Calibri" w:hAnsi="Arial" w:cs="Arial"/>
          <w:b/>
          <w:bCs/>
          <w:sz w:val="24"/>
          <w:lang w:val="en-GB"/>
        </w:rPr>
        <w:t>RRC-based BWP switch</w:t>
      </w:r>
      <w:r w:rsidR="00BB7C01">
        <w:rPr>
          <w:rFonts w:ascii="Arial" w:eastAsia="Calibri" w:hAnsi="Arial" w:cs="Arial"/>
          <w:b/>
          <w:bCs/>
          <w:sz w:val="24"/>
          <w:lang w:val="en-GB"/>
        </w:rPr>
        <w:t xml:space="preserve"> </w:t>
      </w:r>
      <w:r w:rsidR="00D143F2">
        <w:rPr>
          <w:rFonts w:ascii="Arial" w:eastAsia="Calibri" w:hAnsi="Arial" w:cs="Arial"/>
          <w:b/>
          <w:bCs/>
          <w:sz w:val="24"/>
          <w:lang w:val="en-GB"/>
        </w:rPr>
        <w:t>on multiple CCs</w:t>
      </w:r>
    </w:p>
    <w:p w14:paraId="16C6760A" w14:textId="3F8FA70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43F2">
        <w:rPr>
          <w:rFonts w:ascii="Arial" w:eastAsia="MS Mincho" w:hAnsi="Arial" w:cs="Arial"/>
          <w:b/>
          <w:bCs/>
          <w:sz w:val="24"/>
          <w:szCs w:val="20"/>
          <w:lang w:val="en-GB"/>
        </w:rPr>
        <w:t>5</w:t>
      </w:r>
      <w:r w:rsidR="0071562E">
        <w:rPr>
          <w:rFonts w:ascii="Arial" w:eastAsia="MS Mincho" w:hAnsi="Arial" w:cs="Arial"/>
          <w:b/>
          <w:bCs/>
          <w:sz w:val="24"/>
          <w:szCs w:val="20"/>
          <w:lang w:val="en-GB"/>
        </w:rPr>
        <w:t>.</w:t>
      </w:r>
      <w:r w:rsidR="00D143F2">
        <w:rPr>
          <w:rFonts w:ascii="Arial" w:eastAsia="MS Mincho" w:hAnsi="Arial" w:cs="Arial"/>
          <w:b/>
          <w:bCs/>
          <w:sz w:val="24"/>
          <w:szCs w:val="20"/>
          <w:lang w:val="en-GB"/>
        </w:rPr>
        <w:t>6</w:t>
      </w:r>
      <w:r w:rsidR="0071562E">
        <w:rPr>
          <w:rFonts w:ascii="Arial" w:eastAsia="MS Mincho" w:hAnsi="Arial" w:cs="Arial"/>
          <w:b/>
          <w:bCs/>
          <w:sz w:val="24"/>
          <w:szCs w:val="20"/>
          <w:lang w:val="en-GB"/>
        </w:rPr>
        <w:t>.</w:t>
      </w:r>
      <w:r w:rsidR="008F5606">
        <w:rPr>
          <w:rFonts w:ascii="Arial" w:eastAsia="MS Mincho" w:hAnsi="Arial" w:cs="Arial"/>
          <w:b/>
          <w:bCs/>
          <w:sz w:val="24"/>
          <w:szCs w:val="20"/>
          <w:lang w:val="en-GB"/>
        </w:rPr>
        <w:t>2.2.4</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432EDA9D" w14:textId="2BC57C63" w:rsidR="00C94470" w:rsidRPr="00C94470" w:rsidRDefault="00144167" w:rsidP="00C94470">
      <w:pPr>
        <w:spacing w:before="240" w:after="0"/>
        <w:rPr>
          <w:lang w:val="en-GB"/>
        </w:rPr>
      </w:pPr>
      <w:r>
        <w:rPr>
          <w:lang w:val="en-GB"/>
        </w:rPr>
        <w:t>I</w:t>
      </w:r>
      <w:r w:rsidR="002B1E33" w:rsidRPr="002B1E33">
        <w:rPr>
          <w:lang w:val="en-GB"/>
        </w:rPr>
        <w:t>n RAN4#9</w:t>
      </w:r>
      <w:r w:rsidR="00BE666D">
        <w:rPr>
          <w:lang w:val="en-GB"/>
        </w:rPr>
        <w:t>7</w:t>
      </w:r>
      <w:r w:rsidR="002B1E33" w:rsidRPr="002B1E33">
        <w:rPr>
          <w:lang w:val="en-GB"/>
        </w:rPr>
        <w:t>e</w:t>
      </w:r>
      <w:r w:rsidR="00BE666D">
        <w:rPr>
          <w:lang w:val="en-GB"/>
        </w:rPr>
        <w:t xml:space="preserve">, </w:t>
      </w:r>
      <w:r w:rsidR="002D02B6">
        <w:rPr>
          <w:lang w:val="en-GB"/>
        </w:rPr>
        <w:t xml:space="preserve">the applicability of RRC based BWP switch delay requirements was discussed and an agreed LS [1] was sent to RAN2 to ask the clarification from RAN2 perspective. RAN2 has discussed this issue in RAN2#113e and a replied LS [2] was agreed and sent to RAN4. </w:t>
      </w:r>
      <w:r w:rsidR="00C94470" w:rsidRPr="00C94470">
        <w:rPr>
          <w:lang w:val="en-GB"/>
        </w:rPr>
        <w:t xml:space="preserve">Based on this RAN2 reply LS [2], the core requirements for RRC based BWP switch on multiple CCs will be clear, hence the performance requirements could be settled down according to the core requirements. </w:t>
      </w:r>
    </w:p>
    <w:p w14:paraId="64BA1AE2" w14:textId="7F61EB86" w:rsidR="002B1E33" w:rsidRPr="002B4CEA" w:rsidRDefault="002B1E33" w:rsidP="002B4CEA">
      <w:pPr>
        <w:ind w:right="-22"/>
        <w:rPr>
          <w:rFonts w:eastAsia="Calibri" w:cs="Times New Roman"/>
          <w:szCs w:val="20"/>
          <w:lang w:val="en-GB"/>
        </w:rPr>
      </w:pPr>
      <w:r w:rsidRPr="002B4CEA">
        <w:rPr>
          <w:rFonts w:eastAsia="Calibri" w:cs="Times New Roman"/>
          <w:szCs w:val="20"/>
          <w:lang w:val="en-GB"/>
        </w:rPr>
        <w:t xml:space="preserve">In this contribution we discuss and </w:t>
      </w:r>
      <w:r w:rsidR="00750902" w:rsidRPr="002B4CEA">
        <w:rPr>
          <w:rFonts w:eastAsia="Calibri" w:cs="Times New Roman"/>
          <w:szCs w:val="20"/>
          <w:lang w:val="en-GB"/>
        </w:rPr>
        <w:t>give</w:t>
      </w:r>
      <w:r w:rsidRPr="002B4CEA">
        <w:rPr>
          <w:rFonts w:eastAsia="Calibri" w:cs="Times New Roman"/>
          <w:szCs w:val="20"/>
          <w:lang w:val="en-GB"/>
        </w:rPr>
        <w:t xml:space="preserve"> our view on </w:t>
      </w:r>
      <w:r w:rsidR="002D02B6" w:rsidRPr="002B4CEA">
        <w:rPr>
          <w:rFonts w:eastAsia="Calibri" w:cs="Times New Roman"/>
          <w:szCs w:val="20"/>
          <w:lang w:val="en-GB"/>
        </w:rPr>
        <w:t xml:space="preserve">the </w:t>
      </w:r>
      <w:r w:rsidR="004A6FF6" w:rsidRPr="002B4CEA">
        <w:rPr>
          <w:rFonts w:eastAsia="Calibri" w:cs="Times New Roman"/>
          <w:szCs w:val="20"/>
          <w:lang w:val="en-GB"/>
        </w:rPr>
        <w:t>test cases for</w:t>
      </w:r>
      <w:r w:rsidR="002D02B6" w:rsidRPr="002B4CEA">
        <w:rPr>
          <w:rFonts w:eastAsia="Calibri" w:cs="Times New Roman"/>
          <w:szCs w:val="20"/>
          <w:lang w:val="en-GB"/>
        </w:rPr>
        <w:t xml:space="preserve"> RRC based BWP switch</w:t>
      </w:r>
      <w:r w:rsidR="00D143F2" w:rsidRPr="002B4CEA">
        <w:rPr>
          <w:rFonts w:eastAsia="Calibri" w:cs="Times New Roman"/>
          <w:szCs w:val="20"/>
          <w:lang w:val="en-GB"/>
        </w:rPr>
        <w:t xml:space="preserve"> on multiple CCs</w:t>
      </w:r>
      <w:r w:rsidRPr="002B4CEA">
        <w:rPr>
          <w:rFonts w:eastAsia="Calibri" w:cs="Times New Roman"/>
          <w:szCs w:val="20"/>
          <w:lang w:val="en-GB"/>
        </w:rPr>
        <w:t>.</w:t>
      </w:r>
    </w:p>
    <w:p w14:paraId="3A3622A0" w14:textId="7A4D1417" w:rsidR="003B659E" w:rsidRDefault="003B659E" w:rsidP="00AE56B1">
      <w:pPr>
        <w:pStyle w:val="RAN4H1"/>
      </w:pPr>
      <w:r w:rsidRPr="00AE56B1">
        <w:t>Discussion</w:t>
      </w:r>
    </w:p>
    <w:p w14:paraId="6DD5297C" w14:textId="59620E0A" w:rsidR="00D534C7" w:rsidRDefault="00D534C7" w:rsidP="006775B6">
      <w:pPr>
        <w:ind w:right="-22"/>
        <w:rPr>
          <w:rFonts w:eastAsia="Calibri" w:cs="Times New Roman"/>
          <w:szCs w:val="20"/>
          <w:lang w:val="en-GB"/>
        </w:rPr>
      </w:pPr>
      <w:bookmarkStart w:id="3" w:name="_Hlk68259428"/>
      <w:r>
        <w:rPr>
          <w:rFonts w:eastAsia="Calibri" w:cs="Times New Roman"/>
          <w:szCs w:val="20"/>
          <w:lang w:val="en-GB"/>
        </w:rPr>
        <w:t xml:space="preserve">In last RAN4#98e meeting, we have discussed test cases for RRC based BWP switch on multiple CCs, since the core requirements have no conclusion and waited for the RAN2 response, it was agreed that </w:t>
      </w:r>
      <w:r w:rsidRPr="00D534C7">
        <w:rPr>
          <w:rFonts w:eastAsia="Calibri" w:cs="Times New Roman"/>
          <w:szCs w:val="20"/>
          <w:lang w:val="en-GB"/>
        </w:rPr>
        <w:t>Test cases for RRC based BWP switch on multiple CCs will be discussed after receiving RAN2 response followed by the conclusion on the respective Core requirements</w:t>
      </w:r>
      <w:r>
        <w:rPr>
          <w:rFonts w:eastAsia="Calibri" w:cs="Times New Roman"/>
          <w:szCs w:val="20"/>
          <w:lang w:val="en-GB"/>
        </w:rPr>
        <w:t xml:space="preserve">. The discussion was captured in the agreed WF [3]. </w:t>
      </w:r>
    </w:p>
    <w:tbl>
      <w:tblPr>
        <w:tblStyle w:val="TableGrid"/>
        <w:tblW w:w="0" w:type="auto"/>
        <w:tblLook w:val="04A0" w:firstRow="1" w:lastRow="0" w:firstColumn="1" w:lastColumn="0" w:noHBand="0" w:noVBand="1"/>
      </w:tblPr>
      <w:tblGrid>
        <w:gridCol w:w="9617"/>
      </w:tblGrid>
      <w:tr w:rsidR="00D534C7" w14:paraId="5C2CDE25" w14:textId="77777777" w:rsidTr="00D534C7">
        <w:tc>
          <w:tcPr>
            <w:tcW w:w="9617" w:type="dxa"/>
          </w:tcPr>
          <w:p w14:paraId="778ACA3A" w14:textId="77777777" w:rsidR="00D534C7" w:rsidRPr="00D534C7" w:rsidRDefault="00D534C7" w:rsidP="00D534C7">
            <w:pPr>
              <w:spacing w:before="200" w:line="216" w:lineRule="auto"/>
              <w:rPr>
                <w:rFonts w:eastAsia="Times New Roman" w:cs="Times New Roman"/>
                <w:sz w:val="8"/>
                <w:szCs w:val="8"/>
                <w:lang w:eastAsia="zh-CN"/>
              </w:rPr>
            </w:pPr>
            <w:r w:rsidRPr="00D534C7">
              <w:rPr>
                <w:rFonts w:ascii="Calibri" w:eastAsia="+mn-ea" w:hAnsi="Calibri" w:cs="+mn-cs"/>
                <w:b/>
                <w:bCs/>
                <w:color w:val="000000"/>
                <w:kern w:val="24"/>
                <w:sz w:val="22"/>
                <w:u w:val="single"/>
                <w:lang w:val="en-GB" w:eastAsia="zh-CN"/>
              </w:rPr>
              <w:t>Issue 3-1-3: whether to define RRC based BWP switch on multiple CCs test case</w:t>
            </w:r>
          </w:p>
          <w:p w14:paraId="227D069D" w14:textId="77777777" w:rsidR="00D534C7" w:rsidRPr="00D534C7" w:rsidRDefault="00D534C7" w:rsidP="00D534C7">
            <w:pPr>
              <w:numPr>
                <w:ilvl w:val="0"/>
                <w:numId w:val="34"/>
              </w:numPr>
              <w:overflowPunct w:val="0"/>
              <w:spacing w:line="216" w:lineRule="auto"/>
              <w:ind w:left="1080"/>
              <w:contextualSpacing/>
              <w:rPr>
                <w:rFonts w:eastAsia="Times New Roman" w:cs="Times New Roman"/>
                <w:sz w:val="22"/>
                <w:szCs w:val="8"/>
                <w:lang w:eastAsia="zh-CN"/>
              </w:rPr>
            </w:pPr>
            <w:r w:rsidRPr="00D534C7">
              <w:rPr>
                <w:rFonts w:ascii="Calibri" w:eastAsia="+mn-ea" w:hAnsi="Calibri" w:cs="+mn-cs"/>
                <w:color w:val="000000"/>
                <w:kern w:val="24"/>
                <w:sz w:val="22"/>
                <w:lang w:eastAsia="zh-CN"/>
              </w:rPr>
              <w:t>To be discussed after receiving RAN2 response</w:t>
            </w:r>
          </w:p>
          <w:p w14:paraId="087719FE" w14:textId="570F5306" w:rsidR="00D534C7" w:rsidRPr="00D534C7" w:rsidRDefault="00D534C7" w:rsidP="006775B6">
            <w:pPr>
              <w:ind w:right="-22"/>
              <w:rPr>
                <w:rFonts w:eastAsia="Calibri" w:cs="Times New Roman"/>
                <w:szCs w:val="20"/>
              </w:rPr>
            </w:pPr>
          </w:p>
        </w:tc>
      </w:tr>
    </w:tbl>
    <w:p w14:paraId="7FC9D94D" w14:textId="58D3C3B9" w:rsidR="00B97082" w:rsidRDefault="00B97082" w:rsidP="006775B6">
      <w:pPr>
        <w:ind w:right="-22"/>
        <w:rPr>
          <w:rFonts w:eastAsia="Calibri" w:cs="Times New Roman"/>
          <w:szCs w:val="20"/>
          <w:lang w:val="en-GB"/>
        </w:rPr>
      </w:pPr>
    </w:p>
    <w:p w14:paraId="39A1F414" w14:textId="5531C8ED" w:rsidR="00B97082" w:rsidRDefault="000E332E" w:rsidP="006775B6">
      <w:pPr>
        <w:ind w:right="-22"/>
        <w:rPr>
          <w:rFonts w:eastAsia="Calibri" w:cs="Times New Roman"/>
          <w:szCs w:val="20"/>
          <w:lang w:val="en-GB"/>
        </w:rPr>
      </w:pPr>
      <w:r>
        <w:rPr>
          <w:rFonts w:eastAsia="Calibri" w:cs="Times New Roman"/>
          <w:szCs w:val="20"/>
          <w:lang w:val="en-GB"/>
        </w:rPr>
        <w:t xml:space="preserve">RAN2 has discussed and sent the agreed response LS [2] to RAN4 to response RAN4’s question on </w:t>
      </w:r>
      <w:r>
        <w:rPr>
          <w:lang w:val="en-GB"/>
        </w:rPr>
        <w:t>the applicability of RRC based BWP switch delay requirements as below:</w:t>
      </w:r>
      <w:r>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253FFC" w:rsidRPr="006F5492" w14:paraId="7A62B8F3" w14:textId="77777777" w:rsidTr="00253FFC">
        <w:tc>
          <w:tcPr>
            <w:tcW w:w="9617" w:type="dxa"/>
          </w:tcPr>
          <w:bookmarkEnd w:id="3"/>
          <w:p w14:paraId="70C5AB14" w14:textId="008B077F" w:rsidR="002B358D" w:rsidRPr="006F5492" w:rsidRDefault="002B358D" w:rsidP="002B358D">
            <w:pPr>
              <w:spacing w:before="240" w:after="120"/>
              <w:rPr>
                <w:rFonts w:ascii="Arial" w:hAnsi="Arial" w:cs="Arial"/>
                <w:bCs/>
                <w:sz w:val="18"/>
                <w:szCs w:val="20"/>
              </w:rPr>
            </w:pPr>
            <w:r w:rsidRPr="006F5492">
              <w:rPr>
                <w:rFonts w:ascii="Arial" w:hAnsi="Arial" w:cs="Arial"/>
                <w:bCs/>
                <w:sz w:val="18"/>
                <w:szCs w:val="20"/>
              </w:rPr>
              <w:t xml:space="preserve">RAN2 thanks RAN4 for their enquiry on the topic of RRC based BWP switching and would like to provide the below responses to the questions asked. </w:t>
            </w:r>
          </w:p>
          <w:p w14:paraId="60D84B61" w14:textId="40F421E8" w:rsidR="002B358D" w:rsidRPr="006F5492" w:rsidRDefault="002B358D" w:rsidP="002B358D">
            <w:pPr>
              <w:numPr>
                <w:ilvl w:val="0"/>
                <w:numId w:val="30"/>
              </w:numPr>
              <w:spacing w:after="120"/>
              <w:contextualSpacing/>
              <w:jc w:val="both"/>
              <w:rPr>
                <w:rFonts w:ascii="Arial" w:eastAsia="Calibri" w:hAnsi="Arial" w:cs="Arial"/>
                <w:sz w:val="18"/>
                <w:szCs w:val="20"/>
                <w:lang w:eastAsia="zh-CN"/>
              </w:rPr>
            </w:pPr>
            <w:r w:rsidRPr="006F5492">
              <w:rPr>
                <w:rFonts w:ascii="Arial" w:eastAsia="Calibri" w:hAnsi="Arial" w:cs="Arial"/>
                <w:sz w:val="18"/>
                <w:szCs w:val="20"/>
                <w:lang w:eastAsia="zh-CN"/>
              </w:rPr>
              <w:t xml:space="preserve">On whether RRC </w:t>
            </w:r>
            <w:r w:rsidRPr="006F5492">
              <w:rPr>
                <w:rFonts w:ascii="Arial" w:eastAsia="Calibri" w:hAnsi="Arial" w:cs="Arial"/>
                <w:bCs/>
                <w:sz w:val="18"/>
                <w:szCs w:val="20"/>
              </w:rPr>
              <w:t xml:space="preserve">reconfiguration can change any parameter of the already active BWP of an activated </w:t>
            </w:r>
            <w:proofErr w:type="spellStart"/>
            <w:r w:rsidRPr="006F5492">
              <w:rPr>
                <w:rFonts w:ascii="Arial" w:eastAsia="Calibri" w:hAnsi="Arial" w:cs="Arial"/>
                <w:bCs/>
                <w:sz w:val="18"/>
                <w:szCs w:val="20"/>
              </w:rPr>
              <w:t>SCell</w:t>
            </w:r>
            <w:proofErr w:type="spellEnd"/>
            <w:r w:rsidRPr="006F5492">
              <w:rPr>
                <w:rFonts w:ascii="Arial" w:eastAsia="Calibri" w:hAnsi="Arial" w:cs="Arial"/>
                <w:bCs/>
                <w:sz w:val="18"/>
                <w:szCs w:val="20"/>
              </w:rPr>
              <w:t xml:space="preserve"> or </w:t>
            </w:r>
            <w:proofErr w:type="spellStart"/>
            <w:r w:rsidRPr="006F5492">
              <w:rPr>
                <w:rFonts w:ascii="Arial" w:eastAsia="Calibri" w:hAnsi="Arial" w:cs="Arial"/>
                <w:bCs/>
                <w:sz w:val="18"/>
                <w:szCs w:val="20"/>
              </w:rPr>
              <w:t>SpCell</w:t>
            </w:r>
            <w:proofErr w:type="spellEnd"/>
            <w:r w:rsidRPr="006F5492">
              <w:rPr>
                <w:rFonts w:ascii="Arial" w:eastAsia="Calibri" w:hAnsi="Arial" w:cs="Arial"/>
                <w:sz w:val="18"/>
                <w:szCs w:val="20"/>
                <w:lang w:eastAsia="zh-CN"/>
              </w:rPr>
              <w:t>.</w:t>
            </w:r>
          </w:p>
          <w:p w14:paraId="64D0BFF9" w14:textId="77777777" w:rsidR="002B358D" w:rsidRPr="006F5492" w:rsidRDefault="002B358D" w:rsidP="002B358D">
            <w:pPr>
              <w:spacing w:after="120"/>
              <w:ind w:left="720"/>
              <w:contextualSpacing/>
              <w:jc w:val="both"/>
              <w:rPr>
                <w:rFonts w:ascii="Arial" w:eastAsia="Calibri" w:hAnsi="Arial" w:cs="Arial"/>
                <w:sz w:val="18"/>
                <w:szCs w:val="20"/>
                <w:lang w:eastAsia="zh-CN"/>
              </w:rPr>
            </w:pPr>
          </w:p>
          <w:p w14:paraId="37619756" w14:textId="77777777" w:rsidR="002B358D" w:rsidRPr="006F5492" w:rsidRDefault="002B358D" w:rsidP="002B358D">
            <w:pPr>
              <w:spacing w:after="120"/>
              <w:ind w:left="720"/>
              <w:contextualSpacing/>
              <w:jc w:val="both"/>
              <w:rPr>
                <w:rFonts w:eastAsia="Calibri" w:cs="Times New Roman"/>
                <w:sz w:val="18"/>
                <w:szCs w:val="20"/>
              </w:rPr>
            </w:pPr>
            <w:r w:rsidRPr="006F5492">
              <w:rPr>
                <w:rFonts w:ascii="Arial" w:eastAsia="Calibri" w:hAnsi="Arial" w:cs="Arial"/>
                <w:b/>
                <w:bCs/>
                <w:sz w:val="18"/>
                <w:szCs w:val="20"/>
                <w:lang w:eastAsia="zh-CN"/>
              </w:rPr>
              <w:t xml:space="preserve">Response: </w:t>
            </w:r>
            <w:r w:rsidRPr="006F5492">
              <w:rPr>
                <w:rFonts w:ascii="Arial" w:eastAsia="Calibri" w:hAnsi="Arial" w:cs="Arial"/>
                <w:sz w:val="18"/>
                <w:szCs w:val="20"/>
                <w:lang w:eastAsia="zh-CN"/>
              </w:rPr>
              <w:t>According to the RAN2 specification</w:t>
            </w:r>
            <w:r w:rsidRPr="006F5492">
              <w:rPr>
                <w:rFonts w:ascii="Arial" w:eastAsia="Calibri" w:hAnsi="Arial" w:cs="Arial"/>
                <w:b/>
                <w:bCs/>
                <w:sz w:val="18"/>
                <w:szCs w:val="20"/>
                <w:lang w:eastAsia="zh-CN"/>
              </w:rPr>
              <w:t xml:space="preserve"> </w:t>
            </w:r>
            <w:r w:rsidRPr="006F5492">
              <w:rPr>
                <w:rFonts w:ascii="Arial" w:eastAsia="Calibri" w:hAnsi="Arial" w:cs="Arial"/>
                <w:sz w:val="18"/>
                <w:szCs w:val="20"/>
                <w:lang w:eastAsia="zh-CN"/>
              </w:rPr>
              <w:t xml:space="preserve">the NW can change any parameters of an already active BWP of an </w:t>
            </w:r>
            <w:proofErr w:type="spellStart"/>
            <w:r w:rsidRPr="006F5492">
              <w:rPr>
                <w:rFonts w:ascii="Arial" w:eastAsia="Calibri" w:hAnsi="Arial" w:cs="Arial"/>
                <w:sz w:val="18"/>
                <w:szCs w:val="20"/>
                <w:lang w:eastAsia="zh-CN"/>
              </w:rPr>
              <w:t>SPCell</w:t>
            </w:r>
            <w:proofErr w:type="spellEnd"/>
            <w:r w:rsidRPr="006F5492">
              <w:rPr>
                <w:rFonts w:ascii="Arial" w:eastAsia="Calibri" w:hAnsi="Arial" w:cs="Arial"/>
                <w:sz w:val="18"/>
                <w:szCs w:val="20"/>
                <w:lang w:eastAsia="zh-CN"/>
              </w:rPr>
              <w:t xml:space="preserve"> or an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xml:space="preserve"> with the exception that the </w:t>
            </w:r>
            <w:bookmarkStart w:id="4" w:name="_Hlk65165116"/>
            <w:r w:rsidRPr="006F5492">
              <w:rPr>
                <w:rFonts w:ascii="Arial" w:eastAsia="Calibri" w:hAnsi="Arial" w:cs="Arial"/>
                <w:sz w:val="18"/>
                <w:szCs w:val="20"/>
                <w:lang w:eastAsia="zh-CN"/>
              </w:rPr>
              <w:t xml:space="preserve">modification of </w:t>
            </w:r>
            <w:proofErr w:type="spellStart"/>
            <w:r w:rsidRPr="006F5492">
              <w:rPr>
                <w:rFonts w:ascii="Arial" w:eastAsia="Calibri" w:hAnsi="Arial" w:cs="Arial"/>
                <w:i/>
                <w:iCs/>
                <w:sz w:val="18"/>
                <w:szCs w:val="20"/>
                <w:lang w:eastAsia="zh-CN"/>
              </w:rPr>
              <w:t>firstActiveDownlinkBWP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and </w:t>
            </w:r>
            <w:proofErr w:type="spellStart"/>
            <w:r w:rsidRPr="006F5492">
              <w:rPr>
                <w:rFonts w:ascii="Arial" w:eastAsia="Calibri" w:hAnsi="Arial" w:cs="Arial"/>
                <w:i/>
                <w:iCs/>
                <w:sz w:val="18"/>
                <w:szCs w:val="20"/>
                <w:lang w:eastAsia="zh-CN"/>
              </w:rPr>
              <w:t>firstActiveUplinkBWP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for an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xml:space="preserve"> </w:t>
            </w:r>
            <w:bookmarkEnd w:id="4"/>
            <w:r w:rsidRPr="006F5492">
              <w:rPr>
                <w:rFonts w:ascii="Arial" w:eastAsia="Calibri" w:hAnsi="Arial" w:cs="Arial"/>
                <w:sz w:val="18"/>
                <w:szCs w:val="20"/>
                <w:lang w:eastAsia="zh-CN"/>
              </w:rPr>
              <w:t xml:space="preserve">is not allowed (for both Rel-15 and Rel-16).  The modification of </w:t>
            </w:r>
            <w:proofErr w:type="spellStart"/>
            <w:r w:rsidRPr="006F5492">
              <w:rPr>
                <w:rFonts w:ascii="Arial" w:eastAsia="Calibri" w:hAnsi="Arial" w:cs="Arial"/>
                <w:i/>
                <w:iCs/>
                <w:sz w:val="18"/>
                <w:szCs w:val="20"/>
                <w:lang w:eastAsia="zh-CN"/>
              </w:rPr>
              <w:t>firstActiveDownlinkBWP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and </w:t>
            </w:r>
            <w:proofErr w:type="spellStart"/>
            <w:r w:rsidRPr="006F5492">
              <w:rPr>
                <w:rFonts w:ascii="Arial" w:eastAsia="Calibri" w:hAnsi="Arial" w:cs="Arial"/>
                <w:i/>
                <w:iCs/>
                <w:sz w:val="18"/>
                <w:szCs w:val="20"/>
                <w:lang w:eastAsia="zh-CN"/>
              </w:rPr>
              <w:t>firstActiveUplinkBWP</w:t>
            </w:r>
            <w:proofErr w:type="spellEnd"/>
            <w:r w:rsidRPr="006F5492">
              <w:rPr>
                <w:rFonts w:ascii="Arial" w:eastAsia="Calibri" w:hAnsi="Arial" w:cs="Arial"/>
                <w:i/>
                <w:iCs/>
                <w:sz w:val="18"/>
                <w:szCs w:val="20"/>
                <w:lang w:eastAsia="zh-CN"/>
              </w:rPr>
              <w:t>-</w:t>
            </w:r>
            <w:proofErr w:type="gramStart"/>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for</w:t>
            </w:r>
            <w:proofErr w:type="gramEnd"/>
            <w:r w:rsidRPr="006F5492">
              <w:rPr>
                <w:rFonts w:ascii="Arial" w:eastAsia="Calibri" w:hAnsi="Arial" w:cs="Arial"/>
                <w:sz w:val="18"/>
                <w:szCs w:val="20"/>
                <w:lang w:eastAsia="zh-CN"/>
              </w:rPr>
              <w:t xml:space="preserve"> an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xml:space="preserve"> is allowed by first releasing and subsequently adding the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and this is not considered by RAN2 as a BWP switch.</w:t>
            </w:r>
            <w:r w:rsidRPr="006F5492">
              <w:rPr>
                <w:rFonts w:eastAsia="Calibri" w:cs="Times New Roman"/>
                <w:sz w:val="18"/>
                <w:szCs w:val="20"/>
              </w:rPr>
              <w:t xml:space="preserve"> </w:t>
            </w:r>
          </w:p>
          <w:p w14:paraId="35F79CF4" w14:textId="77777777" w:rsidR="002B358D" w:rsidRPr="006F5492" w:rsidRDefault="002B358D" w:rsidP="002B358D">
            <w:pPr>
              <w:spacing w:after="120"/>
              <w:ind w:left="720"/>
              <w:contextualSpacing/>
              <w:jc w:val="both"/>
              <w:rPr>
                <w:rFonts w:ascii="Arial" w:eastAsia="Calibri" w:hAnsi="Arial" w:cs="Arial"/>
                <w:sz w:val="18"/>
                <w:szCs w:val="20"/>
                <w:lang w:eastAsia="zh-CN"/>
              </w:rPr>
            </w:pPr>
          </w:p>
          <w:p w14:paraId="774D06E4" w14:textId="77777777" w:rsidR="002B358D" w:rsidRPr="006F5492" w:rsidRDefault="002B358D" w:rsidP="002B358D">
            <w:pPr>
              <w:numPr>
                <w:ilvl w:val="0"/>
                <w:numId w:val="30"/>
              </w:numPr>
              <w:spacing w:after="120"/>
              <w:contextualSpacing/>
              <w:jc w:val="both"/>
              <w:rPr>
                <w:rFonts w:ascii="Arial" w:eastAsia="Calibri" w:hAnsi="Arial" w:cs="Arial"/>
                <w:sz w:val="18"/>
                <w:szCs w:val="20"/>
                <w:lang w:eastAsia="zh-CN"/>
              </w:rPr>
            </w:pPr>
            <w:r w:rsidRPr="006F5492">
              <w:rPr>
                <w:rFonts w:ascii="Arial" w:eastAsia="Calibri" w:hAnsi="Arial" w:cs="Arial"/>
                <w:sz w:val="18"/>
                <w:szCs w:val="20"/>
                <w:lang w:eastAsia="zh-CN"/>
              </w:rPr>
              <w:t xml:space="preserve">On whether the RRC reconfiguration without modification of </w:t>
            </w:r>
            <w:proofErr w:type="spellStart"/>
            <w:r w:rsidRPr="006F5492">
              <w:rPr>
                <w:rFonts w:ascii="Arial" w:eastAsia="Calibri" w:hAnsi="Arial" w:cs="Arial"/>
                <w:bCs/>
                <w:i/>
                <w:iCs/>
                <w:sz w:val="18"/>
                <w:szCs w:val="20"/>
              </w:rPr>
              <w:t>firstActiveDownlinkBWP</w:t>
            </w:r>
            <w:proofErr w:type="spellEnd"/>
            <w:r w:rsidRPr="006F5492">
              <w:rPr>
                <w:rFonts w:ascii="Arial" w:eastAsia="Calibri" w:hAnsi="Arial" w:cs="Arial"/>
                <w:bCs/>
                <w:i/>
                <w:iCs/>
                <w:sz w:val="18"/>
                <w:szCs w:val="20"/>
              </w:rPr>
              <w:t>-Id</w:t>
            </w:r>
            <w:r w:rsidRPr="006F5492">
              <w:rPr>
                <w:rFonts w:ascii="Arial" w:eastAsia="Calibri" w:hAnsi="Arial" w:cs="Arial"/>
                <w:bCs/>
                <w:sz w:val="18"/>
                <w:szCs w:val="20"/>
              </w:rPr>
              <w:t xml:space="preserve"> or </w:t>
            </w:r>
            <w:proofErr w:type="spellStart"/>
            <w:r w:rsidRPr="006F5492">
              <w:rPr>
                <w:rFonts w:ascii="Arial" w:eastAsia="Calibri" w:hAnsi="Arial" w:cs="Arial"/>
                <w:bCs/>
                <w:i/>
                <w:iCs/>
                <w:sz w:val="18"/>
                <w:szCs w:val="20"/>
              </w:rPr>
              <w:t>firstActiveUplinkBWP</w:t>
            </w:r>
            <w:proofErr w:type="spellEnd"/>
            <w:r w:rsidRPr="006F5492">
              <w:rPr>
                <w:rFonts w:ascii="Arial" w:eastAsia="Calibri" w:hAnsi="Arial" w:cs="Arial"/>
                <w:bCs/>
                <w:i/>
                <w:iCs/>
                <w:sz w:val="18"/>
                <w:szCs w:val="20"/>
              </w:rPr>
              <w:t>-Id</w:t>
            </w:r>
            <w:r w:rsidRPr="006F5492">
              <w:rPr>
                <w:rFonts w:ascii="Arial" w:eastAsia="Calibri" w:hAnsi="Arial" w:cs="Arial"/>
                <w:bCs/>
                <w:sz w:val="18"/>
                <w:szCs w:val="20"/>
              </w:rPr>
              <w:t xml:space="preserve"> </w:t>
            </w:r>
            <w:r w:rsidRPr="006F5492">
              <w:rPr>
                <w:rFonts w:ascii="Arial" w:eastAsia="Calibri" w:hAnsi="Arial" w:cs="Arial"/>
                <w:sz w:val="18"/>
                <w:szCs w:val="20"/>
                <w:lang w:eastAsia="zh-CN"/>
              </w:rPr>
              <w:t xml:space="preserve">for an activated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xml:space="preserve"> or </w:t>
            </w:r>
            <w:proofErr w:type="spellStart"/>
            <w:r w:rsidRPr="006F5492">
              <w:rPr>
                <w:rFonts w:ascii="Arial" w:eastAsia="Calibri" w:hAnsi="Arial" w:cs="Arial"/>
                <w:sz w:val="18"/>
                <w:szCs w:val="20"/>
                <w:lang w:eastAsia="zh-CN"/>
              </w:rPr>
              <w:t>SpCell</w:t>
            </w:r>
            <w:proofErr w:type="spellEnd"/>
            <w:r w:rsidRPr="006F5492">
              <w:rPr>
                <w:rFonts w:ascii="Arial" w:eastAsia="Calibri" w:hAnsi="Arial" w:cs="Arial"/>
                <w:sz w:val="18"/>
                <w:szCs w:val="20"/>
                <w:lang w:eastAsia="zh-CN"/>
              </w:rPr>
              <w:t xml:space="preserve"> can trigger a BWP switch.</w:t>
            </w:r>
          </w:p>
          <w:p w14:paraId="610E5941" w14:textId="77777777" w:rsidR="002B358D" w:rsidRPr="006F5492" w:rsidRDefault="002B358D" w:rsidP="002B358D">
            <w:pPr>
              <w:spacing w:after="120"/>
              <w:ind w:left="720"/>
              <w:contextualSpacing/>
              <w:jc w:val="both"/>
              <w:rPr>
                <w:rFonts w:ascii="Arial" w:eastAsia="Calibri" w:hAnsi="Arial" w:cs="Arial"/>
                <w:sz w:val="18"/>
                <w:szCs w:val="20"/>
                <w:lang w:eastAsia="zh-CN"/>
              </w:rPr>
            </w:pPr>
          </w:p>
          <w:p w14:paraId="7E82F956" w14:textId="77777777" w:rsidR="002B358D" w:rsidRPr="006F5492" w:rsidRDefault="002B358D" w:rsidP="002B358D">
            <w:pPr>
              <w:ind w:left="720"/>
              <w:contextualSpacing/>
              <w:jc w:val="both"/>
              <w:rPr>
                <w:rFonts w:ascii="Arial" w:eastAsia="Calibri" w:hAnsi="Arial" w:cs="Arial"/>
                <w:sz w:val="18"/>
                <w:szCs w:val="20"/>
                <w:lang w:eastAsia="zh-CN"/>
              </w:rPr>
            </w:pPr>
            <w:r w:rsidRPr="006F5492">
              <w:rPr>
                <w:rFonts w:ascii="Arial" w:eastAsia="Calibri" w:hAnsi="Arial" w:cs="Arial"/>
                <w:b/>
                <w:bCs/>
                <w:sz w:val="18"/>
                <w:szCs w:val="20"/>
                <w:lang w:eastAsia="zh-CN"/>
              </w:rPr>
              <w:t>Response:</w:t>
            </w:r>
            <w:r w:rsidRPr="006F5492">
              <w:rPr>
                <w:rFonts w:ascii="Arial" w:eastAsia="Calibri" w:hAnsi="Arial" w:cs="Arial"/>
                <w:sz w:val="18"/>
                <w:szCs w:val="20"/>
                <w:lang w:eastAsia="zh-CN"/>
              </w:rPr>
              <w:t xml:space="preserve"> RAN2 confirms that an RRC message with a </w:t>
            </w:r>
            <w:proofErr w:type="spellStart"/>
            <w:r w:rsidRPr="006F5492">
              <w:rPr>
                <w:rFonts w:ascii="Arial" w:eastAsia="Calibri" w:hAnsi="Arial" w:cs="Arial"/>
                <w:i/>
                <w:iCs/>
                <w:sz w:val="18"/>
                <w:szCs w:val="20"/>
                <w:lang w:eastAsia="zh-CN"/>
              </w:rPr>
              <w:t>firstActiveDownlinkBWP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and </w:t>
            </w:r>
            <w:proofErr w:type="spellStart"/>
            <w:r w:rsidRPr="006F5492">
              <w:rPr>
                <w:rFonts w:ascii="Arial" w:eastAsia="Calibri" w:hAnsi="Arial" w:cs="Arial"/>
                <w:i/>
                <w:iCs/>
                <w:sz w:val="18"/>
                <w:szCs w:val="20"/>
                <w:lang w:eastAsia="zh-CN"/>
              </w:rPr>
              <w:t>firstActiveUplinkBWP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that is different from the UE’s current BWP ID, results in a BWP switch for an </w:t>
            </w:r>
            <w:proofErr w:type="spellStart"/>
            <w:r w:rsidRPr="006F5492">
              <w:rPr>
                <w:rFonts w:ascii="Arial" w:eastAsia="Calibri" w:hAnsi="Arial" w:cs="Arial"/>
                <w:sz w:val="18"/>
                <w:szCs w:val="20"/>
                <w:lang w:eastAsia="zh-CN"/>
              </w:rPr>
              <w:t>SpCell</w:t>
            </w:r>
            <w:proofErr w:type="spellEnd"/>
            <w:r w:rsidRPr="006F5492">
              <w:rPr>
                <w:rFonts w:ascii="Arial" w:eastAsia="Calibri" w:hAnsi="Arial" w:cs="Arial"/>
                <w:sz w:val="18"/>
                <w:szCs w:val="20"/>
                <w:lang w:eastAsia="zh-CN"/>
              </w:rPr>
              <w:t xml:space="preserve">. And in Rel-15 or in Rel-16, the BWP switching for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xml:space="preserve"> using RRC message is not be possible.</w:t>
            </w:r>
          </w:p>
          <w:p w14:paraId="01A45993" w14:textId="77777777" w:rsidR="002B358D" w:rsidRPr="006F5492" w:rsidRDefault="002B358D" w:rsidP="002B358D">
            <w:pPr>
              <w:ind w:left="720"/>
              <w:contextualSpacing/>
              <w:jc w:val="both"/>
              <w:rPr>
                <w:rFonts w:ascii="Arial" w:eastAsia="Calibri" w:hAnsi="Arial" w:cs="Arial"/>
                <w:sz w:val="18"/>
                <w:szCs w:val="20"/>
                <w:lang w:eastAsia="zh-CN"/>
              </w:rPr>
            </w:pPr>
          </w:p>
          <w:p w14:paraId="190CFD4C" w14:textId="77777777" w:rsidR="002B358D" w:rsidRPr="006F5492" w:rsidRDefault="002B358D" w:rsidP="002B358D">
            <w:pPr>
              <w:ind w:left="720"/>
              <w:contextualSpacing/>
              <w:jc w:val="both"/>
              <w:rPr>
                <w:rFonts w:ascii="Arial" w:eastAsia="Calibri" w:hAnsi="Arial" w:cs="Arial"/>
                <w:sz w:val="18"/>
                <w:szCs w:val="20"/>
                <w:lang w:eastAsia="zh-CN"/>
              </w:rPr>
            </w:pPr>
            <w:r w:rsidRPr="006F5492">
              <w:rPr>
                <w:rFonts w:ascii="Arial" w:eastAsia="Calibri" w:hAnsi="Arial" w:cs="Arial"/>
                <w:sz w:val="18"/>
                <w:szCs w:val="20"/>
                <w:lang w:eastAsia="zh-CN"/>
              </w:rPr>
              <w:t xml:space="preserve">According to RAN2 specifications, the reconfiguration of any parameters (with the exception of </w:t>
            </w:r>
            <w:proofErr w:type="spellStart"/>
            <w:r w:rsidRPr="006F5492">
              <w:rPr>
                <w:rFonts w:ascii="Arial" w:eastAsia="Calibri" w:hAnsi="Arial" w:cs="Arial"/>
                <w:i/>
                <w:iCs/>
                <w:sz w:val="18"/>
                <w:szCs w:val="20"/>
                <w:lang w:eastAsia="zh-CN"/>
              </w:rPr>
              <w:t>firstActiveDownlinkBWP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or </w:t>
            </w:r>
            <w:proofErr w:type="spellStart"/>
            <w:r w:rsidRPr="006F5492">
              <w:rPr>
                <w:rFonts w:ascii="Arial" w:eastAsia="Calibri" w:hAnsi="Arial" w:cs="Arial"/>
                <w:i/>
                <w:iCs/>
                <w:sz w:val="18"/>
                <w:szCs w:val="20"/>
                <w:lang w:eastAsia="zh-CN"/>
              </w:rPr>
              <w:t>firstActiveUplinkBWP</w:t>
            </w:r>
            <w:proofErr w:type="spellEnd"/>
            <w:r w:rsidRPr="006F5492">
              <w:rPr>
                <w:rFonts w:ascii="Arial" w:eastAsia="Calibri" w:hAnsi="Arial" w:cs="Arial"/>
                <w:i/>
                <w:iCs/>
                <w:sz w:val="18"/>
                <w:szCs w:val="20"/>
                <w:lang w:eastAsia="zh-CN"/>
              </w:rPr>
              <w:t>-Id</w:t>
            </w:r>
            <w:r w:rsidRPr="006F5492">
              <w:rPr>
                <w:rFonts w:ascii="Arial" w:eastAsia="Calibri" w:hAnsi="Arial" w:cs="Arial"/>
                <w:sz w:val="18"/>
                <w:szCs w:val="20"/>
                <w:lang w:eastAsia="zh-CN"/>
              </w:rPr>
              <w:t xml:space="preserve"> as mentioned earlier) of an already active BWP of an </w:t>
            </w:r>
            <w:proofErr w:type="spellStart"/>
            <w:r w:rsidRPr="006F5492">
              <w:rPr>
                <w:rFonts w:ascii="Arial" w:eastAsia="Calibri" w:hAnsi="Arial" w:cs="Arial"/>
                <w:sz w:val="18"/>
                <w:szCs w:val="20"/>
                <w:lang w:eastAsia="zh-CN"/>
              </w:rPr>
              <w:t>SPCell</w:t>
            </w:r>
            <w:proofErr w:type="spellEnd"/>
            <w:r w:rsidRPr="006F5492">
              <w:rPr>
                <w:rFonts w:ascii="Arial" w:eastAsia="Calibri" w:hAnsi="Arial" w:cs="Arial"/>
                <w:sz w:val="18"/>
                <w:szCs w:val="20"/>
                <w:lang w:eastAsia="zh-CN"/>
              </w:rPr>
              <w:t xml:space="preserve"> or an </w:t>
            </w:r>
            <w:proofErr w:type="spellStart"/>
            <w:r w:rsidRPr="006F5492">
              <w:rPr>
                <w:rFonts w:ascii="Arial" w:eastAsia="Calibri" w:hAnsi="Arial" w:cs="Arial"/>
                <w:sz w:val="18"/>
                <w:szCs w:val="20"/>
                <w:lang w:eastAsia="zh-CN"/>
              </w:rPr>
              <w:t>Scell</w:t>
            </w:r>
            <w:proofErr w:type="spellEnd"/>
            <w:r w:rsidRPr="006F5492">
              <w:rPr>
                <w:rFonts w:ascii="Arial" w:eastAsia="Calibri" w:hAnsi="Arial" w:cs="Arial"/>
                <w:sz w:val="18"/>
                <w:szCs w:val="20"/>
                <w:lang w:eastAsia="zh-CN"/>
              </w:rPr>
              <w:t xml:space="preserve"> is allowed </w:t>
            </w:r>
            <w:proofErr w:type="gramStart"/>
            <w:r w:rsidRPr="006F5492">
              <w:rPr>
                <w:rFonts w:ascii="Arial" w:eastAsia="Calibri" w:hAnsi="Arial" w:cs="Arial"/>
                <w:sz w:val="18"/>
                <w:szCs w:val="20"/>
                <w:lang w:eastAsia="zh-CN"/>
              </w:rPr>
              <w:t>for  both</w:t>
            </w:r>
            <w:proofErr w:type="gramEnd"/>
            <w:r w:rsidRPr="006F5492">
              <w:rPr>
                <w:rFonts w:ascii="Arial" w:eastAsia="Calibri" w:hAnsi="Arial" w:cs="Arial"/>
                <w:sz w:val="18"/>
                <w:szCs w:val="20"/>
                <w:lang w:eastAsia="zh-CN"/>
              </w:rPr>
              <w:t xml:space="preserve"> Rel-15 and Rel-16. However, RAN2 has not specified whether this is a </w:t>
            </w:r>
            <w:r w:rsidRPr="006F5492">
              <w:rPr>
                <w:rFonts w:ascii="Arial" w:eastAsia="Calibri" w:hAnsi="Arial" w:cs="Arial"/>
                <w:sz w:val="18"/>
                <w:szCs w:val="20"/>
                <w:lang w:eastAsia="zh-CN"/>
              </w:rPr>
              <w:lastRenderedPageBreak/>
              <w:t xml:space="preserve">BWP switch or not, i.e. it would require further discussion on whether </w:t>
            </w:r>
            <w:proofErr w:type="gramStart"/>
            <w:r w:rsidRPr="006F5492">
              <w:rPr>
                <w:rFonts w:ascii="Arial" w:eastAsia="Calibri" w:hAnsi="Arial" w:cs="Arial"/>
                <w:sz w:val="18"/>
                <w:szCs w:val="20"/>
                <w:lang w:eastAsia="zh-CN"/>
              </w:rPr>
              <w:t>particular parameter</w:t>
            </w:r>
            <w:proofErr w:type="gramEnd"/>
            <w:r w:rsidRPr="006F5492">
              <w:rPr>
                <w:rFonts w:ascii="Arial" w:eastAsia="Calibri" w:hAnsi="Arial" w:cs="Arial"/>
                <w:sz w:val="18"/>
                <w:szCs w:val="20"/>
                <w:lang w:eastAsia="zh-CN"/>
              </w:rPr>
              <w:t xml:space="preserve"> change would cause BWP switch or not and RAN2 does not intend to discuss this. </w:t>
            </w:r>
          </w:p>
          <w:p w14:paraId="7A14DCDB" w14:textId="77777777" w:rsidR="002B358D" w:rsidRPr="006F5492" w:rsidRDefault="002B358D" w:rsidP="002B358D">
            <w:pPr>
              <w:spacing w:before="240" w:after="120"/>
              <w:jc w:val="both"/>
              <w:rPr>
                <w:rFonts w:ascii="Arial" w:eastAsia="Calibri" w:hAnsi="Arial" w:cs="Arial"/>
                <w:sz w:val="18"/>
                <w:szCs w:val="20"/>
                <w:lang w:eastAsia="zh-CN"/>
              </w:rPr>
            </w:pPr>
            <w:r w:rsidRPr="006F5492">
              <w:rPr>
                <w:rFonts w:ascii="Arial" w:eastAsia="Calibri" w:hAnsi="Arial" w:cs="Arial"/>
                <w:bCs/>
                <w:sz w:val="18"/>
                <w:szCs w:val="20"/>
              </w:rPr>
              <w:t xml:space="preserve">Furthermore, RAN2 would like to inform RAN4 that </w:t>
            </w:r>
            <w:bookmarkStart w:id="5" w:name="_Hlk65166204"/>
            <w:r w:rsidRPr="006F5492">
              <w:rPr>
                <w:rFonts w:ascii="Arial" w:eastAsia="Calibri" w:hAnsi="Arial" w:cs="Arial"/>
                <w:sz w:val="18"/>
                <w:szCs w:val="20"/>
                <w:lang w:eastAsia="zh-CN"/>
              </w:rPr>
              <w:t xml:space="preserve">during the </w:t>
            </w:r>
            <w:proofErr w:type="spellStart"/>
            <w:r w:rsidRPr="006F5492">
              <w:rPr>
                <w:rFonts w:ascii="Arial" w:eastAsia="Calibri" w:hAnsi="Arial" w:cs="Arial"/>
                <w:sz w:val="18"/>
                <w:szCs w:val="20"/>
                <w:lang w:eastAsia="zh-CN"/>
              </w:rPr>
              <w:t>RRCResume</w:t>
            </w:r>
            <w:proofErr w:type="spellEnd"/>
            <w:r w:rsidRPr="006F5492">
              <w:rPr>
                <w:rFonts w:ascii="Arial" w:eastAsia="Calibri" w:hAnsi="Arial" w:cs="Arial"/>
                <w:sz w:val="18"/>
                <w:szCs w:val="20"/>
                <w:lang w:eastAsia="zh-CN"/>
              </w:rPr>
              <w:t>/</w:t>
            </w:r>
            <w:proofErr w:type="spellStart"/>
            <w:r w:rsidRPr="006F5492">
              <w:rPr>
                <w:rFonts w:ascii="Arial" w:eastAsia="Calibri" w:hAnsi="Arial" w:cs="Arial"/>
                <w:sz w:val="18"/>
                <w:szCs w:val="20"/>
                <w:lang w:eastAsia="zh-CN"/>
              </w:rPr>
              <w:t>RRCSetup</w:t>
            </w:r>
            <w:proofErr w:type="spellEnd"/>
            <w:r w:rsidRPr="006F5492">
              <w:rPr>
                <w:rFonts w:ascii="Arial" w:eastAsia="Calibri" w:hAnsi="Arial" w:cs="Arial"/>
                <w:sz w:val="18"/>
                <w:szCs w:val="20"/>
                <w:lang w:eastAsia="zh-CN"/>
              </w:rPr>
              <w:t xml:space="preserve"> procedure for the </w:t>
            </w:r>
            <w:proofErr w:type="spellStart"/>
            <w:r w:rsidRPr="006F5492">
              <w:rPr>
                <w:rFonts w:ascii="Arial" w:eastAsia="Calibri" w:hAnsi="Arial" w:cs="Arial"/>
                <w:sz w:val="18"/>
                <w:szCs w:val="20"/>
                <w:lang w:eastAsia="zh-CN"/>
              </w:rPr>
              <w:t>PCell</w:t>
            </w:r>
            <w:proofErr w:type="spellEnd"/>
            <w:r w:rsidRPr="006F5492">
              <w:rPr>
                <w:rFonts w:ascii="Arial" w:eastAsia="Calibri" w:hAnsi="Arial" w:cs="Arial"/>
                <w:sz w:val="18"/>
                <w:szCs w:val="20"/>
                <w:lang w:eastAsia="zh-CN"/>
              </w:rPr>
              <w:t>, the active BWP parameters change for the UE or the BWP can be switched</w:t>
            </w:r>
            <w:bookmarkEnd w:id="5"/>
            <w:r w:rsidRPr="006F5492">
              <w:rPr>
                <w:rFonts w:ascii="Arial" w:eastAsia="Calibri" w:hAnsi="Arial" w:cs="Arial"/>
                <w:sz w:val="18"/>
                <w:szCs w:val="20"/>
                <w:lang w:eastAsia="zh-CN"/>
              </w:rPr>
              <w:t>.</w:t>
            </w:r>
          </w:p>
          <w:p w14:paraId="49667351" w14:textId="77777777" w:rsidR="00253FFC" w:rsidRPr="006F5492" w:rsidRDefault="00253FFC" w:rsidP="002B358D">
            <w:pPr>
              <w:ind w:right="-22"/>
              <w:rPr>
                <w:rFonts w:eastAsia="Calibri" w:cs="Times New Roman"/>
                <w:sz w:val="18"/>
                <w:szCs w:val="20"/>
              </w:rPr>
            </w:pPr>
          </w:p>
        </w:tc>
      </w:tr>
    </w:tbl>
    <w:p w14:paraId="594B22D9" w14:textId="77777777" w:rsidR="000E332E" w:rsidRDefault="000E332E" w:rsidP="000E332E">
      <w:pPr>
        <w:ind w:right="-22"/>
        <w:rPr>
          <w:rFonts w:eastAsia="Calibri" w:cs="Times New Roman"/>
          <w:szCs w:val="20"/>
        </w:rPr>
      </w:pPr>
    </w:p>
    <w:p w14:paraId="70845F44" w14:textId="7419236B" w:rsidR="000E332E" w:rsidRDefault="000E332E" w:rsidP="000E332E">
      <w:pPr>
        <w:rPr>
          <w:rFonts w:eastAsia="Calibri" w:cs="Times New Roman"/>
          <w:szCs w:val="20"/>
          <w:lang w:val="en-GB"/>
        </w:rPr>
      </w:pPr>
      <w:r>
        <w:rPr>
          <w:rFonts w:eastAsia="Calibri" w:cs="Times New Roman"/>
          <w:szCs w:val="20"/>
          <w:lang w:val="en-GB"/>
        </w:rPr>
        <w:t xml:space="preserve">With the input of the agreed response LS [2] from RAN2, we have discussed the core requirements for RRC based BWP switch on multiple CCs [4] and have conclusion that </w:t>
      </w:r>
      <w:r>
        <w:rPr>
          <w:lang w:val="en-GB"/>
        </w:rPr>
        <w:t xml:space="preserve">we </w:t>
      </w:r>
      <w:r w:rsidR="00F40731">
        <w:rPr>
          <w:lang w:val="en-GB"/>
        </w:rPr>
        <w:t>shall</w:t>
      </w:r>
      <w:r>
        <w:rPr>
          <w:lang w:val="en-GB"/>
        </w:rPr>
        <w:t xml:space="preserve"> consider the active BWP parameter change except </w:t>
      </w:r>
      <w:proofErr w:type="spellStart"/>
      <w:r>
        <w:rPr>
          <w:lang w:val="en-GB"/>
        </w:rPr>
        <w:t>except</w:t>
      </w:r>
      <w:proofErr w:type="spellEnd"/>
      <w:r>
        <w:rPr>
          <w:lang w:val="en-GB"/>
        </w:rPr>
        <w:t xml:space="preserve"> </w:t>
      </w:r>
      <w:proofErr w:type="spellStart"/>
      <w:r w:rsidRPr="00B47493">
        <w:rPr>
          <w:i/>
          <w:iCs/>
          <w:lang w:val="en-GB"/>
        </w:rPr>
        <w:t>firstActiveDownlinkBWP</w:t>
      </w:r>
      <w:proofErr w:type="spellEnd"/>
      <w:r w:rsidRPr="00B47493">
        <w:rPr>
          <w:i/>
          <w:iCs/>
          <w:lang w:val="en-GB"/>
        </w:rPr>
        <w:t>-Id</w:t>
      </w:r>
      <w:r w:rsidRPr="00B47493">
        <w:rPr>
          <w:lang w:val="en-GB"/>
        </w:rPr>
        <w:t xml:space="preserve"> and </w:t>
      </w:r>
      <w:proofErr w:type="spellStart"/>
      <w:r w:rsidRPr="00B47493">
        <w:rPr>
          <w:i/>
          <w:iCs/>
          <w:lang w:val="en-GB"/>
        </w:rPr>
        <w:t>firstActiveUplinkBWP</w:t>
      </w:r>
      <w:proofErr w:type="spellEnd"/>
      <w:r w:rsidRPr="00B47493">
        <w:rPr>
          <w:i/>
          <w:iCs/>
          <w:lang w:val="en-GB"/>
        </w:rPr>
        <w:t>-Id</w:t>
      </w:r>
      <w:r w:rsidRPr="00B47493">
        <w:rPr>
          <w:lang w:val="en-GB"/>
        </w:rPr>
        <w:t xml:space="preserve"> for an </w:t>
      </w:r>
      <w:proofErr w:type="spellStart"/>
      <w:r w:rsidRPr="00B47493">
        <w:rPr>
          <w:lang w:val="en-GB"/>
        </w:rPr>
        <w:t>SCell</w:t>
      </w:r>
      <w:proofErr w:type="spellEnd"/>
      <w:r>
        <w:rPr>
          <w:lang w:val="en-GB"/>
        </w:rPr>
        <w:t xml:space="preserve"> in RRC-based BWP switch requirements in RAN4. Hence, RAN4 </w:t>
      </w:r>
      <w:r w:rsidR="00F40731">
        <w:rPr>
          <w:lang w:val="en-GB"/>
        </w:rPr>
        <w:t>shall</w:t>
      </w:r>
      <w:r>
        <w:rPr>
          <w:lang w:val="en-GB"/>
        </w:rPr>
        <w:t xml:space="preserve"> support </w:t>
      </w:r>
      <w:r w:rsidR="00470EE1">
        <w:rPr>
          <w:lang w:val="en-GB"/>
        </w:rPr>
        <w:t xml:space="preserve">RRC-based simultaneous BWP switch on multiple CCs. </w:t>
      </w:r>
    </w:p>
    <w:p w14:paraId="3DEB8E62" w14:textId="770F7C70" w:rsidR="00F40731" w:rsidRPr="00BA7C2E" w:rsidRDefault="00F40731" w:rsidP="00F40731">
      <w:pPr>
        <w:pStyle w:val="RAN4Observation"/>
        <w:numPr>
          <w:ilvl w:val="0"/>
          <w:numId w:val="36"/>
        </w:numPr>
      </w:pPr>
      <w:r>
        <w:t>RAN4 shall support RRC-based simultaneous BWP switch on multiple CCs</w:t>
      </w:r>
      <w:r w:rsidRPr="00BA7C2E">
        <w:t>.</w:t>
      </w:r>
    </w:p>
    <w:p w14:paraId="08BB7DEE" w14:textId="24EF1B71" w:rsidR="000E332E" w:rsidRDefault="00F40731" w:rsidP="000E332E">
      <w:pPr>
        <w:ind w:right="-22"/>
        <w:rPr>
          <w:rFonts w:eastAsia="Calibri" w:cs="Times New Roman"/>
          <w:szCs w:val="20"/>
          <w:lang w:val="en-GB"/>
        </w:rPr>
      </w:pPr>
      <w:r>
        <w:rPr>
          <w:rFonts w:eastAsia="Calibri" w:cs="Times New Roman"/>
          <w:szCs w:val="20"/>
          <w:lang w:val="en-GB"/>
        </w:rPr>
        <w:t xml:space="preserve">Following this observation, we need to define the test cases corresponding to the core part requirements. </w:t>
      </w:r>
    </w:p>
    <w:p w14:paraId="3E9161FB" w14:textId="68FD65F8" w:rsidR="00B97082" w:rsidRPr="00723574" w:rsidRDefault="00B97082" w:rsidP="00B97082">
      <w:pPr>
        <w:numPr>
          <w:ilvl w:val="0"/>
          <w:numId w:val="1"/>
        </w:numPr>
        <w:spacing w:after="200" w:line="240" w:lineRule="auto"/>
        <w:ind w:left="0" w:firstLine="0"/>
        <w:rPr>
          <w:rFonts w:eastAsiaTheme="minorHAnsi"/>
          <w:b/>
          <w:iCs/>
          <w:szCs w:val="18"/>
        </w:rPr>
      </w:pPr>
      <w:bookmarkStart w:id="6" w:name="_Hlk68261162"/>
      <w:r>
        <w:rPr>
          <w:rFonts w:eastAsiaTheme="minorHAnsi"/>
          <w:b/>
          <w:iCs/>
          <w:szCs w:val="18"/>
        </w:rPr>
        <w:t xml:space="preserve">The test case list for RRC based simultaneous BWP switch on multiple CCs </w:t>
      </w:r>
      <w:r w:rsidR="00310DA3">
        <w:rPr>
          <w:rFonts w:eastAsiaTheme="minorHAnsi"/>
          <w:b/>
          <w:iCs/>
          <w:szCs w:val="18"/>
        </w:rPr>
        <w:t xml:space="preserve">shall </w:t>
      </w:r>
      <w:r>
        <w:rPr>
          <w:rFonts w:eastAsiaTheme="minorHAnsi"/>
          <w:b/>
          <w:iCs/>
          <w:szCs w:val="18"/>
        </w:rPr>
        <w:t xml:space="preserve">be: </w:t>
      </w:r>
    </w:p>
    <w:tbl>
      <w:tblPr>
        <w:tblStyle w:val="TableGrid"/>
        <w:tblW w:w="9634" w:type="dxa"/>
        <w:tblLook w:val="04A0" w:firstRow="1" w:lastRow="0" w:firstColumn="1" w:lastColumn="0" w:noHBand="0" w:noVBand="1"/>
      </w:tblPr>
      <w:tblGrid>
        <w:gridCol w:w="2972"/>
        <w:gridCol w:w="6662"/>
      </w:tblGrid>
      <w:tr w:rsidR="00B97082" w14:paraId="6C2C767D" w14:textId="77777777" w:rsidTr="00BD4DC8">
        <w:tc>
          <w:tcPr>
            <w:tcW w:w="2972" w:type="dxa"/>
          </w:tcPr>
          <w:p w14:paraId="6A68B4C5" w14:textId="77777777" w:rsidR="00B97082" w:rsidRDefault="00B97082" w:rsidP="00BD4DC8">
            <w:pPr>
              <w:rPr>
                <w:rFonts w:ascii="Calibri" w:hAnsi="Calibri" w:cs="Calibri"/>
                <w:color w:val="00B050"/>
                <w:sz w:val="22"/>
              </w:rPr>
            </w:pPr>
          </w:p>
        </w:tc>
        <w:tc>
          <w:tcPr>
            <w:tcW w:w="6662" w:type="dxa"/>
          </w:tcPr>
          <w:p w14:paraId="4DEBDA8F" w14:textId="77777777" w:rsidR="00B97082" w:rsidRPr="00812E60" w:rsidRDefault="00B97082" w:rsidP="00BD4DC8">
            <w:pPr>
              <w:jc w:val="center"/>
              <w:rPr>
                <w:b/>
                <w:bCs/>
                <w:lang w:val="en-GB" w:eastAsia="zh-CN"/>
              </w:rPr>
            </w:pPr>
            <w:r w:rsidRPr="00812E60">
              <w:rPr>
                <w:b/>
                <w:bCs/>
                <w:lang w:val="en-GB" w:eastAsia="zh-CN"/>
              </w:rPr>
              <w:t>Test cases</w:t>
            </w:r>
          </w:p>
        </w:tc>
      </w:tr>
      <w:tr w:rsidR="00B97082" w14:paraId="559AE99D" w14:textId="77777777" w:rsidTr="00BD4DC8">
        <w:tc>
          <w:tcPr>
            <w:tcW w:w="2972" w:type="dxa"/>
          </w:tcPr>
          <w:p w14:paraId="103FACB3" w14:textId="77777777" w:rsidR="00B97082" w:rsidRPr="008D4CCB" w:rsidRDefault="00B97082" w:rsidP="00BD4DC8">
            <w:pPr>
              <w:rPr>
                <w:lang w:val="en-GB" w:eastAsia="zh-CN"/>
              </w:rPr>
            </w:pPr>
            <w:r w:rsidRPr="008D4CCB">
              <w:rPr>
                <w:lang w:val="en-GB" w:eastAsia="zh-CN"/>
              </w:rPr>
              <w:t>RRC based simultaneous BWP switch on multiple CCs</w:t>
            </w:r>
          </w:p>
        </w:tc>
        <w:tc>
          <w:tcPr>
            <w:tcW w:w="6662" w:type="dxa"/>
          </w:tcPr>
          <w:p w14:paraId="75D10832" w14:textId="06591A47" w:rsidR="00B97082" w:rsidRPr="00812E60" w:rsidRDefault="00B97082" w:rsidP="00BD4DC8">
            <w:pPr>
              <w:rPr>
                <w:sz w:val="18"/>
                <w:szCs w:val="20"/>
                <w:lang w:val="en-GB" w:eastAsia="zh-CN"/>
              </w:rPr>
            </w:pPr>
            <w:r w:rsidRPr="00812E60">
              <w:rPr>
                <w:sz w:val="18"/>
                <w:szCs w:val="20"/>
                <w:lang w:val="en-GB" w:eastAsia="zh-CN"/>
              </w:rPr>
              <w:t xml:space="preserve">TC1: EN-DC with NR FR1 cell (E-UTRAN </w:t>
            </w:r>
            <w:proofErr w:type="spellStart"/>
            <w:r w:rsidRPr="00812E60">
              <w:rPr>
                <w:sz w:val="18"/>
                <w:szCs w:val="20"/>
                <w:lang w:val="en-GB" w:eastAsia="zh-CN"/>
              </w:rPr>
              <w:t>PCell</w:t>
            </w:r>
            <w:proofErr w:type="spellEnd"/>
            <w:r w:rsidRPr="00812E60">
              <w:rPr>
                <w:sz w:val="18"/>
                <w:szCs w:val="20"/>
                <w:lang w:val="en-GB" w:eastAsia="zh-CN"/>
              </w:rPr>
              <w:t xml:space="preserve"> + NR</w:t>
            </w:r>
            <w:r w:rsidR="003C7BCD">
              <w:rPr>
                <w:sz w:val="18"/>
                <w:szCs w:val="20"/>
                <w:lang w:val="en-GB" w:eastAsia="zh-CN"/>
              </w:rPr>
              <w:t xml:space="preserve"> FR1</w:t>
            </w:r>
            <w:r w:rsidRPr="00812E60">
              <w:rPr>
                <w:sz w:val="18"/>
                <w:szCs w:val="20"/>
                <w:lang w:val="en-GB" w:eastAsia="zh-CN"/>
              </w:rPr>
              <w:t xml:space="preserve"> </w:t>
            </w:r>
            <w:proofErr w:type="spellStart"/>
            <w:r w:rsidRPr="00812E60">
              <w:rPr>
                <w:sz w:val="18"/>
                <w:szCs w:val="20"/>
                <w:lang w:val="en-GB" w:eastAsia="zh-CN"/>
              </w:rPr>
              <w:t>PSCell</w:t>
            </w:r>
            <w:proofErr w:type="spellEnd"/>
            <w:r w:rsidRPr="00812E60">
              <w:rPr>
                <w:sz w:val="18"/>
                <w:szCs w:val="20"/>
                <w:lang w:val="en-GB" w:eastAsia="zh-CN"/>
              </w:rPr>
              <w:t xml:space="preserve"> + NR</w:t>
            </w:r>
            <w:r w:rsidR="003C7BCD">
              <w:rPr>
                <w:sz w:val="18"/>
                <w:szCs w:val="20"/>
                <w:lang w:val="en-GB" w:eastAsia="zh-CN"/>
              </w:rPr>
              <w:t xml:space="preserve"> FR1</w:t>
            </w:r>
            <w:r w:rsidRPr="00812E60">
              <w:rPr>
                <w:sz w:val="18"/>
                <w:szCs w:val="20"/>
                <w:lang w:val="en-GB" w:eastAsia="zh-CN"/>
              </w:rPr>
              <w:t xml:space="preserve"> </w:t>
            </w:r>
            <w:proofErr w:type="spellStart"/>
            <w:r w:rsidRPr="00812E60">
              <w:rPr>
                <w:sz w:val="18"/>
                <w:szCs w:val="20"/>
                <w:lang w:val="en-GB" w:eastAsia="zh-CN"/>
              </w:rPr>
              <w:t>SCell</w:t>
            </w:r>
            <w:proofErr w:type="spellEnd"/>
            <w:r w:rsidRPr="00812E60">
              <w:rPr>
                <w:sz w:val="18"/>
                <w:szCs w:val="20"/>
                <w:lang w:val="en-GB" w:eastAsia="zh-CN"/>
              </w:rPr>
              <w:t>)</w:t>
            </w:r>
          </w:p>
          <w:p w14:paraId="6F3456B4" w14:textId="37388C1F" w:rsidR="00B97082" w:rsidRPr="00812E60" w:rsidRDefault="00B97082" w:rsidP="00BD4DC8">
            <w:pPr>
              <w:rPr>
                <w:sz w:val="18"/>
                <w:szCs w:val="20"/>
                <w:lang w:val="en-GB" w:eastAsia="zh-CN"/>
              </w:rPr>
            </w:pPr>
            <w:r w:rsidRPr="00812E60">
              <w:rPr>
                <w:sz w:val="18"/>
                <w:szCs w:val="20"/>
                <w:lang w:val="en-GB" w:eastAsia="zh-CN"/>
              </w:rPr>
              <w:t xml:space="preserve">TC2: EN-DC with NR FR2 cell (E-UTRAN </w:t>
            </w:r>
            <w:proofErr w:type="spellStart"/>
            <w:r w:rsidRPr="00812E60">
              <w:rPr>
                <w:sz w:val="18"/>
                <w:szCs w:val="20"/>
                <w:lang w:val="en-GB" w:eastAsia="zh-CN"/>
              </w:rPr>
              <w:t>PCell</w:t>
            </w:r>
            <w:proofErr w:type="spellEnd"/>
            <w:r w:rsidRPr="00812E60">
              <w:rPr>
                <w:sz w:val="18"/>
                <w:szCs w:val="20"/>
                <w:lang w:val="en-GB" w:eastAsia="zh-CN"/>
              </w:rPr>
              <w:t xml:space="preserve"> + NR </w:t>
            </w:r>
            <w:r w:rsidR="003C7BCD">
              <w:rPr>
                <w:sz w:val="18"/>
                <w:szCs w:val="20"/>
                <w:lang w:val="en-GB" w:eastAsia="zh-CN"/>
              </w:rPr>
              <w:t xml:space="preserve">FR2 </w:t>
            </w:r>
            <w:proofErr w:type="spellStart"/>
            <w:r w:rsidRPr="00812E60">
              <w:rPr>
                <w:sz w:val="18"/>
                <w:szCs w:val="20"/>
                <w:lang w:val="en-GB" w:eastAsia="zh-CN"/>
              </w:rPr>
              <w:t>PSCell</w:t>
            </w:r>
            <w:proofErr w:type="spellEnd"/>
            <w:r w:rsidRPr="00812E60">
              <w:rPr>
                <w:sz w:val="18"/>
                <w:szCs w:val="20"/>
                <w:lang w:val="en-GB" w:eastAsia="zh-CN"/>
              </w:rPr>
              <w:t xml:space="preserve"> + NR </w:t>
            </w:r>
            <w:r w:rsidR="003C7BCD">
              <w:rPr>
                <w:sz w:val="18"/>
                <w:szCs w:val="20"/>
                <w:lang w:val="en-GB" w:eastAsia="zh-CN"/>
              </w:rPr>
              <w:t xml:space="preserve">FR2 </w:t>
            </w:r>
            <w:proofErr w:type="spellStart"/>
            <w:r w:rsidRPr="00812E60">
              <w:rPr>
                <w:sz w:val="18"/>
                <w:szCs w:val="20"/>
                <w:lang w:val="en-GB" w:eastAsia="zh-CN"/>
              </w:rPr>
              <w:t>SCell</w:t>
            </w:r>
            <w:proofErr w:type="spellEnd"/>
            <w:r w:rsidRPr="00812E60">
              <w:rPr>
                <w:sz w:val="18"/>
                <w:szCs w:val="20"/>
                <w:lang w:val="en-GB" w:eastAsia="zh-CN"/>
              </w:rPr>
              <w:t>)</w:t>
            </w:r>
          </w:p>
          <w:p w14:paraId="45EF3100" w14:textId="68C93800" w:rsidR="00B97082" w:rsidRPr="00812E60" w:rsidRDefault="00B97082" w:rsidP="00BD4DC8">
            <w:pPr>
              <w:rPr>
                <w:sz w:val="18"/>
                <w:szCs w:val="20"/>
                <w:lang w:val="en-GB" w:eastAsia="zh-CN"/>
              </w:rPr>
            </w:pPr>
            <w:r w:rsidRPr="00812E60">
              <w:rPr>
                <w:sz w:val="18"/>
                <w:szCs w:val="20"/>
                <w:lang w:val="en-GB" w:eastAsia="zh-CN"/>
              </w:rPr>
              <w:t>TC3: SA with NR FR1 cell (</w:t>
            </w:r>
            <w:r w:rsidR="003C7BCD">
              <w:rPr>
                <w:sz w:val="18"/>
                <w:szCs w:val="20"/>
                <w:lang w:val="en-GB" w:eastAsia="zh-CN"/>
              </w:rPr>
              <w:t xml:space="preserve">NR FR1 </w:t>
            </w:r>
            <w:proofErr w:type="spellStart"/>
            <w:r w:rsidRPr="00812E60">
              <w:rPr>
                <w:sz w:val="18"/>
                <w:szCs w:val="20"/>
                <w:lang w:val="en-GB" w:eastAsia="zh-CN"/>
              </w:rPr>
              <w:t>PCell</w:t>
            </w:r>
            <w:proofErr w:type="spellEnd"/>
            <w:r w:rsidRPr="00812E60">
              <w:rPr>
                <w:sz w:val="18"/>
                <w:szCs w:val="20"/>
                <w:lang w:val="en-GB" w:eastAsia="zh-CN"/>
              </w:rPr>
              <w:t xml:space="preserve"> + </w:t>
            </w:r>
            <w:r w:rsidR="003C7BCD">
              <w:rPr>
                <w:sz w:val="18"/>
                <w:szCs w:val="20"/>
                <w:lang w:val="en-GB" w:eastAsia="zh-CN"/>
              </w:rPr>
              <w:t xml:space="preserve">NR FR1 </w:t>
            </w:r>
            <w:proofErr w:type="spellStart"/>
            <w:r w:rsidRPr="00812E60">
              <w:rPr>
                <w:sz w:val="18"/>
                <w:szCs w:val="20"/>
                <w:lang w:val="en-GB" w:eastAsia="zh-CN"/>
              </w:rPr>
              <w:t>SCell</w:t>
            </w:r>
            <w:proofErr w:type="spellEnd"/>
            <w:r w:rsidR="003C7BCD">
              <w:rPr>
                <w:sz w:val="18"/>
                <w:szCs w:val="20"/>
                <w:lang w:val="en-GB" w:eastAsia="zh-CN"/>
              </w:rPr>
              <w:t xml:space="preserve"> + NR FR1 </w:t>
            </w:r>
            <w:proofErr w:type="spellStart"/>
            <w:r w:rsidR="003C7BCD">
              <w:rPr>
                <w:sz w:val="18"/>
                <w:szCs w:val="20"/>
                <w:lang w:val="en-GB" w:eastAsia="zh-CN"/>
              </w:rPr>
              <w:t>SCell</w:t>
            </w:r>
            <w:proofErr w:type="spellEnd"/>
            <w:r w:rsidRPr="00812E60">
              <w:rPr>
                <w:sz w:val="18"/>
                <w:szCs w:val="20"/>
                <w:lang w:val="en-GB" w:eastAsia="zh-CN"/>
              </w:rPr>
              <w:t>)</w:t>
            </w:r>
          </w:p>
          <w:p w14:paraId="64E8E4B5" w14:textId="746CF927" w:rsidR="00B97082" w:rsidRPr="00812E60" w:rsidRDefault="00B97082" w:rsidP="00BD4DC8">
            <w:pPr>
              <w:rPr>
                <w:sz w:val="18"/>
                <w:szCs w:val="20"/>
                <w:lang w:val="en-GB" w:eastAsia="zh-CN"/>
              </w:rPr>
            </w:pPr>
            <w:r w:rsidRPr="00812E60">
              <w:rPr>
                <w:sz w:val="18"/>
                <w:szCs w:val="20"/>
                <w:lang w:val="en-GB" w:eastAsia="zh-CN"/>
              </w:rPr>
              <w:t>TC4: SA with NR FR2 cell (</w:t>
            </w:r>
            <w:r w:rsidR="003C7BCD">
              <w:rPr>
                <w:sz w:val="18"/>
                <w:szCs w:val="20"/>
                <w:lang w:val="en-GB" w:eastAsia="zh-CN"/>
              </w:rPr>
              <w:t xml:space="preserve">NR FR2 </w:t>
            </w:r>
            <w:proofErr w:type="spellStart"/>
            <w:r w:rsidRPr="00812E60">
              <w:rPr>
                <w:sz w:val="18"/>
                <w:szCs w:val="20"/>
                <w:lang w:val="en-GB" w:eastAsia="zh-CN"/>
              </w:rPr>
              <w:t>PCell</w:t>
            </w:r>
            <w:proofErr w:type="spellEnd"/>
            <w:r w:rsidRPr="00812E60">
              <w:rPr>
                <w:sz w:val="18"/>
                <w:szCs w:val="20"/>
                <w:lang w:val="en-GB" w:eastAsia="zh-CN"/>
              </w:rPr>
              <w:t xml:space="preserve"> +</w:t>
            </w:r>
            <w:r w:rsidR="003C7BCD" w:rsidRPr="003C7BCD">
              <w:rPr>
                <w:sz w:val="18"/>
                <w:szCs w:val="20"/>
                <w:lang w:val="en-GB" w:eastAsia="zh-CN"/>
              </w:rPr>
              <w:t xml:space="preserve"> NR FR2 </w:t>
            </w:r>
            <w:proofErr w:type="spellStart"/>
            <w:r w:rsidR="003C7BCD" w:rsidRPr="003C7BCD">
              <w:rPr>
                <w:sz w:val="18"/>
                <w:szCs w:val="20"/>
                <w:lang w:val="en-GB" w:eastAsia="zh-CN"/>
              </w:rPr>
              <w:t>SCell</w:t>
            </w:r>
            <w:proofErr w:type="spellEnd"/>
            <w:r w:rsidR="003C7BCD" w:rsidRPr="003C7BCD">
              <w:rPr>
                <w:sz w:val="18"/>
                <w:szCs w:val="20"/>
                <w:lang w:val="en-GB" w:eastAsia="zh-CN"/>
              </w:rPr>
              <w:t xml:space="preserve"> + NR FR2 </w:t>
            </w:r>
            <w:proofErr w:type="spellStart"/>
            <w:r w:rsidR="003C7BCD" w:rsidRPr="003C7BCD">
              <w:rPr>
                <w:sz w:val="18"/>
                <w:szCs w:val="20"/>
                <w:lang w:val="en-GB" w:eastAsia="zh-CN"/>
              </w:rPr>
              <w:t>SCell</w:t>
            </w:r>
            <w:proofErr w:type="spellEnd"/>
            <w:r w:rsidRPr="00812E60">
              <w:rPr>
                <w:sz w:val="18"/>
                <w:szCs w:val="20"/>
                <w:lang w:val="en-GB" w:eastAsia="zh-CN"/>
              </w:rPr>
              <w:t>)</w:t>
            </w:r>
          </w:p>
        </w:tc>
      </w:tr>
    </w:tbl>
    <w:p w14:paraId="70566C9B" w14:textId="77777777" w:rsidR="00B97082" w:rsidRPr="00B97082" w:rsidRDefault="00B97082" w:rsidP="00B97082"/>
    <w:bookmarkEnd w:id="6"/>
    <w:p w14:paraId="44F4464B" w14:textId="77777777" w:rsidR="00CD7492" w:rsidRDefault="00CD7492" w:rsidP="00A37002">
      <w:pPr>
        <w:pStyle w:val="RAN4H1"/>
      </w:pPr>
      <w:r w:rsidRPr="00A37002">
        <w:t>Conclusion</w:t>
      </w:r>
    </w:p>
    <w:p w14:paraId="6A397892" w14:textId="27911F2A" w:rsidR="005C23A4" w:rsidRDefault="00B02B34" w:rsidP="005C23A4">
      <w:pPr>
        <w:rPr>
          <w:lang w:val="en-GB"/>
        </w:rPr>
      </w:pPr>
      <w:r w:rsidRPr="00B02B34">
        <w:rPr>
          <w:lang w:val="en-GB"/>
        </w:rPr>
        <w:t>In this contribution we have discussed</w:t>
      </w:r>
      <w:r w:rsidR="002A42A4">
        <w:rPr>
          <w:lang w:val="en-GB"/>
        </w:rPr>
        <w:t xml:space="preserve"> </w:t>
      </w:r>
      <w:r w:rsidR="00B97082">
        <w:rPr>
          <w:lang w:val="en-GB"/>
        </w:rPr>
        <w:t>the test cases for</w:t>
      </w:r>
      <w:r w:rsidR="00E4031F" w:rsidRPr="00E4031F">
        <w:rPr>
          <w:lang w:val="en-GB"/>
        </w:rPr>
        <w:t xml:space="preserve"> RRC based BWP switch </w:t>
      </w:r>
      <w:r w:rsidR="00B97082">
        <w:rPr>
          <w:lang w:val="en-GB"/>
        </w:rPr>
        <w:t xml:space="preserve">on multiple CCs. </w:t>
      </w:r>
      <w:r w:rsidRPr="00B02B34">
        <w:rPr>
          <w:lang w:val="en-GB"/>
        </w:rPr>
        <w:t>We have made the following proposals:</w:t>
      </w:r>
    </w:p>
    <w:p w14:paraId="1CC7CABC" w14:textId="77777777" w:rsidR="00310DA3" w:rsidRPr="00BA7C2E" w:rsidRDefault="00310DA3" w:rsidP="00310DA3">
      <w:pPr>
        <w:pStyle w:val="RAN4Observation"/>
        <w:numPr>
          <w:ilvl w:val="0"/>
          <w:numId w:val="37"/>
        </w:numPr>
      </w:pPr>
      <w:r>
        <w:t>RAN4 shall support RRC-based simultaneous BWP switch on multiple CCs</w:t>
      </w:r>
      <w:r w:rsidRPr="00BA7C2E">
        <w:t>.</w:t>
      </w:r>
    </w:p>
    <w:p w14:paraId="36D0D7D4" w14:textId="77777777" w:rsidR="00310DA3" w:rsidRPr="00310DA3" w:rsidRDefault="00310DA3" w:rsidP="00310DA3">
      <w:pPr>
        <w:pStyle w:val="RAN4Proposal0"/>
        <w:numPr>
          <w:ilvl w:val="0"/>
          <w:numId w:val="38"/>
        </w:numPr>
        <w:spacing w:after="200" w:line="240" w:lineRule="auto"/>
        <w:rPr>
          <w:rFonts w:eastAsiaTheme="minorHAnsi"/>
          <w:iCs/>
          <w:szCs w:val="18"/>
        </w:rPr>
      </w:pPr>
      <w:r w:rsidRPr="00310DA3">
        <w:rPr>
          <w:rFonts w:eastAsiaTheme="minorHAnsi"/>
          <w:iCs/>
          <w:szCs w:val="18"/>
        </w:rPr>
        <w:t xml:space="preserve">The test case list for RRC based simultaneous BWP switch on multiple CCs shall be: </w:t>
      </w:r>
    </w:p>
    <w:tbl>
      <w:tblPr>
        <w:tblStyle w:val="TableGrid"/>
        <w:tblW w:w="9634" w:type="dxa"/>
        <w:tblLook w:val="04A0" w:firstRow="1" w:lastRow="0" w:firstColumn="1" w:lastColumn="0" w:noHBand="0" w:noVBand="1"/>
      </w:tblPr>
      <w:tblGrid>
        <w:gridCol w:w="2972"/>
        <w:gridCol w:w="6662"/>
      </w:tblGrid>
      <w:tr w:rsidR="00310DA3" w14:paraId="359F7108" w14:textId="77777777" w:rsidTr="00BD4DC8">
        <w:tc>
          <w:tcPr>
            <w:tcW w:w="2972" w:type="dxa"/>
          </w:tcPr>
          <w:p w14:paraId="04F4A687" w14:textId="77777777" w:rsidR="00310DA3" w:rsidRDefault="00310DA3" w:rsidP="00BD4DC8">
            <w:pPr>
              <w:rPr>
                <w:rFonts w:ascii="Calibri" w:hAnsi="Calibri" w:cs="Calibri"/>
                <w:color w:val="00B050"/>
                <w:sz w:val="22"/>
              </w:rPr>
            </w:pPr>
          </w:p>
        </w:tc>
        <w:tc>
          <w:tcPr>
            <w:tcW w:w="6662" w:type="dxa"/>
          </w:tcPr>
          <w:p w14:paraId="38A53999" w14:textId="77777777" w:rsidR="00310DA3" w:rsidRPr="00812E60" w:rsidRDefault="00310DA3" w:rsidP="00BD4DC8">
            <w:pPr>
              <w:jc w:val="center"/>
              <w:rPr>
                <w:b/>
                <w:bCs/>
                <w:lang w:val="en-GB" w:eastAsia="zh-CN"/>
              </w:rPr>
            </w:pPr>
            <w:r w:rsidRPr="00812E60">
              <w:rPr>
                <w:b/>
                <w:bCs/>
                <w:lang w:val="en-GB" w:eastAsia="zh-CN"/>
              </w:rPr>
              <w:t>Test cases</w:t>
            </w:r>
          </w:p>
        </w:tc>
      </w:tr>
      <w:tr w:rsidR="00310DA3" w14:paraId="1D47D751" w14:textId="77777777" w:rsidTr="00BD4DC8">
        <w:tc>
          <w:tcPr>
            <w:tcW w:w="2972" w:type="dxa"/>
          </w:tcPr>
          <w:p w14:paraId="40C02090" w14:textId="77777777" w:rsidR="00310DA3" w:rsidRPr="008D4CCB" w:rsidRDefault="00310DA3" w:rsidP="00BD4DC8">
            <w:pPr>
              <w:rPr>
                <w:lang w:val="en-GB" w:eastAsia="zh-CN"/>
              </w:rPr>
            </w:pPr>
            <w:r w:rsidRPr="008D4CCB">
              <w:rPr>
                <w:lang w:val="en-GB" w:eastAsia="zh-CN"/>
              </w:rPr>
              <w:t>RRC based simultaneous BWP switch on multiple CCs</w:t>
            </w:r>
          </w:p>
        </w:tc>
        <w:tc>
          <w:tcPr>
            <w:tcW w:w="6662" w:type="dxa"/>
          </w:tcPr>
          <w:p w14:paraId="25AE1A4B" w14:textId="77777777" w:rsidR="00310DA3" w:rsidRPr="00812E60" w:rsidRDefault="00310DA3" w:rsidP="00BD4DC8">
            <w:pPr>
              <w:rPr>
                <w:sz w:val="18"/>
                <w:szCs w:val="20"/>
                <w:lang w:val="en-GB" w:eastAsia="zh-CN"/>
              </w:rPr>
            </w:pPr>
            <w:r w:rsidRPr="00812E60">
              <w:rPr>
                <w:sz w:val="18"/>
                <w:szCs w:val="20"/>
                <w:lang w:val="en-GB" w:eastAsia="zh-CN"/>
              </w:rPr>
              <w:t xml:space="preserve">TC1: EN-DC with NR FR1 cell (E-UTRAN </w:t>
            </w:r>
            <w:proofErr w:type="spellStart"/>
            <w:r w:rsidRPr="00812E60">
              <w:rPr>
                <w:sz w:val="18"/>
                <w:szCs w:val="20"/>
                <w:lang w:val="en-GB" w:eastAsia="zh-CN"/>
              </w:rPr>
              <w:t>PCell</w:t>
            </w:r>
            <w:proofErr w:type="spellEnd"/>
            <w:r w:rsidRPr="00812E60">
              <w:rPr>
                <w:sz w:val="18"/>
                <w:szCs w:val="20"/>
                <w:lang w:val="en-GB" w:eastAsia="zh-CN"/>
              </w:rPr>
              <w:t xml:space="preserve"> + NR</w:t>
            </w:r>
            <w:r>
              <w:rPr>
                <w:sz w:val="18"/>
                <w:szCs w:val="20"/>
                <w:lang w:val="en-GB" w:eastAsia="zh-CN"/>
              </w:rPr>
              <w:t xml:space="preserve"> FR1</w:t>
            </w:r>
            <w:r w:rsidRPr="00812E60">
              <w:rPr>
                <w:sz w:val="18"/>
                <w:szCs w:val="20"/>
                <w:lang w:val="en-GB" w:eastAsia="zh-CN"/>
              </w:rPr>
              <w:t xml:space="preserve"> </w:t>
            </w:r>
            <w:proofErr w:type="spellStart"/>
            <w:r w:rsidRPr="00812E60">
              <w:rPr>
                <w:sz w:val="18"/>
                <w:szCs w:val="20"/>
                <w:lang w:val="en-GB" w:eastAsia="zh-CN"/>
              </w:rPr>
              <w:t>PSCell</w:t>
            </w:r>
            <w:proofErr w:type="spellEnd"/>
            <w:r w:rsidRPr="00812E60">
              <w:rPr>
                <w:sz w:val="18"/>
                <w:szCs w:val="20"/>
                <w:lang w:val="en-GB" w:eastAsia="zh-CN"/>
              </w:rPr>
              <w:t xml:space="preserve"> + NR</w:t>
            </w:r>
            <w:r>
              <w:rPr>
                <w:sz w:val="18"/>
                <w:szCs w:val="20"/>
                <w:lang w:val="en-GB" w:eastAsia="zh-CN"/>
              </w:rPr>
              <w:t xml:space="preserve"> FR1</w:t>
            </w:r>
            <w:r w:rsidRPr="00812E60">
              <w:rPr>
                <w:sz w:val="18"/>
                <w:szCs w:val="20"/>
                <w:lang w:val="en-GB" w:eastAsia="zh-CN"/>
              </w:rPr>
              <w:t xml:space="preserve"> </w:t>
            </w:r>
            <w:proofErr w:type="spellStart"/>
            <w:r w:rsidRPr="00812E60">
              <w:rPr>
                <w:sz w:val="18"/>
                <w:szCs w:val="20"/>
                <w:lang w:val="en-GB" w:eastAsia="zh-CN"/>
              </w:rPr>
              <w:t>SCell</w:t>
            </w:r>
            <w:proofErr w:type="spellEnd"/>
            <w:r w:rsidRPr="00812E60">
              <w:rPr>
                <w:sz w:val="18"/>
                <w:szCs w:val="20"/>
                <w:lang w:val="en-GB" w:eastAsia="zh-CN"/>
              </w:rPr>
              <w:t>)</w:t>
            </w:r>
          </w:p>
          <w:p w14:paraId="23336AE4" w14:textId="77777777" w:rsidR="00310DA3" w:rsidRPr="00812E60" w:rsidRDefault="00310DA3" w:rsidP="00BD4DC8">
            <w:pPr>
              <w:rPr>
                <w:sz w:val="18"/>
                <w:szCs w:val="20"/>
                <w:lang w:val="en-GB" w:eastAsia="zh-CN"/>
              </w:rPr>
            </w:pPr>
            <w:r w:rsidRPr="00812E60">
              <w:rPr>
                <w:sz w:val="18"/>
                <w:szCs w:val="20"/>
                <w:lang w:val="en-GB" w:eastAsia="zh-CN"/>
              </w:rPr>
              <w:t xml:space="preserve">TC2: EN-DC with NR FR2 cell (E-UTRAN </w:t>
            </w:r>
            <w:proofErr w:type="spellStart"/>
            <w:r w:rsidRPr="00812E60">
              <w:rPr>
                <w:sz w:val="18"/>
                <w:szCs w:val="20"/>
                <w:lang w:val="en-GB" w:eastAsia="zh-CN"/>
              </w:rPr>
              <w:t>PCell</w:t>
            </w:r>
            <w:proofErr w:type="spellEnd"/>
            <w:r w:rsidRPr="00812E60">
              <w:rPr>
                <w:sz w:val="18"/>
                <w:szCs w:val="20"/>
                <w:lang w:val="en-GB" w:eastAsia="zh-CN"/>
              </w:rPr>
              <w:t xml:space="preserve"> + NR </w:t>
            </w:r>
            <w:r>
              <w:rPr>
                <w:sz w:val="18"/>
                <w:szCs w:val="20"/>
                <w:lang w:val="en-GB" w:eastAsia="zh-CN"/>
              </w:rPr>
              <w:t xml:space="preserve">FR2 </w:t>
            </w:r>
            <w:proofErr w:type="spellStart"/>
            <w:r w:rsidRPr="00812E60">
              <w:rPr>
                <w:sz w:val="18"/>
                <w:szCs w:val="20"/>
                <w:lang w:val="en-GB" w:eastAsia="zh-CN"/>
              </w:rPr>
              <w:t>PSCell</w:t>
            </w:r>
            <w:proofErr w:type="spellEnd"/>
            <w:r w:rsidRPr="00812E60">
              <w:rPr>
                <w:sz w:val="18"/>
                <w:szCs w:val="20"/>
                <w:lang w:val="en-GB" w:eastAsia="zh-CN"/>
              </w:rPr>
              <w:t xml:space="preserve"> + NR </w:t>
            </w:r>
            <w:r>
              <w:rPr>
                <w:sz w:val="18"/>
                <w:szCs w:val="20"/>
                <w:lang w:val="en-GB" w:eastAsia="zh-CN"/>
              </w:rPr>
              <w:t xml:space="preserve">FR2 </w:t>
            </w:r>
            <w:proofErr w:type="spellStart"/>
            <w:r w:rsidRPr="00812E60">
              <w:rPr>
                <w:sz w:val="18"/>
                <w:szCs w:val="20"/>
                <w:lang w:val="en-GB" w:eastAsia="zh-CN"/>
              </w:rPr>
              <w:t>SCell</w:t>
            </w:r>
            <w:proofErr w:type="spellEnd"/>
            <w:r w:rsidRPr="00812E60">
              <w:rPr>
                <w:sz w:val="18"/>
                <w:szCs w:val="20"/>
                <w:lang w:val="en-GB" w:eastAsia="zh-CN"/>
              </w:rPr>
              <w:t>)</w:t>
            </w:r>
          </w:p>
          <w:p w14:paraId="069876C9" w14:textId="77777777" w:rsidR="00310DA3" w:rsidRPr="00812E60" w:rsidRDefault="00310DA3" w:rsidP="00BD4DC8">
            <w:pPr>
              <w:rPr>
                <w:sz w:val="18"/>
                <w:szCs w:val="20"/>
                <w:lang w:val="en-GB" w:eastAsia="zh-CN"/>
              </w:rPr>
            </w:pPr>
            <w:r w:rsidRPr="00812E60">
              <w:rPr>
                <w:sz w:val="18"/>
                <w:szCs w:val="20"/>
                <w:lang w:val="en-GB" w:eastAsia="zh-CN"/>
              </w:rPr>
              <w:t>TC3: SA with NR FR1 cell (</w:t>
            </w:r>
            <w:r>
              <w:rPr>
                <w:sz w:val="18"/>
                <w:szCs w:val="20"/>
                <w:lang w:val="en-GB" w:eastAsia="zh-CN"/>
              </w:rPr>
              <w:t xml:space="preserve">NR FR1 </w:t>
            </w:r>
            <w:proofErr w:type="spellStart"/>
            <w:r w:rsidRPr="00812E60">
              <w:rPr>
                <w:sz w:val="18"/>
                <w:szCs w:val="20"/>
                <w:lang w:val="en-GB" w:eastAsia="zh-CN"/>
              </w:rPr>
              <w:t>PCell</w:t>
            </w:r>
            <w:proofErr w:type="spellEnd"/>
            <w:r w:rsidRPr="00812E60">
              <w:rPr>
                <w:sz w:val="18"/>
                <w:szCs w:val="20"/>
                <w:lang w:val="en-GB" w:eastAsia="zh-CN"/>
              </w:rPr>
              <w:t xml:space="preserve"> + </w:t>
            </w:r>
            <w:r>
              <w:rPr>
                <w:sz w:val="18"/>
                <w:szCs w:val="20"/>
                <w:lang w:val="en-GB" w:eastAsia="zh-CN"/>
              </w:rPr>
              <w:t xml:space="preserve">NR FR1 </w:t>
            </w:r>
            <w:proofErr w:type="spellStart"/>
            <w:r w:rsidRPr="00812E60">
              <w:rPr>
                <w:sz w:val="18"/>
                <w:szCs w:val="20"/>
                <w:lang w:val="en-GB" w:eastAsia="zh-CN"/>
              </w:rPr>
              <w:t>SCell</w:t>
            </w:r>
            <w:proofErr w:type="spellEnd"/>
            <w:r>
              <w:rPr>
                <w:sz w:val="18"/>
                <w:szCs w:val="20"/>
                <w:lang w:val="en-GB" w:eastAsia="zh-CN"/>
              </w:rPr>
              <w:t xml:space="preserve"> + NR FR1 </w:t>
            </w:r>
            <w:proofErr w:type="spellStart"/>
            <w:r>
              <w:rPr>
                <w:sz w:val="18"/>
                <w:szCs w:val="20"/>
                <w:lang w:val="en-GB" w:eastAsia="zh-CN"/>
              </w:rPr>
              <w:t>SCell</w:t>
            </w:r>
            <w:proofErr w:type="spellEnd"/>
            <w:r w:rsidRPr="00812E60">
              <w:rPr>
                <w:sz w:val="18"/>
                <w:szCs w:val="20"/>
                <w:lang w:val="en-GB" w:eastAsia="zh-CN"/>
              </w:rPr>
              <w:t>)</w:t>
            </w:r>
          </w:p>
          <w:p w14:paraId="2211BB36" w14:textId="77777777" w:rsidR="00310DA3" w:rsidRPr="00812E60" w:rsidRDefault="00310DA3" w:rsidP="00BD4DC8">
            <w:pPr>
              <w:rPr>
                <w:sz w:val="18"/>
                <w:szCs w:val="20"/>
                <w:lang w:val="en-GB" w:eastAsia="zh-CN"/>
              </w:rPr>
            </w:pPr>
            <w:r w:rsidRPr="00812E60">
              <w:rPr>
                <w:sz w:val="18"/>
                <w:szCs w:val="20"/>
                <w:lang w:val="en-GB" w:eastAsia="zh-CN"/>
              </w:rPr>
              <w:t>TC4: SA with NR FR2 cell (</w:t>
            </w:r>
            <w:r>
              <w:rPr>
                <w:sz w:val="18"/>
                <w:szCs w:val="20"/>
                <w:lang w:val="en-GB" w:eastAsia="zh-CN"/>
              </w:rPr>
              <w:t xml:space="preserve">NR FR2 </w:t>
            </w:r>
            <w:proofErr w:type="spellStart"/>
            <w:r w:rsidRPr="00812E60">
              <w:rPr>
                <w:sz w:val="18"/>
                <w:szCs w:val="20"/>
                <w:lang w:val="en-GB" w:eastAsia="zh-CN"/>
              </w:rPr>
              <w:t>PCell</w:t>
            </w:r>
            <w:proofErr w:type="spellEnd"/>
            <w:r w:rsidRPr="00812E60">
              <w:rPr>
                <w:sz w:val="18"/>
                <w:szCs w:val="20"/>
                <w:lang w:val="en-GB" w:eastAsia="zh-CN"/>
              </w:rPr>
              <w:t xml:space="preserve"> +</w:t>
            </w:r>
            <w:r w:rsidRPr="003C7BCD">
              <w:rPr>
                <w:sz w:val="18"/>
                <w:szCs w:val="20"/>
                <w:lang w:val="en-GB" w:eastAsia="zh-CN"/>
              </w:rPr>
              <w:t xml:space="preserve"> NR FR2 </w:t>
            </w:r>
            <w:proofErr w:type="spellStart"/>
            <w:r w:rsidRPr="003C7BCD">
              <w:rPr>
                <w:sz w:val="18"/>
                <w:szCs w:val="20"/>
                <w:lang w:val="en-GB" w:eastAsia="zh-CN"/>
              </w:rPr>
              <w:t>SCell</w:t>
            </w:r>
            <w:proofErr w:type="spellEnd"/>
            <w:r w:rsidRPr="003C7BCD">
              <w:rPr>
                <w:sz w:val="18"/>
                <w:szCs w:val="20"/>
                <w:lang w:val="en-GB" w:eastAsia="zh-CN"/>
              </w:rPr>
              <w:t xml:space="preserve"> + NR FR2 </w:t>
            </w:r>
            <w:proofErr w:type="spellStart"/>
            <w:r w:rsidRPr="003C7BCD">
              <w:rPr>
                <w:sz w:val="18"/>
                <w:szCs w:val="20"/>
                <w:lang w:val="en-GB" w:eastAsia="zh-CN"/>
              </w:rPr>
              <w:t>SCell</w:t>
            </w:r>
            <w:proofErr w:type="spellEnd"/>
            <w:r w:rsidRPr="00812E60">
              <w:rPr>
                <w:sz w:val="18"/>
                <w:szCs w:val="20"/>
                <w:lang w:val="en-GB" w:eastAsia="zh-CN"/>
              </w:rPr>
              <w:t>)</w:t>
            </w:r>
          </w:p>
        </w:tc>
      </w:tr>
    </w:tbl>
    <w:p w14:paraId="681C09F4" w14:textId="77777777" w:rsidR="00310DA3" w:rsidRPr="00B97082" w:rsidRDefault="00310DA3" w:rsidP="00310DA3"/>
    <w:p w14:paraId="39D36443" w14:textId="77777777" w:rsidR="003B659E" w:rsidRPr="0095295C" w:rsidRDefault="003B659E" w:rsidP="005C23A4">
      <w:pPr>
        <w:pStyle w:val="RAN4H1"/>
        <w:numPr>
          <w:ilvl w:val="0"/>
          <w:numId w:val="0"/>
        </w:numPr>
        <w:ind w:left="360" w:hanging="360"/>
      </w:pPr>
      <w:r w:rsidRPr="0095295C">
        <w:t>References</w:t>
      </w:r>
    </w:p>
    <w:p w14:paraId="29BF877C" w14:textId="095035F0" w:rsidR="00F43D53" w:rsidRDefault="0007361D" w:rsidP="00387971">
      <w:pPr>
        <w:pStyle w:val="ListParagraph"/>
        <w:numPr>
          <w:ilvl w:val="0"/>
          <w:numId w:val="5"/>
        </w:numPr>
        <w:ind w:right="-22"/>
        <w:rPr>
          <w:lang w:val="en-GB"/>
        </w:rPr>
      </w:pPr>
      <w:r w:rsidRPr="0007361D">
        <w:rPr>
          <w:lang w:val="en-GB"/>
        </w:rPr>
        <w:t>R4-2017040</w:t>
      </w:r>
      <w:r w:rsidRPr="0007361D">
        <w:rPr>
          <w:lang w:val="en-GB"/>
        </w:rPr>
        <w:tab/>
        <w:t xml:space="preserve">LS on RRC based BWP switching for </w:t>
      </w:r>
      <w:proofErr w:type="spellStart"/>
      <w:r w:rsidRPr="0007361D">
        <w:rPr>
          <w:lang w:val="en-GB"/>
        </w:rPr>
        <w:t>SCell</w:t>
      </w:r>
      <w:proofErr w:type="spellEnd"/>
      <w:r w:rsidR="00F43D53">
        <w:rPr>
          <w:lang w:val="en-GB"/>
        </w:rPr>
        <w:t xml:space="preserve">, </w:t>
      </w:r>
      <w:r>
        <w:rPr>
          <w:lang w:val="en-GB"/>
        </w:rPr>
        <w:t>Apple</w:t>
      </w:r>
    </w:p>
    <w:p w14:paraId="3EDB965F" w14:textId="21C182E1" w:rsidR="00C7357D" w:rsidRDefault="0007361D" w:rsidP="006977A6">
      <w:pPr>
        <w:pStyle w:val="ListParagraph"/>
        <w:numPr>
          <w:ilvl w:val="0"/>
          <w:numId w:val="5"/>
        </w:numPr>
        <w:ind w:right="-22"/>
        <w:rPr>
          <w:lang w:val="en-GB"/>
        </w:rPr>
      </w:pPr>
      <w:r w:rsidRPr="0007361D">
        <w:rPr>
          <w:lang w:val="en-GB"/>
        </w:rPr>
        <w:t>R2-2102476</w:t>
      </w:r>
      <w:r>
        <w:rPr>
          <w:lang w:val="en-GB"/>
        </w:rPr>
        <w:t xml:space="preserve"> </w:t>
      </w:r>
      <w:r w:rsidRPr="0007361D">
        <w:rPr>
          <w:lang w:val="en-GB"/>
        </w:rPr>
        <w:t>LS Reply on RRC based BWP switch</w:t>
      </w:r>
      <w:r>
        <w:rPr>
          <w:lang w:val="en-GB"/>
        </w:rPr>
        <w:t>, Apple</w:t>
      </w:r>
    </w:p>
    <w:p w14:paraId="17C6C523" w14:textId="5A9F81DD" w:rsidR="00D534C7" w:rsidRPr="0007361D" w:rsidRDefault="00D534C7" w:rsidP="006977A6">
      <w:pPr>
        <w:pStyle w:val="ListParagraph"/>
        <w:numPr>
          <w:ilvl w:val="0"/>
          <w:numId w:val="5"/>
        </w:numPr>
        <w:ind w:right="-22"/>
        <w:rPr>
          <w:lang w:val="en-GB"/>
        </w:rPr>
      </w:pPr>
      <w:bookmarkStart w:id="7" w:name="_Hlk68259401"/>
      <w:r w:rsidRPr="00D534C7">
        <w:rPr>
          <w:lang w:val="en-GB"/>
        </w:rPr>
        <w:t>R4-2103619</w:t>
      </w:r>
      <w:r w:rsidRPr="00D534C7">
        <w:rPr>
          <w:lang w:val="en-GB"/>
        </w:rPr>
        <w:tab/>
        <w:t>WF on R16 RRM enhancement part 1 – BWP switching, UL spatial relation switch</w:t>
      </w:r>
      <w:r>
        <w:rPr>
          <w:lang w:val="en-GB"/>
        </w:rPr>
        <w:t>, Intel</w:t>
      </w:r>
    </w:p>
    <w:bookmarkEnd w:id="7"/>
    <w:p w14:paraId="6893A24D" w14:textId="7F970A9E" w:rsidR="00CA6643" w:rsidRPr="00E36A42" w:rsidRDefault="00EB1DE1" w:rsidP="00CA6643">
      <w:pPr>
        <w:pStyle w:val="ListParagraph"/>
        <w:numPr>
          <w:ilvl w:val="0"/>
          <w:numId w:val="5"/>
        </w:numPr>
        <w:ind w:right="-22"/>
        <w:rPr>
          <w:lang w:val="en-GB"/>
        </w:rPr>
      </w:pPr>
      <w:r w:rsidRPr="00EB1DE1">
        <w:rPr>
          <w:lang w:val="en-GB"/>
        </w:rPr>
        <w:t>R4-2107221</w:t>
      </w:r>
      <w:r w:rsidR="00CA6643" w:rsidRPr="00C7357D">
        <w:rPr>
          <w:lang w:val="en-GB"/>
        </w:rPr>
        <w:tab/>
      </w:r>
      <w:r w:rsidR="005B5C57">
        <w:rPr>
          <w:lang w:val="en-GB"/>
        </w:rPr>
        <w:t>Discussion</w:t>
      </w:r>
      <w:r w:rsidR="00CA6643">
        <w:rPr>
          <w:lang w:val="en-GB"/>
        </w:rPr>
        <w:t xml:space="preserve"> on RRC-based BWP switch on </w:t>
      </w:r>
      <w:r w:rsidR="00D143F2">
        <w:rPr>
          <w:lang w:val="en-GB"/>
        </w:rPr>
        <w:t>multiple</w:t>
      </w:r>
      <w:r w:rsidR="00CA6643">
        <w:rPr>
          <w:lang w:val="en-GB"/>
        </w:rPr>
        <w:t xml:space="preserve"> CC</w:t>
      </w:r>
      <w:r w:rsidR="00D143F2">
        <w:rPr>
          <w:lang w:val="en-GB"/>
        </w:rPr>
        <w:t>s</w:t>
      </w:r>
      <w:r w:rsidR="00CA6643">
        <w:rPr>
          <w:lang w:val="en-GB"/>
        </w:rPr>
        <w:t>, Nokia, Nokia Shanghai Bell</w:t>
      </w:r>
    </w:p>
    <w:p w14:paraId="03FEFF45" w14:textId="77777777" w:rsidR="00CA6643" w:rsidRPr="00E36A42" w:rsidRDefault="00CA6643" w:rsidP="00CA6643">
      <w:pPr>
        <w:pStyle w:val="ListParagraph"/>
        <w:ind w:left="360" w:right="-22"/>
        <w:rPr>
          <w:lang w:val="en-GB"/>
        </w:rPr>
      </w:pPr>
      <w:bookmarkStart w:id="8" w:name="_GoBack"/>
      <w:bookmarkEnd w:id="8"/>
    </w:p>
    <w:sectPr w:rsidR="00CA6643" w:rsidRPr="00E36A4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F409F" w14:textId="77777777" w:rsidR="00A4784A" w:rsidRDefault="00A4784A" w:rsidP="00001C9B">
      <w:pPr>
        <w:spacing w:after="0" w:line="240" w:lineRule="auto"/>
      </w:pPr>
      <w:r>
        <w:separator/>
      </w:r>
    </w:p>
  </w:endnote>
  <w:endnote w:type="continuationSeparator" w:id="0">
    <w:p w14:paraId="22C8B0DB" w14:textId="77777777" w:rsidR="00A4784A" w:rsidRDefault="00A478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81071" w14:textId="77777777" w:rsidR="00A4784A" w:rsidRDefault="00A4784A" w:rsidP="00001C9B">
      <w:pPr>
        <w:spacing w:after="0" w:line="240" w:lineRule="auto"/>
      </w:pPr>
      <w:r>
        <w:separator/>
      </w:r>
    </w:p>
  </w:footnote>
  <w:footnote w:type="continuationSeparator" w:id="0">
    <w:p w14:paraId="79F6E3DF" w14:textId="77777777" w:rsidR="00A4784A" w:rsidRDefault="00A478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0F0FB9"/>
    <w:multiLevelType w:val="hybridMultilevel"/>
    <w:tmpl w:val="98EA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C97305"/>
    <w:multiLevelType w:val="hybridMultilevel"/>
    <w:tmpl w:val="CF5801A8"/>
    <w:lvl w:ilvl="0" w:tplc="014C09B6">
      <w:start w:val="1"/>
      <w:numFmt w:val="bullet"/>
      <w:lvlText w:val="•"/>
      <w:lvlJc w:val="left"/>
      <w:pPr>
        <w:tabs>
          <w:tab w:val="num" w:pos="720"/>
        </w:tabs>
        <w:ind w:left="720" w:hanging="360"/>
      </w:pPr>
      <w:rPr>
        <w:rFonts w:ascii="Arial" w:hAnsi="Arial" w:hint="default"/>
      </w:rPr>
    </w:lvl>
    <w:lvl w:ilvl="1" w:tplc="D6F6350C" w:tentative="1">
      <w:start w:val="1"/>
      <w:numFmt w:val="bullet"/>
      <w:lvlText w:val="•"/>
      <w:lvlJc w:val="left"/>
      <w:pPr>
        <w:tabs>
          <w:tab w:val="num" w:pos="1440"/>
        </w:tabs>
        <w:ind w:left="1440" w:hanging="360"/>
      </w:pPr>
      <w:rPr>
        <w:rFonts w:ascii="Arial" w:hAnsi="Arial" w:hint="default"/>
      </w:rPr>
    </w:lvl>
    <w:lvl w:ilvl="2" w:tplc="6BC6E4D6" w:tentative="1">
      <w:start w:val="1"/>
      <w:numFmt w:val="bullet"/>
      <w:lvlText w:val="•"/>
      <w:lvlJc w:val="left"/>
      <w:pPr>
        <w:tabs>
          <w:tab w:val="num" w:pos="2160"/>
        </w:tabs>
        <w:ind w:left="2160" w:hanging="360"/>
      </w:pPr>
      <w:rPr>
        <w:rFonts w:ascii="Arial" w:hAnsi="Arial" w:hint="default"/>
      </w:rPr>
    </w:lvl>
    <w:lvl w:ilvl="3" w:tplc="88E42C86" w:tentative="1">
      <w:start w:val="1"/>
      <w:numFmt w:val="bullet"/>
      <w:lvlText w:val="•"/>
      <w:lvlJc w:val="left"/>
      <w:pPr>
        <w:tabs>
          <w:tab w:val="num" w:pos="2880"/>
        </w:tabs>
        <w:ind w:left="2880" w:hanging="360"/>
      </w:pPr>
      <w:rPr>
        <w:rFonts w:ascii="Arial" w:hAnsi="Arial" w:hint="default"/>
      </w:rPr>
    </w:lvl>
    <w:lvl w:ilvl="4" w:tplc="67C690B8" w:tentative="1">
      <w:start w:val="1"/>
      <w:numFmt w:val="bullet"/>
      <w:lvlText w:val="•"/>
      <w:lvlJc w:val="left"/>
      <w:pPr>
        <w:tabs>
          <w:tab w:val="num" w:pos="3600"/>
        </w:tabs>
        <w:ind w:left="3600" w:hanging="360"/>
      </w:pPr>
      <w:rPr>
        <w:rFonts w:ascii="Arial" w:hAnsi="Arial" w:hint="default"/>
      </w:rPr>
    </w:lvl>
    <w:lvl w:ilvl="5" w:tplc="59268192" w:tentative="1">
      <w:start w:val="1"/>
      <w:numFmt w:val="bullet"/>
      <w:lvlText w:val="•"/>
      <w:lvlJc w:val="left"/>
      <w:pPr>
        <w:tabs>
          <w:tab w:val="num" w:pos="4320"/>
        </w:tabs>
        <w:ind w:left="4320" w:hanging="360"/>
      </w:pPr>
      <w:rPr>
        <w:rFonts w:ascii="Arial" w:hAnsi="Arial" w:hint="default"/>
      </w:rPr>
    </w:lvl>
    <w:lvl w:ilvl="6" w:tplc="513E4D2E" w:tentative="1">
      <w:start w:val="1"/>
      <w:numFmt w:val="bullet"/>
      <w:lvlText w:val="•"/>
      <w:lvlJc w:val="left"/>
      <w:pPr>
        <w:tabs>
          <w:tab w:val="num" w:pos="5040"/>
        </w:tabs>
        <w:ind w:left="5040" w:hanging="360"/>
      </w:pPr>
      <w:rPr>
        <w:rFonts w:ascii="Arial" w:hAnsi="Arial" w:hint="default"/>
      </w:rPr>
    </w:lvl>
    <w:lvl w:ilvl="7" w:tplc="590456FC" w:tentative="1">
      <w:start w:val="1"/>
      <w:numFmt w:val="bullet"/>
      <w:lvlText w:val="•"/>
      <w:lvlJc w:val="left"/>
      <w:pPr>
        <w:tabs>
          <w:tab w:val="num" w:pos="5760"/>
        </w:tabs>
        <w:ind w:left="5760" w:hanging="360"/>
      </w:pPr>
      <w:rPr>
        <w:rFonts w:ascii="Arial" w:hAnsi="Arial" w:hint="default"/>
      </w:rPr>
    </w:lvl>
    <w:lvl w:ilvl="8" w:tplc="5D002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3"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1610C0"/>
    <w:multiLevelType w:val="hybridMultilevel"/>
    <w:tmpl w:val="83025BEC"/>
    <w:lvl w:ilvl="0" w:tplc="04440ACE">
      <w:start w:val="1"/>
      <w:numFmt w:val="bullet"/>
      <w:lvlText w:val="•"/>
      <w:lvlJc w:val="left"/>
      <w:pPr>
        <w:tabs>
          <w:tab w:val="num" w:pos="720"/>
        </w:tabs>
        <w:ind w:left="720" w:hanging="360"/>
      </w:pPr>
      <w:rPr>
        <w:rFonts w:ascii="Arial" w:hAnsi="Arial" w:hint="default"/>
      </w:rPr>
    </w:lvl>
    <w:lvl w:ilvl="1" w:tplc="FBA0CCBA" w:tentative="1">
      <w:start w:val="1"/>
      <w:numFmt w:val="bullet"/>
      <w:lvlText w:val="•"/>
      <w:lvlJc w:val="left"/>
      <w:pPr>
        <w:tabs>
          <w:tab w:val="num" w:pos="1440"/>
        </w:tabs>
        <w:ind w:left="1440" w:hanging="360"/>
      </w:pPr>
      <w:rPr>
        <w:rFonts w:ascii="Arial" w:hAnsi="Arial" w:hint="default"/>
      </w:rPr>
    </w:lvl>
    <w:lvl w:ilvl="2" w:tplc="948646C0" w:tentative="1">
      <w:start w:val="1"/>
      <w:numFmt w:val="bullet"/>
      <w:lvlText w:val="•"/>
      <w:lvlJc w:val="left"/>
      <w:pPr>
        <w:tabs>
          <w:tab w:val="num" w:pos="2160"/>
        </w:tabs>
        <w:ind w:left="2160" w:hanging="360"/>
      </w:pPr>
      <w:rPr>
        <w:rFonts w:ascii="Arial" w:hAnsi="Arial" w:hint="default"/>
      </w:rPr>
    </w:lvl>
    <w:lvl w:ilvl="3" w:tplc="96BA02BE" w:tentative="1">
      <w:start w:val="1"/>
      <w:numFmt w:val="bullet"/>
      <w:lvlText w:val="•"/>
      <w:lvlJc w:val="left"/>
      <w:pPr>
        <w:tabs>
          <w:tab w:val="num" w:pos="2880"/>
        </w:tabs>
        <w:ind w:left="2880" w:hanging="360"/>
      </w:pPr>
      <w:rPr>
        <w:rFonts w:ascii="Arial" w:hAnsi="Arial" w:hint="default"/>
      </w:rPr>
    </w:lvl>
    <w:lvl w:ilvl="4" w:tplc="B59EF468" w:tentative="1">
      <w:start w:val="1"/>
      <w:numFmt w:val="bullet"/>
      <w:lvlText w:val="•"/>
      <w:lvlJc w:val="left"/>
      <w:pPr>
        <w:tabs>
          <w:tab w:val="num" w:pos="3600"/>
        </w:tabs>
        <w:ind w:left="3600" w:hanging="360"/>
      </w:pPr>
      <w:rPr>
        <w:rFonts w:ascii="Arial" w:hAnsi="Arial" w:hint="default"/>
      </w:rPr>
    </w:lvl>
    <w:lvl w:ilvl="5" w:tplc="D7126218" w:tentative="1">
      <w:start w:val="1"/>
      <w:numFmt w:val="bullet"/>
      <w:lvlText w:val="•"/>
      <w:lvlJc w:val="left"/>
      <w:pPr>
        <w:tabs>
          <w:tab w:val="num" w:pos="4320"/>
        </w:tabs>
        <w:ind w:left="4320" w:hanging="360"/>
      </w:pPr>
      <w:rPr>
        <w:rFonts w:ascii="Arial" w:hAnsi="Arial" w:hint="default"/>
      </w:rPr>
    </w:lvl>
    <w:lvl w:ilvl="6" w:tplc="AF282756" w:tentative="1">
      <w:start w:val="1"/>
      <w:numFmt w:val="bullet"/>
      <w:lvlText w:val="•"/>
      <w:lvlJc w:val="left"/>
      <w:pPr>
        <w:tabs>
          <w:tab w:val="num" w:pos="5040"/>
        </w:tabs>
        <w:ind w:left="5040" w:hanging="360"/>
      </w:pPr>
      <w:rPr>
        <w:rFonts w:ascii="Arial" w:hAnsi="Arial" w:hint="default"/>
      </w:rPr>
    </w:lvl>
    <w:lvl w:ilvl="7" w:tplc="5D3428CE" w:tentative="1">
      <w:start w:val="1"/>
      <w:numFmt w:val="bullet"/>
      <w:lvlText w:val="•"/>
      <w:lvlJc w:val="left"/>
      <w:pPr>
        <w:tabs>
          <w:tab w:val="num" w:pos="5760"/>
        </w:tabs>
        <w:ind w:left="5760" w:hanging="360"/>
      </w:pPr>
      <w:rPr>
        <w:rFonts w:ascii="Arial" w:hAnsi="Arial" w:hint="default"/>
      </w:rPr>
    </w:lvl>
    <w:lvl w:ilvl="8" w:tplc="F24E3A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886317"/>
    <w:multiLevelType w:val="hybridMultilevel"/>
    <w:tmpl w:val="8142502A"/>
    <w:lvl w:ilvl="0" w:tplc="B308DFAE">
      <w:start w:val="1"/>
      <w:numFmt w:val="bullet"/>
      <w:lvlText w:val="•"/>
      <w:lvlJc w:val="left"/>
      <w:pPr>
        <w:tabs>
          <w:tab w:val="num" w:pos="720"/>
        </w:tabs>
        <w:ind w:left="720" w:hanging="360"/>
      </w:pPr>
      <w:rPr>
        <w:rFonts w:ascii="Arial" w:hAnsi="Arial" w:hint="default"/>
      </w:rPr>
    </w:lvl>
    <w:lvl w:ilvl="1" w:tplc="B0E0F892">
      <w:numFmt w:val="bullet"/>
      <w:lvlText w:val="–"/>
      <w:lvlJc w:val="left"/>
      <w:pPr>
        <w:tabs>
          <w:tab w:val="num" w:pos="1440"/>
        </w:tabs>
        <w:ind w:left="1440" w:hanging="360"/>
      </w:pPr>
      <w:rPr>
        <w:rFonts w:ascii="Arial" w:hAnsi="Arial" w:hint="default"/>
      </w:rPr>
    </w:lvl>
    <w:lvl w:ilvl="2" w:tplc="865E530E" w:tentative="1">
      <w:start w:val="1"/>
      <w:numFmt w:val="bullet"/>
      <w:lvlText w:val="•"/>
      <w:lvlJc w:val="left"/>
      <w:pPr>
        <w:tabs>
          <w:tab w:val="num" w:pos="2160"/>
        </w:tabs>
        <w:ind w:left="2160" w:hanging="360"/>
      </w:pPr>
      <w:rPr>
        <w:rFonts w:ascii="Arial" w:hAnsi="Arial" w:hint="default"/>
      </w:rPr>
    </w:lvl>
    <w:lvl w:ilvl="3" w:tplc="C3204B48" w:tentative="1">
      <w:start w:val="1"/>
      <w:numFmt w:val="bullet"/>
      <w:lvlText w:val="•"/>
      <w:lvlJc w:val="left"/>
      <w:pPr>
        <w:tabs>
          <w:tab w:val="num" w:pos="2880"/>
        </w:tabs>
        <w:ind w:left="2880" w:hanging="360"/>
      </w:pPr>
      <w:rPr>
        <w:rFonts w:ascii="Arial" w:hAnsi="Arial" w:hint="default"/>
      </w:rPr>
    </w:lvl>
    <w:lvl w:ilvl="4" w:tplc="907EC900" w:tentative="1">
      <w:start w:val="1"/>
      <w:numFmt w:val="bullet"/>
      <w:lvlText w:val="•"/>
      <w:lvlJc w:val="left"/>
      <w:pPr>
        <w:tabs>
          <w:tab w:val="num" w:pos="3600"/>
        </w:tabs>
        <w:ind w:left="3600" w:hanging="360"/>
      </w:pPr>
      <w:rPr>
        <w:rFonts w:ascii="Arial" w:hAnsi="Arial" w:hint="default"/>
      </w:rPr>
    </w:lvl>
    <w:lvl w:ilvl="5" w:tplc="806C307E" w:tentative="1">
      <w:start w:val="1"/>
      <w:numFmt w:val="bullet"/>
      <w:lvlText w:val="•"/>
      <w:lvlJc w:val="left"/>
      <w:pPr>
        <w:tabs>
          <w:tab w:val="num" w:pos="4320"/>
        </w:tabs>
        <w:ind w:left="4320" w:hanging="360"/>
      </w:pPr>
      <w:rPr>
        <w:rFonts w:ascii="Arial" w:hAnsi="Arial" w:hint="default"/>
      </w:rPr>
    </w:lvl>
    <w:lvl w:ilvl="6" w:tplc="9E2C96C2" w:tentative="1">
      <w:start w:val="1"/>
      <w:numFmt w:val="bullet"/>
      <w:lvlText w:val="•"/>
      <w:lvlJc w:val="left"/>
      <w:pPr>
        <w:tabs>
          <w:tab w:val="num" w:pos="5040"/>
        </w:tabs>
        <w:ind w:left="5040" w:hanging="360"/>
      </w:pPr>
      <w:rPr>
        <w:rFonts w:ascii="Arial" w:hAnsi="Arial" w:hint="default"/>
      </w:rPr>
    </w:lvl>
    <w:lvl w:ilvl="7" w:tplc="28943F4A" w:tentative="1">
      <w:start w:val="1"/>
      <w:numFmt w:val="bullet"/>
      <w:lvlText w:val="•"/>
      <w:lvlJc w:val="left"/>
      <w:pPr>
        <w:tabs>
          <w:tab w:val="num" w:pos="5760"/>
        </w:tabs>
        <w:ind w:left="5760" w:hanging="360"/>
      </w:pPr>
      <w:rPr>
        <w:rFonts w:ascii="Arial" w:hAnsi="Arial" w:hint="default"/>
      </w:rPr>
    </w:lvl>
    <w:lvl w:ilvl="8" w:tplc="5480047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16"/>
  </w:num>
  <w:num w:numId="4">
    <w:abstractNumId w:val="21"/>
  </w:num>
  <w:num w:numId="5">
    <w:abstractNumId w:val="4"/>
  </w:num>
  <w:num w:numId="6">
    <w:abstractNumId w:val="9"/>
  </w:num>
  <w:num w:numId="7">
    <w:abstractNumId w:val="16"/>
    <w:lvlOverride w:ilvl="0">
      <w:startOverride w:val="1"/>
    </w:lvlOverride>
  </w:num>
  <w:num w:numId="8">
    <w:abstractNumId w:val="13"/>
  </w:num>
  <w:num w:numId="9">
    <w:abstractNumId w:val="7"/>
  </w:num>
  <w:num w:numId="10">
    <w:abstractNumId w:val="5"/>
  </w:num>
  <w:num w:numId="11">
    <w:abstractNumId w:val="23"/>
  </w:num>
  <w:num w:numId="12">
    <w:abstractNumId w:val="16"/>
    <w:lvlOverride w:ilvl="0">
      <w:startOverride w:val="1"/>
    </w:lvlOverride>
  </w:num>
  <w:num w:numId="13">
    <w:abstractNumId w:val="0"/>
  </w:num>
  <w:num w:numId="14">
    <w:abstractNumId w:val="10"/>
  </w:num>
  <w:num w:numId="15">
    <w:abstractNumId w:val="2"/>
  </w:num>
  <w:num w:numId="16">
    <w:abstractNumId w:val="24"/>
  </w:num>
  <w:num w:numId="17">
    <w:abstractNumId w:val="20"/>
  </w:num>
  <w:num w:numId="18">
    <w:abstractNumId w:val="8"/>
  </w:num>
  <w:num w:numId="19">
    <w:abstractNumId w:val="6"/>
  </w:num>
  <w:num w:numId="20">
    <w:abstractNumId w:val="22"/>
  </w:num>
  <w:num w:numId="21">
    <w:abstractNumId w:val="11"/>
  </w:num>
  <w:num w:numId="22">
    <w:abstractNumId w:val="25"/>
  </w:num>
  <w:num w:numId="23">
    <w:abstractNumId w:val="1"/>
  </w:num>
  <w:num w:numId="24">
    <w:abstractNumId w:val="3"/>
  </w:num>
  <w:num w:numId="25">
    <w:abstractNumId w:val="26"/>
  </w:num>
  <w:num w:numId="26">
    <w:abstractNumId w:val="19"/>
  </w:num>
  <w:num w:numId="27">
    <w:abstractNumId w:val="15"/>
  </w:num>
  <w:num w:numId="28">
    <w:abstractNumId w:val="17"/>
    <w:lvlOverride w:ilvl="0">
      <w:startOverride w:val="1"/>
    </w:lvlOverride>
  </w:num>
  <w:num w:numId="29">
    <w:abstractNumId w:val="27"/>
  </w:num>
  <w:num w:numId="30">
    <w:abstractNumId w:val="12"/>
  </w:num>
  <w:num w:numId="31">
    <w:abstractNumId w:val="17"/>
  </w:num>
  <w:num w:numId="32">
    <w:abstractNumId w:val="17"/>
    <w:lvlOverride w:ilvl="0">
      <w:startOverride w:val="1"/>
    </w:lvlOverride>
  </w:num>
  <w:num w:numId="33">
    <w:abstractNumId w:val="17"/>
    <w:lvlOverride w:ilvl="0">
      <w:startOverride w:val="1"/>
    </w:lvlOverride>
  </w:num>
  <w:num w:numId="34">
    <w:abstractNumId w:val="18"/>
  </w:num>
  <w:num w:numId="35">
    <w:abstractNumId w:val="17"/>
    <w:lvlOverride w:ilvl="0">
      <w:startOverride w:val="1"/>
    </w:lvlOverride>
  </w:num>
  <w:num w:numId="36">
    <w:abstractNumId w:val="14"/>
    <w:lvlOverride w:ilvl="0">
      <w:startOverride w:val="1"/>
    </w:lvlOverride>
  </w:num>
  <w:num w:numId="37">
    <w:abstractNumId w:val="14"/>
    <w:lvlOverride w:ilvl="0">
      <w:startOverride w:val="1"/>
    </w:lvlOverride>
  </w:num>
  <w:num w:numId="38">
    <w:abstractNumId w:val="1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B84"/>
    <w:rsid w:val="00006D3C"/>
    <w:rsid w:val="00013EC8"/>
    <w:rsid w:val="00014930"/>
    <w:rsid w:val="00015375"/>
    <w:rsid w:val="000306AA"/>
    <w:rsid w:val="00031DDA"/>
    <w:rsid w:val="0003658C"/>
    <w:rsid w:val="0003689C"/>
    <w:rsid w:val="00040687"/>
    <w:rsid w:val="00070045"/>
    <w:rsid w:val="0007121B"/>
    <w:rsid w:val="000733A5"/>
    <w:rsid w:val="0007361D"/>
    <w:rsid w:val="0008612A"/>
    <w:rsid w:val="00090F23"/>
    <w:rsid w:val="0009781E"/>
    <w:rsid w:val="000A4D95"/>
    <w:rsid w:val="000A6AF7"/>
    <w:rsid w:val="000A6C14"/>
    <w:rsid w:val="000A6FE7"/>
    <w:rsid w:val="000B0056"/>
    <w:rsid w:val="000B3851"/>
    <w:rsid w:val="000B765D"/>
    <w:rsid w:val="000D242F"/>
    <w:rsid w:val="000D2C5F"/>
    <w:rsid w:val="000E332E"/>
    <w:rsid w:val="000F1716"/>
    <w:rsid w:val="000F4183"/>
    <w:rsid w:val="000F506F"/>
    <w:rsid w:val="00111F4C"/>
    <w:rsid w:val="00115042"/>
    <w:rsid w:val="00120DC9"/>
    <w:rsid w:val="00122FFC"/>
    <w:rsid w:val="00130041"/>
    <w:rsid w:val="001323D5"/>
    <w:rsid w:val="001439E2"/>
    <w:rsid w:val="00144167"/>
    <w:rsid w:val="001515EF"/>
    <w:rsid w:val="001546B8"/>
    <w:rsid w:val="00162DFC"/>
    <w:rsid w:val="00164C74"/>
    <w:rsid w:val="00173970"/>
    <w:rsid w:val="00173997"/>
    <w:rsid w:val="001745F8"/>
    <w:rsid w:val="00175A2F"/>
    <w:rsid w:val="00182F3F"/>
    <w:rsid w:val="001838CD"/>
    <w:rsid w:val="001838CF"/>
    <w:rsid w:val="00185CD2"/>
    <w:rsid w:val="00195D39"/>
    <w:rsid w:val="001A3BA4"/>
    <w:rsid w:val="001A5013"/>
    <w:rsid w:val="001B7147"/>
    <w:rsid w:val="001B7ECD"/>
    <w:rsid w:val="001E26C2"/>
    <w:rsid w:val="001E30F6"/>
    <w:rsid w:val="001F1813"/>
    <w:rsid w:val="001F3E3C"/>
    <w:rsid w:val="0020227E"/>
    <w:rsid w:val="00203104"/>
    <w:rsid w:val="00206422"/>
    <w:rsid w:val="00235F5C"/>
    <w:rsid w:val="00237498"/>
    <w:rsid w:val="002378EF"/>
    <w:rsid w:val="002444B1"/>
    <w:rsid w:val="00247CDF"/>
    <w:rsid w:val="00253FFC"/>
    <w:rsid w:val="002541E5"/>
    <w:rsid w:val="00255DEB"/>
    <w:rsid w:val="00275F08"/>
    <w:rsid w:val="002A42A4"/>
    <w:rsid w:val="002B1E33"/>
    <w:rsid w:val="002B32D9"/>
    <w:rsid w:val="002B358D"/>
    <w:rsid w:val="002B4922"/>
    <w:rsid w:val="002B4CEA"/>
    <w:rsid w:val="002C1BC0"/>
    <w:rsid w:val="002C2D19"/>
    <w:rsid w:val="002C5B8E"/>
    <w:rsid w:val="002D02B6"/>
    <w:rsid w:val="002D10FA"/>
    <w:rsid w:val="002D14DE"/>
    <w:rsid w:val="002D4C55"/>
    <w:rsid w:val="002D5887"/>
    <w:rsid w:val="00302F8C"/>
    <w:rsid w:val="00305A9B"/>
    <w:rsid w:val="00310DA3"/>
    <w:rsid w:val="003127E4"/>
    <w:rsid w:val="00315DD2"/>
    <w:rsid w:val="00316102"/>
    <w:rsid w:val="00324124"/>
    <w:rsid w:val="00326A0E"/>
    <w:rsid w:val="0033140B"/>
    <w:rsid w:val="003360C2"/>
    <w:rsid w:val="00342243"/>
    <w:rsid w:val="00352070"/>
    <w:rsid w:val="003718C4"/>
    <w:rsid w:val="003804ED"/>
    <w:rsid w:val="00382B66"/>
    <w:rsid w:val="00387971"/>
    <w:rsid w:val="003A736A"/>
    <w:rsid w:val="003A7949"/>
    <w:rsid w:val="003B659E"/>
    <w:rsid w:val="003C0946"/>
    <w:rsid w:val="003C7BCD"/>
    <w:rsid w:val="003E0246"/>
    <w:rsid w:val="003E0263"/>
    <w:rsid w:val="00400D32"/>
    <w:rsid w:val="00404FA3"/>
    <w:rsid w:val="00413D4B"/>
    <w:rsid w:val="00413E29"/>
    <w:rsid w:val="0041460E"/>
    <w:rsid w:val="00416F9B"/>
    <w:rsid w:val="00417770"/>
    <w:rsid w:val="004321D6"/>
    <w:rsid w:val="0043750A"/>
    <w:rsid w:val="00446270"/>
    <w:rsid w:val="004541F2"/>
    <w:rsid w:val="00460D60"/>
    <w:rsid w:val="00464393"/>
    <w:rsid w:val="00466F5B"/>
    <w:rsid w:val="004670C1"/>
    <w:rsid w:val="00470EE1"/>
    <w:rsid w:val="00471838"/>
    <w:rsid w:val="00471DB0"/>
    <w:rsid w:val="004754A6"/>
    <w:rsid w:val="0047751C"/>
    <w:rsid w:val="004A2E36"/>
    <w:rsid w:val="004A3B28"/>
    <w:rsid w:val="004A6FF6"/>
    <w:rsid w:val="004D744A"/>
    <w:rsid w:val="004E0AEF"/>
    <w:rsid w:val="004E5E66"/>
    <w:rsid w:val="004F7B4C"/>
    <w:rsid w:val="005017F5"/>
    <w:rsid w:val="00503B4D"/>
    <w:rsid w:val="00503C94"/>
    <w:rsid w:val="00504EE9"/>
    <w:rsid w:val="00505829"/>
    <w:rsid w:val="00512078"/>
    <w:rsid w:val="005263D1"/>
    <w:rsid w:val="00527C1F"/>
    <w:rsid w:val="00543ADC"/>
    <w:rsid w:val="0054442C"/>
    <w:rsid w:val="00550285"/>
    <w:rsid w:val="0055679E"/>
    <w:rsid w:val="00564E55"/>
    <w:rsid w:val="005736C1"/>
    <w:rsid w:val="00574324"/>
    <w:rsid w:val="00576356"/>
    <w:rsid w:val="005824C3"/>
    <w:rsid w:val="005836F8"/>
    <w:rsid w:val="00584071"/>
    <w:rsid w:val="00585A6F"/>
    <w:rsid w:val="005918FA"/>
    <w:rsid w:val="005A46C0"/>
    <w:rsid w:val="005B5C57"/>
    <w:rsid w:val="005B7E55"/>
    <w:rsid w:val="005C23A4"/>
    <w:rsid w:val="005C6DE3"/>
    <w:rsid w:val="005D1CDF"/>
    <w:rsid w:val="005D4789"/>
    <w:rsid w:val="005E61A8"/>
    <w:rsid w:val="005F6419"/>
    <w:rsid w:val="006067AF"/>
    <w:rsid w:val="00616DAF"/>
    <w:rsid w:val="00617400"/>
    <w:rsid w:val="00627AC4"/>
    <w:rsid w:val="00637D49"/>
    <w:rsid w:val="00652AC1"/>
    <w:rsid w:val="00664950"/>
    <w:rsid w:val="006775B6"/>
    <w:rsid w:val="00683220"/>
    <w:rsid w:val="00687573"/>
    <w:rsid w:val="00687FA0"/>
    <w:rsid w:val="0069428B"/>
    <w:rsid w:val="006972DE"/>
    <w:rsid w:val="006977A6"/>
    <w:rsid w:val="006A21E2"/>
    <w:rsid w:val="006A337F"/>
    <w:rsid w:val="006A7245"/>
    <w:rsid w:val="006B0901"/>
    <w:rsid w:val="006B4912"/>
    <w:rsid w:val="006B7010"/>
    <w:rsid w:val="006C6632"/>
    <w:rsid w:val="006D374C"/>
    <w:rsid w:val="006D6296"/>
    <w:rsid w:val="006E7A59"/>
    <w:rsid w:val="006F0CFC"/>
    <w:rsid w:val="006F415D"/>
    <w:rsid w:val="006F5492"/>
    <w:rsid w:val="006F62AE"/>
    <w:rsid w:val="00703A5B"/>
    <w:rsid w:val="00710835"/>
    <w:rsid w:val="00711C32"/>
    <w:rsid w:val="00711FBF"/>
    <w:rsid w:val="007141C8"/>
    <w:rsid w:val="007145FF"/>
    <w:rsid w:val="0071562E"/>
    <w:rsid w:val="0071633D"/>
    <w:rsid w:val="00720CD0"/>
    <w:rsid w:val="00723574"/>
    <w:rsid w:val="00724D26"/>
    <w:rsid w:val="00730AF6"/>
    <w:rsid w:val="007325FE"/>
    <w:rsid w:val="00733B44"/>
    <w:rsid w:val="00740DE8"/>
    <w:rsid w:val="00740FE5"/>
    <w:rsid w:val="00743D09"/>
    <w:rsid w:val="00750902"/>
    <w:rsid w:val="00751515"/>
    <w:rsid w:val="007669A7"/>
    <w:rsid w:val="0076769C"/>
    <w:rsid w:val="00773EF6"/>
    <w:rsid w:val="00785232"/>
    <w:rsid w:val="007877FB"/>
    <w:rsid w:val="007A5945"/>
    <w:rsid w:val="007A6E80"/>
    <w:rsid w:val="007A751F"/>
    <w:rsid w:val="007B1A06"/>
    <w:rsid w:val="007B29C6"/>
    <w:rsid w:val="007C3ED0"/>
    <w:rsid w:val="007D2A8B"/>
    <w:rsid w:val="007E3D19"/>
    <w:rsid w:val="007F6E7A"/>
    <w:rsid w:val="007F7423"/>
    <w:rsid w:val="00801AF4"/>
    <w:rsid w:val="00806A76"/>
    <w:rsid w:val="00811C9D"/>
    <w:rsid w:val="008139E8"/>
    <w:rsid w:val="00816C80"/>
    <w:rsid w:val="008178EA"/>
    <w:rsid w:val="00841BCD"/>
    <w:rsid w:val="008448CC"/>
    <w:rsid w:val="00851A8E"/>
    <w:rsid w:val="00860184"/>
    <w:rsid w:val="00864888"/>
    <w:rsid w:val="00866A89"/>
    <w:rsid w:val="00867453"/>
    <w:rsid w:val="008826C1"/>
    <w:rsid w:val="00887467"/>
    <w:rsid w:val="008A0151"/>
    <w:rsid w:val="008B5BFD"/>
    <w:rsid w:val="008B63EC"/>
    <w:rsid w:val="008C5BDA"/>
    <w:rsid w:val="008C754A"/>
    <w:rsid w:val="008E4A46"/>
    <w:rsid w:val="008F0DB4"/>
    <w:rsid w:val="008F1B16"/>
    <w:rsid w:val="008F5606"/>
    <w:rsid w:val="0090091A"/>
    <w:rsid w:val="009042BD"/>
    <w:rsid w:val="009048F8"/>
    <w:rsid w:val="00926BA4"/>
    <w:rsid w:val="00935FFF"/>
    <w:rsid w:val="00943933"/>
    <w:rsid w:val="00947D6E"/>
    <w:rsid w:val="00950577"/>
    <w:rsid w:val="00977E1D"/>
    <w:rsid w:val="00990419"/>
    <w:rsid w:val="00995625"/>
    <w:rsid w:val="009A4CF9"/>
    <w:rsid w:val="009B5137"/>
    <w:rsid w:val="009C3333"/>
    <w:rsid w:val="009C7379"/>
    <w:rsid w:val="00A10540"/>
    <w:rsid w:val="00A20149"/>
    <w:rsid w:val="00A22B78"/>
    <w:rsid w:val="00A25AE5"/>
    <w:rsid w:val="00A33070"/>
    <w:rsid w:val="00A36FA8"/>
    <w:rsid w:val="00A37002"/>
    <w:rsid w:val="00A4376C"/>
    <w:rsid w:val="00A4784A"/>
    <w:rsid w:val="00A51960"/>
    <w:rsid w:val="00A51E2F"/>
    <w:rsid w:val="00A51F0E"/>
    <w:rsid w:val="00A75C6A"/>
    <w:rsid w:val="00A9211D"/>
    <w:rsid w:val="00A94671"/>
    <w:rsid w:val="00A953D5"/>
    <w:rsid w:val="00A95DE0"/>
    <w:rsid w:val="00AA1B0E"/>
    <w:rsid w:val="00AC5CA7"/>
    <w:rsid w:val="00AE0C5D"/>
    <w:rsid w:val="00AE0ED3"/>
    <w:rsid w:val="00AE0F60"/>
    <w:rsid w:val="00AE1BBB"/>
    <w:rsid w:val="00AE56B1"/>
    <w:rsid w:val="00AE7B45"/>
    <w:rsid w:val="00AF37B6"/>
    <w:rsid w:val="00B017FF"/>
    <w:rsid w:val="00B02B34"/>
    <w:rsid w:val="00B06216"/>
    <w:rsid w:val="00B073FE"/>
    <w:rsid w:val="00B13863"/>
    <w:rsid w:val="00B16D71"/>
    <w:rsid w:val="00B31EBA"/>
    <w:rsid w:val="00B3260E"/>
    <w:rsid w:val="00B33626"/>
    <w:rsid w:val="00B365AF"/>
    <w:rsid w:val="00B4335F"/>
    <w:rsid w:val="00B47493"/>
    <w:rsid w:val="00B71AB8"/>
    <w:rsid w:val="00B73862"/>
    <w:rsid w:val="00B869D9"/>
    <w:rsid w:val="00B91230"/>
    <w:rsid w:val="00B97082"/>
    <w:rsid w:val="00BA6E48"/>
    <w:rsid w:val="00BB462D"/>
    <w:rsid w:val="00BB5E57"/>
    <w:rsid w:val="00BB7C01"/>
    <w:rsid w:val="00BE22D0"/>
    <w:rsid w:val="00BE40FB"/>
    <w:rsid w:val="00BE666D"/>
    <w:rsid w:val="00BF2218"/>
    <w:rsid w:val="00BF3C74"/>
    <w:rsid w:val="00C018E1"/>
    <w:rsid w:val="00C0485C"/>
    <w:rsid w:val="00C05897"/>
    <w:rsid w:val="00C10470"/>
    <w:rsid w:val="00C244A0"/>
    <w:rsid w:val="00C27920"/>
    <w:rsid w:val="00C30B52"/>
    <w:rsid w:val="00C35922"/>
    <w:rsid w:val="00C42E4F"/>
    <w:rsid w:val="00C62EBB"/>
    <w:rsid w:val="00C71093"/>
    <w:rsid w:val="00C7357D"/>
    <w:rsid w:val="00C73C66"/>
    <w:rsid w:val="00C7686A"/>
    <w:rsid w:val="00C77CD6"/>
    <w:rsid w:val="00C85B5D"/>
    <w:rsid w:val="00C872B8"/>
    <w:rsid w:val="00C94470"/>
    <w:rsid w:val="00C95173"/>
    <w:rsid w:val="00C95314"/>
    <w:rsid w:val="00CA6643"/>
    <w:rsid w:val="00CD3C09"/>
    <w:rsid w:val="00CD7492"/>
    <w:rsid w:val="00CD7B70"/>
    <w:rsid w:val="00CE0137"/>
    <w:rsid w:val="00CE3A6B"/>
    <w:rsid w:val="00CF03F8"/>
    <w:rsid w:val="00CF334E"/>
    <w:rsid w:val="00D00211"/>
    <w:rsid w:val="00D02584"/>
    <w:rsid w:val="00D05DD4"/>
    <w:rsid w:val="00D06309"/>
    <w:rsid w:val="00D077E5"/>
    <w:rsid w:val="00D07A89"/>
    <w:rsid w:val="00D1114A"/>
    <w:rsid w:val="00D143F2"/>
    <w:rsid w:val="00D2108B"/>
    <w:rsid w:val="00D23E6E"/>
    <w:rsid w:val="00D351EA"/>
    <w:rsid w:val="00D43403"/>
    <w:rsid w:val="00D513D5"/>
    <w:rsid w:val="00D534C7"/>
    <w:rsid w:val="00D54EFE"/>
    <w:rsid w:val="00D558AF"/>
    <w:rsid w:val="00D62E71"/>
    <w:rsid w:val="00D740CA"/>
    <w:rsid w:val="00D82202"/>
    <w:rsid w:val="00D8402D"/>
    <w:rsid w:val="00D85728"/>
    <w:rsid w:val="00D916E4"/>
    <w:rsid w:val="00D91857"/>
    <w:rsid w:val="00DC7DAD"/>
    <w:rsid w:val="00DD3E18"/>
    <w:rsid w:val="00DD55C7"/>
    <w:rsid w:val="00DD6FE2"/>
    <w:rsid w:val="00DF2997"/>
    <w:rsid w:val="00E001DB"/>
    <w:rsid w:val="00E02456"/>
    <w:rsid w:val="00E048C0"/>
    <w:rsid w:val="00E06DED"/>
    <w:rsid w:val="00E0782B"/>
    <w:rsid w:val="00E13BA2"/>
    <w:rsid w:val="00E1544A"/>
    <w:rsid w:val="00E27A54"/>
    <w:rsid w:val="00E32E79"/>
    <w:rsid w:val="00E36A42"/>
    <w:rsid w:val="00E4031F"/>
    <w:rsid w:val="00E474C8"/>
    <w:rsid w:val="00E61A79"/>
    <w:rsid w:val="00E70BC1"/>
    <w:rsid w:val="00E70EF5"/>
    <w:rsid w:val="00E76531"/>
    <w:rsid w:val="00E81813"/>
    <w:rsid w:val="00E85425"/>
    <w:rsid w:val="00E95EE1"/>
    <w:rsid w:val="00EB07C4"/>
    <w:rsid w:val="00EB1DE1"/>
    <w:rsid w:val="00EB47DB"/>
    <w:rsid w:val="00EC0E1C"/>
    <w:rsid w:val="00EC7BC3"/>
    <w:rsid w:val="00ED7600"/>
    <w:rsid w:val="00EE5757"/>
    <w:rsid w:val="00EE58A9"/>
    <w:rsid w:val="00F079E6"/>
    <w:rsid w:val="00F1362C"/>
    <w:rsid w:val="00F209CD"/>
    <w:rsid w:val="00F20C04"/>
    <w:rsid w:val="00F40731"/>
    <w:rsid w:val="00F43D53"/>
    <w:rsid w:val="00F568BC"/>
    <w:rsid w:val="00F6251E"/>
    <w:rsid w:val="00F65941"/>
    <w:rsid w:val="00F73481"/>
    <w:rsid w:val="00F824F5"/>
    <w:rsid w:val="00F9430F"/>
    <w:rsid w:val="00FA5962"/>
    <w:rsid w:val="00FB6CDC"/>
    <w:rsid w:val="00FC29B9"/>
    <w:rsid w:val="00FC6FD3"/>
    <w:rsid w:val="00FD13A5"/>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F3E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qFormat/>
    <w:rsid w:val="00206422"/>
    <w:rPr>
      <w:sz w:val="16"/>
      <w:szCs w:val="16"/>
    </w:rPr>
  </w:style>
  <w:style w:type="paragraph" w:styleId="CommentText">
    <w:name w:val="annotation text"/>
    <w:basedOn w:val="Normal"/>
    <w:link w:val="CommentTextChar"/>
    <w:uiPriority w:val="99"/>
    <w:semiHidden/>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semiHidden/>
    <w:qFormat/>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1F3E3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68690">
      <w:bodyDiv w:val="1"/>
      <w:marLeft w:val="0"/>
      <w:marRight w:val="0"/>
      <w:marTop w:val="0"/>
      <w:marBottom w:val="0"/>
      <w:divBdr>
        <w:top w:val="none" w:sz="0" w:space="0" w:color="auto"/>
        <w:left w:val="none" w:sz="0" w:space="0" w:color="auto"/>
        <w:bottom w:val="none" w:sz="0" w:space="0" w:color="auto"/>
        <w:right w:val="none" w:sz="0" w:space="0" w:color="auto"/>
      </w:divBdr>
      <w:divsChild>
        <w:div w:id="1372534494">
          <w:marLeft w:val="360"/>
          <w:marRight w:val="0"/>
          <w:marTop w:val="200"/>
          <w:marBottom w:val="0"/>
          <w:divBdr>
            <w:top w:val="none" w:sz="0" w:space="0" w:color="auto"/>
            <w:left w:val="none" w:sz="0" w:space="0" w:color="auto"/>
            <w:bottom w:val="none" w:sz="0" w:space="0" w:color="auto"/>
            <w:right w:val="none" w:sz="0" w:space="0" w:color="auto"/>
          </w:divBdr>
        </w:div>
      </w:divsChild>
    </w:div>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367724271">
      <w:bodyDiv w:val="1"/>
      <w:marLeft w:val="0"/>
      <w:marRight w:val="0"/>
      <w:marTop w:val="0"/>
      <w:marBottom w:val="0"/>
      <w:divBdr>
        <w:top w:val="none" w:sz="0" w:space="0" w:color="auto"/>
        <w:left w:val="none" w:sz="0" w:space="0" w:color="auto"/>
        <w:bottom w:val="none" w:sz="0" w:space="0" w:color="auto"/>
        <w:right w:val="none" w:sz="0" w:space="0" w:color="auto"/>
      </w:divBdr>
      <w:divsChild>
        <w:div w:id="1510832671">
          <w:marLeft w:val="0"/>
          <w:marRight w:val="0"/>
          <w:marTop w:val="0"/>
          <w:marBottom w:val="0"/>
          <w:divBdr>
            <w:top w:val="none" w:sz="0" w:space="0" w:color="auto"/>
            <w:left w:val="none" w:sz="0" w:space="0" w:color="auto"/>
            <w:bottom w:val="none" w:sz="0" w:space="0" w:color="auto"/>
            <w:right w:val="none" w:sz="0" w:space="0" w:color="auto"/>
          </w:divBdr>
        </w:div>
      </w:divsChild>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19456171">
      <w:bodyDiv w:val="1"/>
      <w:marLeft w:val="0"/>
      <w:marRight w:val="0"/>
      <w:marTop w:val="0"/>
      <w:marBottom w:val="0"/>
      <w:divBdr>
        <w:top w:val="none" w:sz="0" w:space="0" w:color="auto"/>
        <w:left w:val="none" w:sz="0" w:space="0" w:color="auto"/>
        <w:bottom w:val="none" w:sz="0" w:space="0" w:color="auto"/>
        <w:right w:val="none" w:sz="0" w:space="0" w:color="auto"/>
      </w:divBdr>
      <w:divsChild>
        <w:div w:id="547647493">
          <w:marLeft w:val="547"/>
          <w:marRight w:val="0"/>
          <w:marTop w:val="134"/>
          <w:marBottom w:val="0"/>
          <w:divBdr>
            <w:top w:val="none" w:sz="0" w:space="0" w:color="auto"/>
            <w:left w:val="none" w:sz="0" w:space="0" w:color="auto"/>
            <w:bottom w:val="none" w:sz="0" w:space="0" w:color="auto"/>
            <w:right w:val="none" w:sz="0" w:space="0" w:color="auto"/>
          </w:divBdr>
        </w:div>
        <w:div w:id="545680726">
          <w:marLeft w:val="547"/>
          <w:marRight w:val="0"/>
          <w:marTop w:val="134"/>
          <w:marBottom w:val="0"/>
          <w:divBdr>
            <w:top w:val="none" w:sz="0" w:space="0" w:color="auto"/>
            <w:left w:val="none" w:sz="0" w:space="0" w:color="auto"/>
            <w:bottom w:val="none" w:sz="0" w:space="0" w:color="auto"/>
            <w:right w:val="none" w:sz="0" w:space="0" w:color="auto"/>
          </w:divBdr>
        </w:div>
        <w:div w:id="760179805">
          <w:marLeft w:val="1166"/>
          <w:marRight w:val="0"/>
          <w:marTop w:val="118"/>
          <w:marBottom w:val="0"/>
          <w:divBdr>
            <w:top w:val="none" w:sz="0" w:space="0" w:color="auto"/>
            <w:left w:val="none" w:sz="0" w:space="0" w:color="auto"/>
            <w:bottom w:val="none" w:sz="0" w:space="0" w:color="auto"/>
            <w:right w:val="none" w:sz="0" w:space="0" w:color="auto"/>
          </w:divBdr>
        </w:div>
        <w:div w:id="1810434117">
          <w:marLeft w:val="1166"/>
          <w:marRight w:val="0"/>
          <w:marTop w:val="118"/>
          <w:marBottom w:val="0"/>
          <w:divBdr>
            <w:top w:val="none" w:sz="0" w:space="0" w:color="auto"/>
            <w:left w:val="none" w:sz="0" w:space="0" w:color="auto"/>
            <w:bottom w:val="none" w:sz="0" w:space="0" w:color="auto"/>
            <w:right w:val="none" w:sz="0" w:space="0" w:color="auto"/>
          </w:divBdr>
        </w:div>
        <w:div w:id="2050107162">
          <w:marLeft w:val="1166"/>
          <w:marRight w:val="0"/>
          <w:marTop w:val="118"/>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1161846580">
          <w:marLeft w:val="360"/>
          <w:marRight w:val="0"/>
          <w:marTop w:val="200"/>
          <w:marBottom w:val="0"/>
          <w:divBdr>
            <w:top w:val="none" w:sz="0" w:space="0" w:color="auto"/>
            <w:left w:val="none" w:sz="0" w:space="0" w:color="auto"/>
            <w:bottom w:val="none" w:sz="0" w:space="0" w:color="auto"/>
            <w:right w:val="none" w:sz="0" w:space="0" w:color="auto"/>
          </w:divBdr>
        </w:div>
        <w:div w:id="914974121">
          <w:marLeft w:val="360"/>
          <w:marRight w:val="0"/>
          <w:marTop w:val="200"/>
          <w:marBottom w:val="0"/>
          <w:divBdr>
            <w:top w:val="none" w:sz="0" w:space="0" w:color="auto"/>
            <w:left w:val="none" w:sz="0" w:space="0" w:color="auto"/>
            <w:bottom w:val="none" w:sz="0" w:space="0" w:color="auto"/>
            <w:right w:val="none" w:sz="0" w:space="0" w:color="auto"/>
          </w:divBdr>
        </w:div>
      </w:divsChild>
    </w:div>
    <w:div w:id="824394924">
      <w:bodyDiv w:val="1"/>
      <w:marLeft w:val="0"/>
      <w:marRight w:val="0"/>
      <w:marTop w:val="0"/>
      <w:marBottom w:val="0"/>
      <w:divBdr>
        <w:top w:val="none" w:sz="0" w:space="0" w:color="auto"/>
        <w:left w:val="none" w:sz="0" w:space="0" w:color="auto"/>
        <w:bottom w:val="none" w:sz="0" w:space="0" w:color="auto"/>
        <w:right w:val="none" w:sz="0" w:space="0" w:color="auto"/>
      </w:divBdr>
      <w:divsChild>
        <w:div w:id="187763253">
          <w:marLeft w:val="360"/>
          <w:marRight w:val="0"/>
          <w:marTop w:val="200"/>
          <w:marBottom w:val="0"/>
          <w:divBdr>
            <w:top w:val="none" w:sz="0" w:space="0" w:color="auto"/>
            <w:left w:val="none" w:sz="0" w:space="0" w:color="auto"/>
            <w:bottom w:val="none" w:sz="0" w:space="0" w:color="auto"/>
            <w:right w:val="none" w:sz="0" w:space="0" w:color="auto"/>
          </w:divBdr>
        </w:div>
      </w:divsChild>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385378855">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203295446">
          <w:marLeft w:val="360"/>
          <w:marRight w:val="0"/>
          <w:marTop w:val="200"/>
          <w:marBottom w:val="0"/>
          <w:divBdr>
            <w:top w:val="none" w:sz="0" w:space="0" w:color="auto"/>
            <w:left w:val="none" w:sz="0" w:space="0" w:color="auto"/>
            <w:bottom w:val="none" w:sz="0" w:space="0" w:color="auto"/>
            <w:right w:val="none" w:sz="0" w:space="0" w:color="auto"/>
          </w:divBdr>
        </w:div>
      </w:divsChild>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475871567">
      <w:bodyDiv w:val="1"/>
      <w:marLeft w:val="0"/>
      <w:marRight w:val="0"/>
      <w:marTop w:val="0"/>
      <w:marBottom w:val="0"/>
      <w:divBdr>
        <w:top w:val="none" w:sz="0" w:space="0" w:color="auto"/>
        <w:left w:val="none" w:sz="0" w:space="0" w:color="auto"/>
        <w:bottom w:val="none" w:sz="0" w:space="0" w:color="auto"/>
        <w:right w:val="none" w:sz="0" w:space="0" w:color="auto"/>
      </w:divBdr>
      <w:divsChild>
        <w:div w:id="1737046116">
          <w:marLeft w:val="547"/>
          <w:marRight w:val="0"/>
          <w:marTop w:val="134"/>
          <w:marBottom w:val="0"/>
          <w:divBdr>
            <w:top w:val="none" w:sz="0" w:space="0" w:color="auto"/>
            <w:left w:val="none" w:sz="0" w:space="0" w:color="auto"/>
            <w:bottom w:val="none" w:sz="0" w:space="0" w:color="auto"/>
            <w:right w:val="none" w:sz="0" w:space="0" w:color="auto"/>
          </w:divBdr>
        </w:div>
        <w:div w:id="1768311591">
          <w:marLeft w:val="547"/>
          <w:marRight w:val="0"/>
          <w:marTop w:val="134"/>
          <w:marBottom w:val="0"/>
          <w:divBdr>
            <w:top w:val="none" w:sz="0" w:space="0" w:color="auto"/>
            <w:left w:val="none" w:sz="0" w:space="0" w:color="auto"/>
            <w:bottom w:val="none" w:sz="0" w:space="0" w:color="auto"/>
            <w:right w:val="none" w:sz="0" w:space="0" w:color="auto"/>
          </w:divBdr>
        </w:div>
        <w:div w:id="1525514191">
          <w:marLeft w:val="547"/>
          <w:marRight w:val="0"/>
          <w:marTop w:val="134"/>
          <w:marBottom w:val="0"/>
          <w:divBdr>
            <w:top w:val="none" w:sz="0" w:space="0" w:color="auto"/>
            <w:left w:val="none" w:sz="0" w:space="0" w:color="auto"/>
            <w:bottom w:val="none" w:sz="0" w:space="0" w:color="auto"/>
            <w:right w:val="none" w:sz="0" w:space="0" w:color="auto"/>
          </w:divBdr>
        </w:div>
      </w:divsChild>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653480555">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667176328">
          <w:marLeft w:val="360"/>
          <w:marRight w:val="0"/>
          <w:marTop w:val="200"/>
          <w:marBottom w:val="12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 w:id="460077345">
          <w:marLeft w:val="1080"/>
          <w:marRight w:val="0"/>
          <w:marTop w:val="100"/>
          <w:marBottom w:val="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22049343">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D3528-4A48-40B4-AF39-B070668C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2781</TotalTime>
  <Pages>2</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242</cp:revision>
  <dcterms:created xsi:type="dcterms:W3CDTF">2019-06-10T11:05:00Z</dcterms:created>
  <dcterms:modified xsi:type="dcterms:W3CDTF">2021-04-02T18:54:00Z</dcterms:modified>
</cp:coreProperties>
</file>