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5A6353" w:rsidRPr="005A6353">
        <w:rPr>
          <w:rFonts w:ascii="Arial" w:hAnsi="Arial" w:cs="Arial"/>
          <w:b/>
          <w:sz w:val="24"/>
          <w:lang w:val="en-US" w:eastAsia="zh-CN"/>
        </w:rPr>
        <w:t>R4-2107013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39AC" w:rsidRPr="006839AC">
        <w:rPr>
          <w:rFonts w:ascii="Arial" w:eastAsia="宋体" w:hAnsi="Arial"/>
          <w:b/>
          <w:sz w:val="24"/>
          <w:lang w:val="en-US" w:eastAsia="zh-CN"/>
        </w:rPr>
        <w:t>Discussion on general issues for gNB positioning measurement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w:t>
      </w:r>
      <w:r w:rsidR="00907EB7">
        <w:rPr>
          <w:rFonts w:ascii="Arial" w:hAnsi="Arial"/>
          <w:b/>
          <w:sz w:val="24"/>
          <w:lang w:val="en-US"/>
        </w:rPr>
        <w:t>2.</w:t>
      </w:r>
      <w:r w:rsidR="006839AC">
        <w:rPr>
          <w:rFonts w:ascii="Arial" w:hAnsi="Arial"/>
          <w:b/>
          <w:sz w:val="24"/>
          <w:lang w:val="en-US"/>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907EB7">
        <w:rPr>
          <w:rFonts w:eastAsia="宋体"/>
          <w:lang w:eastAsia="zh-CN"/>
        </w:rPr>
        <w:t xml:space="preserve">accuracy </w:t>
      </w:r>
      <w:r w:rsidR="008B3D10">
        <w:rPr>
          <w:rFonts w:eastAsia="宋体"/>
          <w:lang w:eastAsia="zh-CN"/>
        </w:rPr>
        <w:t xml:space="preserve">requirements for </w:t>
      </w:r>
      <w:r w:rsidR="006839AC">
        <w:rPr>
          <w:rFonts w:eastAsia="宋体"/>
          <w:lang w:eastAsia="zh-CN"/>
        </w:rPr>
        <w:t>gNB positioning</w:t>
      </w:r>
      <w:r w:rsidR="008B3D10">
        <w:rPr>
          <w:rFonts w:eastAsia="宋体"/>
          <w:lang w:eastAsia="zh-CN"/>
        </w:rPr>
        <w:t xml:space="preserve">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Default="006839AC"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6839AC">
        <w:rPr>
          <w:rFonts w:eastAsia="宋体"/>
          <w:lang w:val="en-GB" w:eastAsia="zh-CN"/>
        </w:rPr>
        <w:t>Beam sweeping during gNB measurement</w:t>
      </w:r>
    </w:p>
    <w:p w:rsidR="00907EB7" w:rsidRPr="006839AC" w:rsidRDefault="006839AC"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6839AC">
        <w:rPr>
          <w:rFonts w:eastAsia="宋体"/>
          <w:lang w:val="en-GB" w:eastAsia="zh-CN"/>
        </w:rPr>
        <w:t>Samples for gNB accuracy requirements</w:t>
      </w:r>
    </w:p>
    <w:p w:rsidR="006839AC" w:rsidRPr="006839AC" w:rsidRDefault="006839AC" w:rsidP="006839A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t is noted that the </w:t>
      </w:r>
      <w:r w:rsidRPr="006839AC">
        <w:rPr>
          <w:rFonts w:eastAsia="宋体"/>
          <w:lang w:eastAsia="zh-CN"/>
        </w:rPr>
        <w:t>SRS parameters for gNB measurement accuracy</w:t>
      </w:r>
      <w:r>
        <w:rPr>
          <w:rFonts w:eastAsia="宋体"/>
          <w:lang w:eastAsia="zh-CN"/>
        </w:rPr>
        <w:t xml:space="preserve">, though categorized as a general issue in [1], are agreed to be decided based on link level simulation results, so we will address them separately for different gNB measurements (gNB Rx-Tx and SRS-RSRP) together with the simulation results.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w:t>
      </w:r>
      <w:r w:rsidR="006839AC">
        <w:rPr>
          <w:rFonts w:eastAsia="宋体"/>
          <w:lang w:eastAsia="zh-CN"/>
        </w:rPr>
        <w:t>generic</w:t>
      </w:r>
      <w:r w:rsidR="00270BDD">
        <w:rPr>
          <w:rFonts w:eastAsia="宋体"/>
          <w:lang w:eastAsia="zh-CN"/>
        </w:rPr>
        <w:t xml:space="preserve"> issues </w:t>
      </w:r>
      <w:r w:rsidR="0047047C">
        <w:rPr>
          <w:rFonts w:eastAsia="宋体"/>
          <w:lang w:eastAsia="zh-CN"/>
        </w:rPr>
        <w:t xml:space="preserve">on </w:t>
      </w:r>
      <w:r w:rsidR="006839AC">
        <w:rPr>
          <w:rFonts w:eastAsia="宋体"/>
          <w:lang w:eastAsia="zh-CN"/>
        </w:rPr>
        <w:t>gNB positioning</w:t>
      </w:r>
      <w:r w:rsidR="0047047C">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6839AC" w:rsidRDefault="006839AC" w:rsidP="006839AC">
      <w:pPr>
        <w:pStyle w:val="2"/>
        <w:rPr>
          <w:lang w:eastAsia="zh-CN"/>
        </w:rPr>
      </w:pPr>
      <w:r w:rsidRPr="006839AC">
        <w:rPr>
          <w:lang w:eastAsia="zh-CN"/>
        </w:rPr>
        <w:t>Beam sweeping during gNB measurement</w:t>
      </w:r>
    </w:p>
    <w:tbl>
      <w:tblPr>
        <w:tblStyle w:val="af4"/>
        <w:tblW w:w="0" w:type="auto"/>
        <w:tblLook w:val="04A0" w:firstRow="1" w:lastRow="0" w:firstColumn="1" w:lastColumn="0" w:noHBand="0" w:noVBand="1"/>
      </w:tblPr>
      <w:tblGrid>
        <w:gridCol w:w="9621"/>
      </w:tblGrid>
      <w:tr w:rsidR="006839AC" w:rsidTr="006839AC">
        <w:tc>
          <w:tcPr>
            <w:tcW w:w="9621" w:type="dxa"/>
          </w:tcPr>
          <w:p w:rsidR="00EE4BFD" w:rsidRPr="006839AC" w:rsidRDefault="00EE4BFD" w:rsidP="006839AC">
            <w:pPr>
              <w:numPr>
                <w:ilvl w:val="0"/>
                <w:numId w:val="39"/>
              </w:numPr>
              <w:spacing w:before="120" w:after="120"/>
              <w:rPr>
                <w:rFonts w:eastAsiaTheme="minorEastAsia"/>
                <w:lang w:val="en-US" w:eastAsia="zh-CN"/>
              </w:rPr>
            </w:pPr>
            <w:r w:rsidRPr="006839AC">
              <w:rPr>
                <w:rFonts w:eastAsiaTheme="minorEastAsia"/>
                <w:lang w:val="en-US" w:eastAsia="zh-CN"/>
              </w:rPr>
              <w:t>gNB accuracy requirements do not mandate gNB RX beam sweeping</w:t>
            </w:r>
          </w:p>
          <w:p w:rsidR="00EE4BFD" w:rsidRPr="006839AC" w:rsidRDefault="00EE4BFD" w:rsidP="006839AC">
            <w:pPr>
              <w:numPr>
                <w:ilvl w:val="0"/>
                <w:numId w:val="39"/>
              </w:numPr>
              <w:spacing w:before="120" w:after="120"/>
              <w:rPr>
                <w:rFonts w:eastAsiaTheme="minorEastAsia"/>
                <w:lang w:val="en-US" w:eastAsia="zh-CN"/>
              </w:rPr>
            </w:pPr>
            <w:r w:rsidRPr="006839AC">
              <w:rPr>
                <w:rFonts w:eastAsiaTheme="minorEastAsia"/>
                <w:lang w:val="en-US" w:eastAsia="zh-CN"/>
              </w:rPr>
              <w:t>Options for capturing above agreements:</w:t>
            </w:r>
          </w:p>
          <w:p w:rsidR="00EE4BFD" w:rsidRPr="006839AC" w:rsidRDefault="00EE4BFD" w:rsidP="006839AC">
            <w:pPr>
              <w:numPr>
                <w:ilvl w:val="1"/>
                <w:numId w:val="39"/>
              </w:numPr>
              <w:spacing w:before="120" w:after="120"/>
              <w:rPr>
                <w:rFonts w:eastAsiaTheme="minorEastAsia"/>
                <w:lang w:val="en-US" w:eastAsia="zh-CN"/>
              </w:rPr>
            </w:pPr>
            <w:r w:rsidRPr="006839AC">
              <w:rPr>
                <w:rFonts w:eastAsiaTheme="minorEastAsia"/>
                <w:lang w:val="en-US" w:eastAsia="zh-CN"/>
              </w:rPr>
              <w:t>Option 1:</w:t>
            </w:r>
          </w:p>
          <w:p w:rsidR="00EE4BFD" w:rsidRPr="006839AC" w:rsidRDefault="00EE4BFD" w:rsidP="006839AC">
            <w:pPr>
              <w:numPr>
                <w:ilvl w:val="2"/>
                <w:numId w:val="39"/>
              </w:numPr>
              <w:spacing w:before="120" w:after="120"/>
              <w:rPr>
                <w:rFonts w:eastAsiaTheme="minorEastAsia"/>
                <w:lang w:val="en-US" w:eastAsia="zh-CN"/>
              </w:rPr>
            </w:pPr>
            <w:r w:rsidRPr="006839AC">
              <w:rPr>
                <w:rFonts w:eastAsiaTheme="minorEastAsia"/>
                <w:lang w:val="en-US" w:eastAsia="zh-CN"/>
              </w:rPr>
              <w:t>gNB accuracy requirements do not mandate gNB RX beam sweeping is captured only in the WF.</w:t>
            </w:r>
          </w:p>
          <w:p w:rsidR="00EE4BFD" w:rsidRPr="006839AC" w:rsidRDefault="00EE4BFD" w:rsidP="006839AC">
            <w:pPr>
              <w:numPr>
                <w:ilvl w:val="1"/>
                <w:numId w:val="39"/>
              </w:numPr>
              <w:spacing w:before="120" w:after="120"/>
              <w:rPr>
                <w:rFonts w:eastAsiaTheme="minorEastAsia"/>
                <w:lang w:val="en-US" w:eastAsia="zh-CN"/>
              </w:rPr>
            </w:pPr>
            <w:r w:rsidRPr="006839AC">
              <w:rPr>
                <w:rFonts w:eastAsiaTheme="minorEastAsia"/>
                <w:lang w:val="en-US" w:eastAsia="zh-CN"/>
              </w:rPr>
              <w:t>Option 2:</w:t>
            </w:r>
          </w:p>
          <w:p w:rsidR="00EE4BFD" w:rsidRPr="006839AC" w:rsidRDefault="00EE4BFD" w:rsidP="006839AC">
            <w:pPr>
              <w:numPr>
                <w:ilvl w:val="2"/>
                <w:numId w:val="39"/>
              </w:numPr>
              <w:spacing w:before="120" w:after="120"/>
              <w:rPr>
                <w:rFonts w:eastAsiaTheme="minorEastAsia"/>
                <w:lang w:val="en-US" w:eastAsia="zh-CN"/>
              </w:rPr>
            </w:pPr>
            <w:r w:rsidRPr="006839AC">
              <w:rPr>
                <w:rFonts w:eastAsiaTheme="minorEastAsia"/>
                <w:lang w:val="en-US" w:eastAsia="zh-CN"/>
              </w:rPr>
              <w:t>gNB accuracy requirements do not mandate gNB RX beam sweeping is included in the accuracy side conditions.</w:t>
            </w:r>
          </w:p>
          <w:p w:rsidR="006839AC" w:rsidRPr="006839AC" w:rsidRDefault="00EE4BFD" w:rsidP="006839AC">
            <w:pPr>
              <w:numPr>
                <w:ilvl w:val="1"/>
                <w:numId w:val="39"/>
              </w:numPr>
              <w:spacing w:before="120" w:after="120"/>
              <w:rPr>
                <w:rFonts w:eastAsiaTheme="minorEastAsia"/>
                <w:lang w:val="en-US" w:eastAsia="zh-CN"/>
              </w:rPr>
            </w:pPr>
            <w:r w:rsidRPr="006839AC">
              <w:rPr>
                <w:rFonts w:eastAsiaTheme="minorEastAsia"/>
                <w:lang w:eastAsia="zh-CN"/>
              </w:rPr>
              <w:t>Other options not precluded</w:t>
            </w:r>
          </w:p>
        </w:tc>
      </w:tr>
    </w:tbl>
    <w:p w:rsidR="00EE4BFD" w:rsidRDefault="00EE4BFD" w:rsidP="006839AC">
      <w:pPr>
        <w:spacing w:before="120" w:after="120"/>
        <w:rPr>
          <w:rFonts w:eastAsiaTheme="minorEastAsia"/>
          <w:lang w:val="en-US" w:eastAsia="zh-CN"/>
        </w:rPr>
      </w:pPr>
      <w:r>
        <w:rPr>
          <w:rFonts w:eastAsiaTheme="minorEastAsia"/>
          <w:lang w:eastAsia="zh-CN"/>
        </w:rPr>
        <w:t xml:space="preserve">It was agreed that </w:t>
      </w:r>
      <w:r w:rsidRPr="006839AC">
        <w:rPr>
          <w:rFonts w:eastAsiaTheme="minorEastAsia"/>
          <w:lang w:val="en-US" w:eastAsia="zh-CN"/>
        </w:rPr>
        <w:t>gNB accuracy requirements do not mandate gNB RX beam sweeping</w:t>
      </w:r>
      <w:r>
        <w:rPr>
          <w:rFonts w:eastAsiaTheme="minorEastAsia"/>
          <w:lang w:val="en-US" w:eastAsia="zh-CN"/>
        </w:rPr>
        <w:t>, and the remaining question is whether this needs to be captured as a side condition in the spec.</w:t>
      </w:r>
    </w:p>
    <w:p w:rsidR="008E0722" w:rsidRDefault="00EE4BFD" w:rsidP="006839AC">
      <w:pPr>
        <w:spacing w:before="120" w:after="120"/>
        <w:rPr>
          <w:rFonts w:eastAsiaTheme="minorEastAsia"/>
          <w:lang w:val="en-US" w:eastAsia="zh-CN"/>
        </w:rPr>
      </w:pPr>
      <w:r>
        <w:rPr>
          <w:rFonts w:eastAsiaTheme="minorEastAsia"/>
          <w:lang w:val="en-US" w:eastAsia="zh-CN"/>
        </w:rPr>
        <w:t>In our view, there is no need to capture this agreement as a side condition in the spec. What should be captured as side conditions are conditions under which gNB is required to meet the requirement, e.g. the Es/Iot, the Io or the timing offset. Rx beam sweeping is a gNB behavior which is not even a condition.</w:t>
      </w:r>
      <w:r w:rsidR="008E0722">
        <w:rPr>
          <w:rFonts w:eastAsiaTheme="minorEastAsia"/>
          <w:lang w:val="en-US" w:eastAsia="zh-CN"/>
        </w:rPr>
        <w:t xml:space="preserve"> </w:t>
      </w:r>
    </w:p>
    <w:p w:rsidR="006839AC" w:rsidRDefault="00EE4BFD" w:rsidP="006839AC">
      <w:pPr>
        <w:spacing w:before="120" w:after="120"/>
        <w:rPr>
          <w:rFonts w:eastAsiaTheme="minorEastAsia"/>
          <w:lang w:val="en-US" w:eastAsia="zh-CN"/>
        </w:rPr>
      </w:pPr>
      <w:r>
        <w:rPr>
          <w:rFonts w:eastAsiaTheme="minorEastAsia"/>
          <w:lang w:val="en-US" w:eastAsia="zh-CN"/>
        </w:rPr>
        <w:t>In addition, we do not see how the accuracy requirement woul</w:t>
      </w:r>
      <w:r w:rsidR="008E0722">
        <w:rPr>
          <w:rFonts w:eastAsiaTheme="minorEastAsia"/>
          <w:lang w:val="en-US" w:eastAsia="zh-CN"/>
        </w:rPr>
        <w:t>d enforce gNB Rx beam sweeping. Whether and how to do Rx beam sweeping is up to gNB implementation, as long as it can meet the requirements.</w:t>
      </w:r>
    </w:p>
    <w:p w:rsidR="008E0722" w:rsidRPr="008E0722" w:rsidRDefault="008E0722" w:rsidP="006839AC">
      <w:pPr>
        <w:spacing w:before="120" w:after="120"/>
        <w:rPr>
          <w:rFonts w:eastAsiaTheme="minorEastAsia"/>
          <w:b/>
          <w:lang w:val="en-US" w:eastAsia="zh-CN"/>
        </w:rPr>
      </w:pPr>
      <w:r w:rsidRPr="008E0722">
        <w:rPr>
          <w:rFonts w:eastAsiaTheme="minorEastAsia"/>
          <w:b/>
          <w:lang w:val="en-US" w:eastAsia="zh-CN"/>
        </w:rPr>
        <w:t>Proposal 1: gNB accuracy requirements do not mandate gNB RX beam sweeping is captured only in the WF.</w:t>
      </w:r>
    </w:p>
    <w:p w:rsidR="008E0722" w:rsidRDefault="008E0722" w:rsidP="006839AC">
      <w:pPr>
        <w:spacing w:before="120" w:after="120"/>
        <w:rPr>
          <w:rFonts w:eastAsiaTheme="minorEastAsia"/>
          <w:lang w:eastAsia="zh-CN"/>
        </w:rPr>
      </w:pPr>
      <w:r>
        <w:rPr>
          <w:rFonts w:eastAsiaTheme="minorEastAsia"/>
          <w:lang w:eastAsia="zh-CN"/>
        </w:rPr>
        <w:lastRenderedPageBreak/>
        <w:t>On the other hand, RAN4 needs to discuss the side condition in terms of applicable UE directions. For the UE accuracy requirements in FR2, the related side condition is defined as highlighted follows.</w:t>
      </w:r>
    </w:p>
    <w:tbl>
      <w:tblPr>
        <w:tblStyle w:val="af4"/>
        <w:tblW w:w="0" w:type="auto"/>
        <w:tblLook w:val="04A0" w:firstRow="1" w:lastRow="0" w:firstColumn="1" w:lastColumn="0" w:noHBand="0" w:noVBand="1"/>
      </w:tblPr>
      <w:tblGrid>
        <w:gridCol w:w="9621"/>
      </w:tblGrid>
      <w:tr w:rsidR="008E0722" w:rsidTr="008E0722">
        <w:tc>
          <w:tcPr>
            <w:tcW w:w="9621" w:type="dxa"/>
          </w:tcPr>
          <w:p w:rsidR="008E0722" w:rsidRPr="009C5807" w:rsidRDefault="008E0722" w:rsidP="008E0722">
            <w:pPr>
              <w:spacing w:before="120" w:after="120"/>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rsidR="008E0722" w:rsidRPr="009C5807" w:rsidRDefault="008E0722" w:rsidP="008E0722">
            <w:pPr>
              <w:pStyle w:val="B10"/>
              <w:spacing w:before="120" w:after="120"/>
              <w:rPr>
                <w:lang w:eastAsia="zh-CN"/>
              </w:rPr>
            </w:pPr>
            <w:r w:rsidRPr="009C5807">
              <w:t>-</w:t>
            </w:r>
            <w:r w:rsidRPr="009C5807">
              <w:tab/>
              <w:t>Conditions defined in clause 7.3 of TS 38.101-2 [19] for reference sensitivity are fulfilled.</w:t>
            </w:r>
          </w:p>
          <w:p w:rsidR="008E0722" w:rsidRPr="009C5807" w:rsidRDefault="008E0722" w:rsidP="008E0722">
            <w:pPr>
              <w:pStyle w:val="B10"/>
              <w:spacing w:before="120" w:after="12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rsidR="008E0722" w:rsidRPr="008E0722" w:rsidRDefault="008E0722" w:rsidP="008E0722">
            <w:pPr>
              <w:pStyle w:val="B10"/>
              <w:spacing w:before="120" w:after="120"/>
            </w:pPr>
            <w:r w:rsidRPr="008E0722">
              <w:rPr>
                <w:highlight w:val="yellow"/>
              </w:rPr>
              <w:t>-</w:t>
            </w:r>
            <w:r w:rsidRPr="008E0722">
              <w:rPr>
                <w:highlight w:val="yellow"/>
              </w:rPr>
              <w:tab/>
              <w:t xml:space="preserve">The measured signals are in the directions covered by the percentile EIS spherical coverage of the UE, defined in </w:t>
            </w:r>
            <w:r w:rsidRPr="008E0722">
              <w:rPr>
                <w:rFonts w:cs="Arial"/>
                <w:highlight w:val="yellow"/>
              </w:rPr>
              <w:t>clause 7.3.4 of TS 38.101-2 [19]</w:t>
            </w:r>
            <w:r w:rsidRPr="008E0722">
              <w:rPr>
                <w:highlight w:val="yellow"/>
              </w:rPr>
              <w:t>.</w:t>
            </w:r>
          </w:p>
        </w:tc>
      </w:tr>
    </w:tbl>
    <w:p w:rsidR="008E0722" w:rsidRDefault="008E0722" w:rsidP="008E0722">
      <w:pPr>
        <w:spacing w:before="120" w:after="120"/>
        <w:rPr>
          <w:rFonts w:eastAsia="宋体"/>
          <w:lang w:eastAsia="zh-CN"/>
        </w:rPr>
      </w:pPr>
      <w:r>
        <w:rPr>
          <w:rFonts w:eastAsiaTheme="minorEastAsia"/>
          <w:lang w:eastAsia="zh-CN"/>
        </w:rPr>
        <w:t xml:space="preserve">Similar side condition should be defined for gNB measurement in FR2, since gNB should not be required to measure UE SRS from any direction. </w:t>
      </w:r>
      <w:r>
        <w:rPr>
          <w:rFonts w:eastAsia="宋体"/>
          <w:lang w:eastAsia="zh-CN"/>
        </w:rPr>
        <w:t>In our view, for type 1-O and 2-O BS, the applicability of positioning measurement requirements in terms of spatial directions should follow the same approach as Refsens requirements in 38.104. In 38.104 we have the following requirements.</w:t>
      </w:r>
    </w:p>
    <w:tbl>
      <w:tblPr>
        <w:tblStyle w:val="af4"/>
        <w:tblW w:w="0" w:type="auto"/>
        <w:tblLook w:val="04A0" w:firstRow="1" w:lastRow="0" w:firstColumn="1" w:lastColumn="0" w:noHBand="0" w:noVBand="1"/>
      </w:tblPr>
      <w:tblGrid>
        <w:gridCol w:w="9621"/>
      </w:tblGrid>
      <w:tr w:rsidR="008E0722" w:rsidTr="008E0722">
        <w:tc>
          <w:tcPr>
            <w:tcW w:w="9621" w:type="dxa"/>
            <w:tcBorders>
              <w:top w:val="single" w:sz="4" w:space="0" w:color="auto"/>
              <w:left w:val="single" w:sz="4" w:space="0" w:color="auto"/>
              <w:bottom w:val="single" w:sz="4" w:space="0" w:color="auto"/>
              <w:right w:val="single" w:sz="4" w:space="0" w:color="auto"/>
            </w:tcBorders>
            <w:hideMark/>
          </w:tcPr>
          <w:p w:rsidR="008E0722" w:rsidRDefault="008E0722">
            <w:pPr>
              <w:keepNext/>
              <w:keepLines/>
              <w:spacing w:before="120" w:after="120"/>
              <w:outlineLvl w:val="1"/>
              <w:rPr>
                <w:rFonts w:ascii="Arial" w:eastAsia="等线" w:hAnsi="Arial"/>
                <w:sz w:val="32"/>
              </w:rPr>
            </w:pPr>
            <w:bookmarkStart w:id="1" w:name="_Toc21127705"/>
            <w:bookmarkStart w:id="2" w:name="_Toc29811914"/>
            <w:bookmarkStart w:id="3" w:name="_Toc36817466"/>
            <w:bookmarkStart w:id="4" w:name="_Toc37260388"/>
            <w:bookmarkStart w:id="5" w:name="_Toc37267776"/>
            <w:bookmarkStart w:id="6" w:name="_Toc44712382"/>
            <w:bookmarkStart w:id="7" w:name="_Toc45893694"/>
            <w:bookmarkStart w:id="8" w:name="_Toc53178408"/>
            <w:bookmarkStart w:id="9" w:name="_Toc53178859"/>
            <w:bookmarkStart w:id="10" w:name="_Toc61178110"/>
            <w:bookmarkStart w:id="11" w:name="_Toc61178582"/>
            <w:r>
              <w:rPr>
                <w:rFonts w:ascii="Arial" w:eastAsia="等线" w:hAnsi="Arial"/>
                <w:sz w:val="32"/>
              </w:rPr>
              <w:t>10.3</w:t>
            </w:r>
            <w:r>
              <w:rPr>
                <w:rFonts w:ascii="Arial" w:eastAsia="等线" w:hAnsi="Arial"/>
                <w:sz w:val="32"/>
              </w:rPr>
              <w:tab/>
              <w:t>OTA reference sensitivity level</w:t>
            </w:r>
            <w:bookmarkEnd w:id="1"/>
            <w:bookmarkEnd w:id="2"/>
            <w:bookmarkEnd w:id="3"/>
            <w:bookmarkEnd w:id="4"/>
            <w:bookmarkEnd w:id="5"/>
            <w:bookmarkEnd w:id="6"/>
            <w:bookmarkEnd w:id="7"/>
            <w:bookmarkEnd w:id="8"/>
            <w:bookmarkEnd w:id="9"/>
            <w:bookmarkEnd w:id="10"/>
            <w:bookmarkEnd w:id="11"/>
          </w:p>
          <w:p w:rsidR="008E0722" w:rsidRDefault="008E0722">
            <w:pPr>
              <w:keepNext/>
              <w:keepLines/>
              <w:spacing w:before="120" w:after="120"/>
              <w:outlineLvl w:val="2"/>
              <w:rPr>
                <w:rFonts w:ascii="Arial" w:eastAsia="等线" w:hAnsi="Arial"/>
                <w:sz w:val="28"/>
              </w:rPr>
            </w:pPr>
            <w:bookmarkStart w:id="12" w:name="_Toc21127706"/>
            <w:bookmarkStart w:id="13" w:name="_Toc29811915"/>
            <w:bookmarkStart w:id="14" w:name="_Toc36817467"/>
            <w:bookmarkStart w:id="15" w:name="_Toc37260389"/>
            <w:bookmarkStart w:id="16" w:name="_Toc37267777"/>
            <w:bookmarkStart w:id="17" w:name="_Toc44712383"/>
            <w:bookmarkStart w:id="18" w:name="_Toc45893695"/>
            <w:bookmarkStart w:id="19" w:name="_Toc53178409"/>
            <w:bookmarkStart w:id="20" w:name="_Toc53178860"/>
            <w:bookmarkStart w:id="21" w:name="_Toc61178111"/>
            <w:bookmarkStart w:id="22" w:name="_Toc61178583"/>
            <w:bookmarkStart w:id="23" w:name="_Hlk500365921"/>
            <w:r>
              <w:rPr>
                <w:rFonts w:ascii="Arial" w:eastAsia="等线" w:hAnsi="Arial"/>
                <w:sz w:val="28"/>
              </w:rPr>
              <w:t>10.3.1</w:t>
            </w:r>
            <w:r>
              <w:rPr>
                <w:rFonts w:ascii="Arial" w:eastAsia="等线" w:hAnsi="Arial"/>
                <w:sz w:val="28"/>
              </w:rPr>
              <w:tab/>
              <w:t>General</w:t>
            </w:r>
            <w:bookmarkEnd w:id="12"/>
            <w:bookmarkEnd w:id="13"/>
            <w:bookmarkEnd w:id="14"/>
            <w:bookmarkEnd w:id="15"/>
            <w:bookmarkEnd w:id="16"/>
            <w:bookmarkEnd w:id="17"/>
            <w:bookmarkEnd w:id="18"/>
            <w:bookmarkEnd w:id="19"/>
            <w:bookmarkEnd w:id="20"/>
            <w:bookmarkEnd w:id="21"/>
            <w:bookmarkEnd w:id="22"/>
          </w:p>
          <w:p w:rsidR="008E0722" w:rsidRDefault="008E0722">
            <w:pPr>
              <w:spacing w:before="120" w:after="120"/>
              <w:rPr>
                <w:rFonts w:eastAsia="等线"/>
                <w:sz w:val="20"/>
              </w:rPr>
            </w:pPr>
            <w:r>
              <w:rPr>
                <w:rFonts w:eastAsia="等线"/>
                <w:sz w:val="20"/>
              </w:rPr>
              <w:t xml:space="preserve">The OTA REFSENS requirement is a </w:t>
            </w:r>
            <w:r>
              <w:rPr>
                <w:rFonts w:eastAsia="等线"/>
                <w:i/>
                <w:sz w:val="20"/>
              </w:rPr>
              <w:t>directional requirement</w:t>
            </w:r>
            <w:r>
              <w:rPr>
                <w:rFonts w:eastAsia="等线"/>
                <w:sz w:val="20"/>
              </w:rPr>
              <w:t xml:space="preserve"> and is intended to ensure the minimum OTA reference sensitivity level for a declared </w:t>
            </w:r>
            <w:r>
              <w:rPr>
                <w:rFonts w:eastAsia="等线"/>
                <w:i/>
                <w:sz w:val="20"/>
              </w:rPr>
              <w:t>OTA REFSENS RoAoA</w:t>
            </w:r>
            <w:r>
              <w:rPr>
                <w:rFonts w:eastAsia="等线"/>
                <w:sz w:val="20"/>
              </w:rPr>
              <w:t>. The OTA reference sensitivity power level EIS</w:t>
            </w:r>
            <w:r>
              <w:rPr>
                <w:rFonts w:eastAsia="等线"/>
                <w:sz w:val="20"/>
                <w:vertAlign w:val="subscript"/>
              </w:rPr>
              <w:t>REFSENS</w:t>
            </w:r>
            <w:r>
              <w:rPr>
                <w:rFonts w:eastAsia="等线"/>
                <w:sz w:val="20"/>
              </w:rPr>
              <w:t xml:space="preserve"> is the minimum mean power received at the RIB at which a reference performance requirement shall be met for a specified reference measurement channel.</w:t>
            </w:r>
          </w:p>
          <w:p w:rsidR="008E0722" w:rsidRDefault="008E0722">
            <w:pPr>
              <w:spacing w:before="120" w:after="120"/>
              <w:rPr>
                <w:rFonts w:eastAsia="等线"/>
                <w:sz w:val="20"/>
              </w:rPr>
            </w:pPr>
            <w:r>
              <w:rPr>
                <w:rFonts w:eastAsia="等线"/>
                <w:sz w:val="20"/>
              </w:rPr>
              <w:t xml:space="preserve">The OTA REFSENS requirement shall apply to each supported polarization, under the assumption of </w:t>
            </w:r>
            <w:r>
              <w:rPr>
                <w:rFonts w:eastAsia="等线"/>
                <w:i/>
                <w:sz w:val="20"/>
              </w:rPr>
              <w:t>polarization match</w:t>
            </w:r>
            <w:r>
              <w:rPr>
                <w:rFonts w:eastAsia="等线"/>
                <w:sz w:val="20"/>
              </w:rPr>
              <w:t>.</w:t>
            </w:r>
            <w:bookmarkEnd w:id="23"/>
          </w:p>
        </w:tc>
      </w:tr>
    </w:tbl>
    <w:p w:rsidR="008E0722" w:rsidRDefault="008E0722" w:rsidP="008E0722">
      <w:pPr>
        <w:spacing w:before="120" w:after="120"/>
        <w:rPr>
          <w:rFonts w:eastAsia="宋体"/>
          <w:lang w:eastAsia="zh-CN"/>
        </w:rPr>
      </w:pPr>
      <w:r>
        <w:rPr>
          <w:rFonts w:eastAsia="宋体"/>
          <w:lang w:eastAsia="zh-CN"/>
        </w:rPr>
        <w:t xml:space="preserve">It can be seen that the Refsens requirements are directional requirements, and are applicable for a declared </w:t>
      </w:r>
      <w:r>
        <w:rPr>
          <w:rFonts w:eastAsia="宋体"/>
          <w:i/>
          <w:lang w:eastAsia="zh-CN"/>
        </w:rPr>
        <w:t>OTA REFSENS RoAoA</w:t>
      </w:r>
      <w:r>
        <w:rPr>
          <w:rFonts w:eastAsia="宋体"/>
          <w:lang w:eastAsia="zh-CN"/>
        </w:rPr>
        <w:t xml:space="preserve">. It is reasonable that the positioning measurement requirements apply for the same RoAoA. </w:t>
      </w:r>
    </w:p>
    <w:p w:rsidR="008E0722" w:rsidRDefault="008E0722" w:rsidP="008E0722">
      <w:pPr>
        <w:spacing w:before="120" w:after="120"/>
        <w:rPr>
          <w:rFonts w:eastAsia="宋体"/>
          <w:lang w:eastAsia="zh-CN"/>
        </w:rPr>
      </w:pPr>
      <w:r>
        <w:rPr>
          <w:rFonts w:eastAsia="宋体"/>
          <w:lang w:eastAsia="zh-CN"/>
        </w:rPr>
        <w:t xml:space="preserve">It is also noted that the </w:t>
      </w:r>
      <w:r>
        <w:rPr>
          <w:rFonts w:eastAsia="宋体"/>
          <w:i/>
          <w:lang w:eastAsia="zh-CN"/>
        </w:rPr>
        <w:t>OTA REFSENS RoAoA</w:t>
      </w:r>
      <w:r>
        <w:rPr>
          <w:rFonts w:eastAsia="宋体"/>
          <w:lang w:eastAsia="zh-CN"/>
        </w:rPr>
        <w:t xml:space="preserve"> is not necessarily the </w:t>
      </w:r>
      <w:r>
        <w:rPr>
          <w:rFonts w:eastAsia="宋体"/>
          <w:lang w:val="en-US" w:eastAsia="zh-CN"/>
        </w:rPr>
        <w:t xml:space="preserve">beam peak/main beam lobe direction. For positioning measurement, a gNB will measure SRS from neighbor cell UEs, and it is unrealistic that all the UEs are in the beam peak/main beam lobe direction of a gNB. </w:t>
      </w:r>
    </w:p>
    <w:p w:rsidR="008E0722" w:rsidRDefault="008E0722" w:rsidP="008E0722">
      <w:pPr>
        <w:spacing w:before="120" w:after="120"/>
        <w:rPr>
          <w:rFonts w:eastAsiaTheme="minorEastAsia"/>
          <w:lang w:eastAsia="zh-CN"/>
        </w:rPr>
      </w:pPr>
      <w:r>
        <w:rPr>
          <w:rFonts w:eastAsia="宋体"/>
          <w:b/>
          <w:lang w:eastAsia="zh-CN"/>
        </w:rPr>
        <w:t>Proposal 2: The gNB positioning measurement requirements apply for the same RoAoA as OTA reference sensitivity requirements for 1-O and 2-O BS.</w:t>
      </w:r>
      <w:r>
        <w:t xml:space="preserve"> </w:t>
      </w:r>
    </w:p>
    <w:p w:rsidR="006839AC" w:rsidRPr="006839AC" w:rsidRDefault="006839AC" w:rsidP="006839AC">
      <w:pPr>
        <w:pStyle w:val="2"/>
        <w:rPr>
          <w:lang w:val="en-US" w:eastAsia="zh-CN"/>
        </w:rPr>
      </w:pPr>
      <w:r w:rsidRPr="006839AC">
        <w:rPr>
          <w:lang w:eastAsia="zh-CN"/>
        </w:rPr>
        <w:t>Samples for gNB accuracy requirements</w:t>
      </w:r>
    </w:p>
    <w:tbl>
      <w:tblPr>
        <w:tblStyle w:val="af4"/>
        <w:tblW w:w="0" w:type="auto"/>
        <w:tblLook w:val="04A0" w:firstRow="1" w:lastRow="0" w:firstColumn="1" w:lastColumn="0" w:noHBand="0" w:noVBand="1"/>
      </w:tblPr>
      <w:tblGrid>
        <w:gridCol w:w="9621"/>
      </w:tblGrid>
      <w:tr w:rsidR="008E0722" w:rsidTr="008E0722">
        <w:tc>
          <w:tcPr>
            <w:tcW w:w="9621" w:type="dxa"/>
          </w:tcPr>
          <w:p w:rsidR="009F6AED" w:rsidRPr="008E0722" w:rsidRDefault="009A43C3" w:rsidP="008E0722">
            <w:pPr>
              <w:numPr>
                <w:ilvl w:val="0"/>
                <w:numId w:val="40"/>
              </w:numPr>
              <w:spacing w:before="120" w:after="120"/>
              <w:rPr>
                <w:lang w:val="en-US"/>
              </w:rPr>
            </w:pPr>
            <w:r w:rsidRPr="008E0722">
              <w:t>FFS: number of samples/snapshots used for deriving gNB accuracy requirements.</w:t>
            </w:r>
          </w:p>
          <w:p w:rsidR="009F6AED" w:rsidRPr="008E0722" w:rsidRDefault="009A43C3" w:rsidP="008E0722">
            <w:pPr>
              <w:numPr>
                <w:ilvl w:val="0"/>
                <w:numId w:val="40"/>
              </w:numPr>
              <w:spacing w:before="120" w:after="120"/>
              <w:rPr>
                <w:lang w:val="en-US"/>
              </w:rPr>
            </w:pPr>
            <w:r w:rsidRPr="008E0722">
              <w:rPr>
                <w:lang w:val="de-DE"/>
              </w:rPr>
              <w:t>Option 1:</w:t>
            </w:r>
          </w:p>
          <w:p w:rsidR="009F6AED" w:rsidRPr="008E0722" w:rsidRDefault="009A43C3" w:rsidP="008E0722">
            <w:pPr>
              <w:numPr>
                <w:ilvl w:val="1"/>
                <w:numId w:val="40"/>
              </w:numPr>
              <w:spacing w:before="120" w:after="120"/>
              <w:rPr>
                <w:lang w:val="en-US"/>
              </w:rPr>
            </w:pPr>
            <w:r w:rsidRPr="008E0722">
              <w:t>Define the gNB accuracy requirements based on single shot measurement assumption</w:t>
            </w:r>
          </w:p>
          <w:p w:rsidR="009F6AED" w:rsidRPr="008E0722" w:rsidRDefault="009A43C3" w:rsidP="008E0722">
            <w:pPr>
              <w:numPr>
                <w:ilvl w:val="0"/>
                <w:numId w:val="40"/>
              </w:numPr>
              <w:spacing w:before="120" w:after="120"/>
              <w:rPr>
                <w:lang w:val="en-US"/>
              </w:rPr>
            </w:pPr>
            <w:r w:rsidRPr="008E0722">
              <w:rPr>
                <w:lang w:val="de-DE"/>
              </w:rPr>
              <w:t>Option 2:</w:t>
            </w:r>
          </w:p>
          <w:p w:rsidR="009F6AED" w:rsidRPr="008E0722" w:rsidRDefault="009A43C3" w:rsidP="008E0722">
            <w:pPr>
              <w:numPr>
                <w:ilvl w:val="1"/>
                <w:numId w:val="40"/>
              </w:numPr>
              <w:spacing w:before="120" w:after="120"/>
              <w:rPr>
                <w:lang w:val="en-US"/>
              </w:rPr>
            </w:pPr>
            <w:r w:rsidRPr="008E0722">
              <w:t>Define the gNB accuracy requirements based on multiple shots (Ns)</w:t>
            </w:r>
          </w:p>
          <w:p w:rsidR="009F6AED" w:rsidRPr="008E0722" w:rsidRDefault="009A43C3" w:rsidP="008E0722">
            <w:pPr>
              <w:numPr>
                <w:ilvl w:val="2"/>
                <w:numId w:val="40"/>
              </w:numPr>
              <w:spacing w:before="120" w:after="120"/>
              <w:rPr>
                <w:lang w:val="en-US"/>
              </w:rPr>
            </w:pPr>
            <w:r w:rsidRPr="008E0722">
              <w:t>Ns is FFS</w:t>
            </w:r>
          </w:p>
          <w:p w:rsidR="008E0722" w:rsidRPr="008E0722" w:rsidRDefault="009A43C3" w:rsidP="006839AC">
            <w:pPr>
              <w:numPr>
                <w:ilvl w:val="0"/>
                <w:numId w:val="40"/>
              </w:numPr>
              <w:spacing w:before="120" w:after="120"/>
              <w:rPr>
                <w:lang w:val="en-US"/>
              </w:rPr>
            </w:pPr>
            <w:r w:rsidRPr="008E0722">
              <w:t>Other options not precluded</w:t>
            </w:r>
          </w:p>
        </w:tc>
      </w:tr>
    </w:tbl>
    <w:p w:rsidR="001B6F62" w:rsidRDefault="009670EB" w:rsidP="006839AC">
      <w:pPr>
        <w:spacing w:before="120" w:after="120"/>
        <w:rPr>
          <w:rFonts w:eastAsiaTheme="minorEastAsia"/>
          <w:lang w:val="en-US" w:eastAsia="zh-CN"/>
        </w:rPr>
      </w:pPr>
      <w:r>
        <w:rPr>
          <w:rFonts w:eastAsiaTheme="minorEastAsia"/>
          <w:lang w:val="en-US" w:eastAsia="zh-CN"/>
        </w:rPr>
        <w:t>We</w:t>
      </w:r>
      <w:r w:rsidR="008E0722">
        <w:rPr>
          <w:rFonts w:eastAsiaTheme="minorEastAsia"/>
          <w:lang w:val="en-US" w:eastAsia="zh-CN"/>
        </w:rPr>
        <w:t xml:space="preserve"> </w:t>
      </w:r>
      <w:r>
        <w:rPr>
          <w:rFonts w:eastAsiaTheme="minorEastAsia"/>
          <w:lang w:val="en-US" w:eastAsia="zh-CN"/>
        </w:rPr>
        <w:t xml:space="preserve">suggest </w:t>
      </w:r>
      <w:r w:rsidR="008E0722">
        <w:rPr>
          <w:rFonts w:eastAsiaTheme="minorEastAsia"/>
          <w:lang w:val="en-US" w:eastAsia="zh-CN"/>
        </w:rPr>
        <w:t>to define gNB accuracy requirements based on single shot, since it is the worst case assumption</w:t>
      </w:r>
      <w:r w:rsidR="001B6F62">
        <w:rPr>
          <w:rFonts w:eastAsiaTheme="minorEastAsia"/>
          <w:lang w:val="en-US" w:eastAsia="zh-CN"/>
        </w:rPr>
        <w:t xml:space="preserve"> and what RAN4 defines is the minimum requirements.</w:t>
      </w:r>
      <w:r w:rsidR="001B6F62">
        <w:rPr>
          <w:rFonts w:eastAsiaTheme="minorEastAsia" w:hint="eastAsia"/>
          <w:lang w:val="en-US" w:eastAsia="zh-CN"/>
        </w:rPr>
        <w:t xml:space="preserve"> </w:t>
      </w:r>
      <w:r>
        <w:rPr>
          <w:rFonts w:eastAsiaTheme="minorEastAsia"/>
          <w:lang w:val="en-US" w:eastAsia="zh-CN"/>
        </w:rPr>
        <w:t xml:space="preserve">In real world, a gNB can of course use more than one samples to achieve better-than-minimum performance. </w:t>
      </w:r>
    </w:p>
    <w:p w:rsidR="006839AC" w:rsidRPr="001B6F62" w:rsidRDefault="001B6F62" w:rsidP="006839AC">
      <w:pPr>
        <w:spacing w:before="120" w:after="120"/>
        <w:rPr>
          <w:rFonts w:eastAsiaTheme="minorEastAsia"/>
          <w:b/>
          <w:lang w:val="en-US" w:eastAsia="zh-CN"/>
        </w:rPr>
      </w:pPr>
      <w:r w:rsidRPr="001B6F62">
        <w:rPr>
          <w:rFonts w:eastAsiaTheme="minorEastAsia" w:hint="eastAsia"/>
          <w:b/>
          <w:lang w:val="en-US" w:eastAsia="zh-CN"/>
        </w:rPr>
        <w:t>P</w:t>
      </w:r>
      <w:r w:rsidRPr="001B6F62">
        <w:rPr>
          <w:rFonts w:eastAsiaTheme="minorEastAsia"/>
          <w:b/>
          <w:lang w:val="en-US" w:eastAsia="zh-CN"/>
        </w:rPr>
        <w:t xml:space="preserve">roposal 3: </w:t>
      </w:r>
      <w:r w:rsidR="009670EB" w:rsidRPr="009670EB">
        <w:rPr>
          <w:rFonts w:eastAsiaTheme="minorEastAsia"/>
          <w:b/>
          <w:lang w:val="en-US" w:eastAsia="zh-CN"/>
        </w:rPr>
        <w:t>Define the gNB accuracy requirements based on single shot measurement assumption</w:t>
      </w:r>
      <w:r w:rsidRPr="001B6F62">
        <w:rPr>
          <w:b/>
        </w:rPr>
        <w:t>.</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6839AC">
        <w:rPr>
          <w:rFonts w:eastAsia="宋体"/>
          <w:lang w:eastAsia="zh-CN"/>
        </w:rPr>
        <w:t>remaining generic issues on gNB positioning requirements</w:t>
      </w:r>
      <w:r w:rsidR="00210C78">
        <w:rPr>
          <w:rFonts w:eastAsia="宋体"/>
          <w:lang w:eastAsia="zh-CN"/>
        </w:rPr>
        <w:t>.</w:t>
      </w:r>
    </w:p>
    <w:p w:rsidR="001B6F62" w:rsidRPr="008E0722" w:rsidRDefault="001B6F62" w:rsidP="001B6F62">
      <w:pPr>
        <w:spacing w:before="120" w:after="120"/>
        <w:rPr>
          <w:rFonts w:eastAsiaTheme="minorEastAsia"/>
          <w:b/>
          <w:lang w:val="en-US" w:eastAsia="zh-CN"/>
        </w:rPr>
      </w:pPr>
      <w:r w:rsidRPr="008E0722">
        <w:rPr>
          <w:rFonts w:eastAsiaTheme="minorEastAsia"/>
          <w:b/>
          <w:lang w:val="en-US" w:eastAsia="zh-CN"/>
        </w:rPr>
        <w:t>Proposal 1: gNB accuracy requirements do not mandate gNB RX beam sweeping is captured only in the WF.</w:t>
      </w:r>
    </w:p>
    <w:p w:rsidR="001B6F62" w:rsidRDefault="001B6F62" w:rsidP="001B6F62">
      <w:pPr>
        <w:spacing w:before="120" w:after="120"/>
        <w:rPr>
          <w:rFonts w:eastAsiaTheme="minorEastAsia"/>
          <w:lang w:eastAsia="zh-CN"/>
        </w:rPr>
      </w:pPr>
      <w:r>
        <w:rPr>
          <w:rFonts w:eastAsia="宋体"/>
          <w:b/>
          <w:lang w:eastAsia="zh-CN"/>
        </w:rPr>
        <w:t>Proposal 2: The gNB positioning measurement requirements apply for the same RoAoA as OTA reference sensitivity requirements for 1-O and 2-O BS.</w:t>
      </w:r>
      <w:r>
        <w:t xml:space="preserve"> </w:t>
      </w:r>
    </w:p>
    <w:p w:rsidR="009670EB" w:rsidRPr="001B6F62" w:rsidRDefault="009670EB" w:rsidP="009670EB">
      <w:pPr>
        <w:spacing w:before="120" w:after="120"/>
        <w:rPr>
          <w:rFonts w:eastAsiaTheme="minorEastAsia"/>
          <w:b/>
          <w:lang w:val="en-US" w:eastAsia="zh-CN"/>
        </w:rPr>
      </w:pPr>
      <w:r w:rsidRPr="001B6F62">
        <w:rPr>
          <w:rFonts w:eastAsiaTheme="minorEastAsia" w:hint="eastAsia"/>
          <w:b/>
          <w:lang w:val="en-US" w:eastAsia="zh-CN"/>
        </w:rPr>
        <w:t>P</w:t>
      </w:r>
      <w:r w:rsidRPr="001B6F62">
        <w:rPr>
          <w:rFonts w:eastAsiaTheme="minorEastAsia"/>
          <w:b/>
          <w:lang w:val="en-US" w:eastAsia="zh-CN"/>
        </w:rPr>
        <w:t xml:space="preserve">roposal 3: </w:t>
      </w:r>
      <w:r w:rsidRPr="009670EB">
        <w:rPr>
          <w:rFonts w:eastAsiaTheme="minorEastAsia"/>
          <w:b/>
          <w:lang w:val="en-US" w:eastAsia="zh-CN"/>
        </w:rPr>
        <w:t>Define the gNB accuracy requirements based on single shot measurement assumption</w:t>
      </w:r>
      <w:r w:rsidRPr="001B6F62">
        <w:rPr>
          <w:b/>
        </w:rPr>
        <w:t>.</w:t>
      </w:r>
    </w:p>
    <w:p w:rsidR="00C0754F" w:rsidRDefault="00C0754F" w:rsidP="00C0754F">
      <w:pPr>
        <w:pStyle w:val="1"/>
        <w:jc w:val="both"/>
        <w:rPr>
          <w:lang w:val="en-US"/>
        </w:rPr>
      </w:pPr>
      <w:r w:rsidRPr="00C0754F">
        <w:rPr>
          <w:lang w:val="en-US"/>
        </w:rPr>
        <w:t>Reference</w:t>
      </w:r>
    </w:p>
    <w:p w:rsidR="00980473" w:rsidRPr="00A37BA2" w:rsidRDefault="00A37BA2" w:rsidP="006839AC">
      <w:pPr>
        <w:numPr>
          <w:ilvl w:val="0"/>
          <w:numId w:val="5"/>
        </w:numPr>
        <w:spacing w:before="120" w:after="120"/>
        <w:rPr>
          <w:rFonts w:eastAsia="宋体"/>
          <w:lang w:eastAsia="zh-CN"/>
        </w:rPr>
      </w:pPr>
      <w:r>
        <w:rPr>
          <w:rFonts w:eastAsia="宋体"/>
          <w:lang w:eastAsia="zh-CN"/>
        </w:rPr>
        <w:t>R4-210</w:t>
      </w:r>
      <w:r w:rsidR="00907EB7">
        <w:rPr>
          <w:rFonts w:eastAsia="宋体"/>
          <w:lang w:eastAsia="zh-CN"/>
        </w:rPr>
        <w:t>358</w:t>
      </w:r>
      <w:r w:rsidR="006839AC">
        <w:rPr>
          <w:rFonts w:eastAsia="宋体"/>
          <w:lang w:eastAsia="zh-CN"/>
        </w:rPr>
        <w:t>7</w:t>
      </w:r>
      <w:r w:rsidR="00D57591">
        <w:rPr>
          <w:rFonts w:eastAsia="宋体"/>
          <w:lang w:eastAsia="zh-CN"/>
        </w:rPr>
        <w:t xml:space="preserve">, </w:t>
      </w:r>
      <w:r w:rsidR="006839AC" w:rsidRPr="006839AC">
        <w:rPr>
          <w:rFonts w:eastAsia="宋体"/>
          <w:lang w:eastAsia="zh-CN"/>
        </w:rPr>
        <w:t>WF on gNB positioning measurement requirements</w:t>
      </w:r>
      <w:r w:rsidR="007E7A02">
        <w:rPr>
          <w:rFonts w:eastAsia="宋体"/>
          <w:lang w:eastAsia="zh-CN"/>
        </w:rPr>
        <w:t xml:space="preserve">, </w:t>
      </w:r>
      <w:r w:rsidR="006839AC">
        <w:rPr>
          <w:rFonts w:eastAsia="宋体"/>
          <w:lang w:eastAsia="zh-CN"/>
        </w:rPr>
        <w:t>Ericsson</w:t>
      </w:r>
    </w:p>
    <w:sectPr w:rsidR="00980473" w:rsidRPr="00A37BA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C10" w:rsidRDefault="00E33C10">
      <w:pPr>
        <w:spacing w:before="120" w:after="120"/>
      </w:pPr>
      <w:r>
        <w:separator/>
      </w:r>
    </w:p>
  </w:endnote>
  <w:endnote w:type="continuationSeparator" w:id="0">
    <w:p w:rsidR="00E33C10" w:rsidRDefault="00E33C1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BFD" w:rsidRDefault="00EE4BF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E4BFD" w:rsidRDefault="00EE4BF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BFD" w:rsidRDefault="00EE4BF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A6353">
      <w:rPr>
        <w:rStyle w:val="af1"/>
      </w:rPr>
      <w:t>3</w:t>
    </w:r>
    <w:r>
      <w:rPr>
        <w:rStyle w:val="af1"/>
      </w:rPr>
      <w:fldChar w:fldCharType="end"/>
    </w:r>
  </w:p>
  <w:p w:rsidR="00EE4BFD" w:rsidRDefault="00EE4BF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C10" w:rsidRDefault="00E33C10">
      <w:pPr>
        <w:spacing w:before="120" w:after="120"/>
      </w:pPr>
      <w:r>
        <w:separator/>
      </w:r>
    </w:p>
  </w:footnote>
  <w:footnote w:type="continuationSeparator" w:id="0">
    <w:p w:rsidR="00E33C10" w:rsidRDefault="00E33C1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4176584"/>
    <w:multiLevelType w:val="hybridMultilevel"/>
    <w:tmpl w:val="9CEA312E"/>
    <w:lvl w:ilvl="0" w:tplc="FEA4617E">
      <w:start w:val="1"/>
      <w:numFmt w:val="bullet"/>
      <w:lvlText w:val="•"/>
      <w:lvlJc w:val="left"/>
      <w:pPr>
        <w:tabs>
          <w:tab w:val="num" w:pos="720"/>
        </w:tabs>
        <w:ind w:left="720" w:hanging="360"/>
      </w:pPr>
      <w:rPr>
        <w:rFonts w:ascii="Arial" w:hAnsi="Arial" w:hint="default"/>
      </w:rPr>
    </w:lvl>
    <w:lvl w:ilvl="1" w:tplc="A4968D3E">
      <w:numFmt w:val="bullet"/>
      <w:lvlText w:val="–"/>
      <w:lvlJc w:val="left"/>
      <w:pPr>
        <w:tabs>
          <w:tab w:val="num" w:pos="1440"/>
        </w:tabs>
        <w:ind w:left="1440" w:hanging="360"/>
      </w:pPr>
      <w:rPr>
        <w:rFonts w:ascii="Arial" w:hAnsi="Arial" w:hint="default"/>
      </w:rPr>
    </w:lvl>
    <w:lvl w:ilvl="2" w:tplc="FE886FD2" w:tentative="1">
      <w:start w:val="1"/>
      <w:numFmt w:val="bullet"/>
      <w:lvlText w:val="•"/>
      <w:lvlJc w:val="left"/>
      <w:pPr>
        <w:tabs>
          <w:tab w:val="num" w:pos="2160"/>
        </w:tabs>
        <w:ind w:left="2160" w:hanging="360"/>
      </w:pPr>
      <w:rPr>
        <w:rFonts w:ascii="Arial" w:hAnsi="Arial" w:hint="default"/>
      </w:rPr>
    </w:lvl>
    <w:lvl w:ilvl="3" w:tplc="51629F50" w:tentative="1">
      <w:start w:val="1"/>
      <w:numFmt w:val="bullet"/>
      <w:lvlText w:val="•"/>
      <w:lvlJc w:val="left"/>
      <w:pPr>
        <w:tabs>
          <w:tab w:val="num" w:pos="2880"/>
        </w:tabs>
        <w:ind w:left="2880" w:hanging="360"/>
      </w:pPr>
      <w:rPr>
        <w:rFonts w:ascii="Arial" w:hAnsi="Arial" w:hint="default"/>
      </w:rPr>
    </w:lvl>
    <w:lvl w:ilvl="4" w:tplc="3D00AE70" w:tentative="1">
      <w:start w:val="1"/>
      <w:numFmt w:val="bullet"/>
      <w:lvlText w:val="•"/>
      <w:lvlJc w:val="left"/>
      <w:pPr>
        <w:tabs>
          <w:tab w:val="num" w:pos="3600"/>
        </w:tabs>
        <w:ind w:left="3600" w:hanging="360"/>
      </w:pPr>
      <w:rPr>
        <w:rFonts w:ascii="Arial" w:hAnsi="Arial" w:hint="default"/>
      </w:rPr>
    </w:lvl>
    <w:lvl w:ilvl="5" w:tplc="A6360B42" w:tentative="1">
      <w:start w:val="1"/>
      <w:numFmt w:val="bullet"/>
      <w:lvlText w:val="•"/>
      <w:lvlJc w:val="left"/>
      <w:pPr>
        <w:tabs>
          <w:tab w:val="num" w:pos="4320"/>
        </w:tabs>
        <w:ind w:left="4320" w:hanging="360"/>
      </w:pPr>
      <w:rPr>
        <w:rFonts w:ascii="Arial" w:hAnsi="Arial" w:hint="default"/>
      </w:rPr>
    </w:lvl>
    <w:lvl w:ilvl="6" w:tplc="2108B48A" w:tentative="1">
      <w:start w:val="1"/>
      <w:numFmt w:val="bullet"/>
      <w:lvlText w:val="•"/>
      <w:lvlJc w:val="left"/>
      <w:pPr>
        <w:tabs>
          <w:tab w:val="num" w:pos="5040"/>
        </w:tabs>
        <w:ind w:left="5040" w:hanging="360"/>
      </w:pPr>
      <w:rPr>
        <w:rFonts w:ascii="Arial" w:hAnsi="Arial" w:hint="default"/>
      </w:rPr>
    </w:lvl>
    <w:lvl w:ilvl="7" w:tplc="BDD421BE" w:tentative="1">
      <w:start w:val="1"/>
      <w:numFmt w:val="bullet"/>
      <w:lvlText w:val="•"/>
      <w:lvlJc w:val="left"/>
      <w:pPr>
        <w:tabs>
          <w:tab w:val="num" w:pos="5760"/>
        </w:tabs>
        <w:ind w:left="5760" w:hanging="360"/>
      </w:pPr>
      <w:rPr>
        <w:rFonts w:ascii="Arial" w:hAnsi="Arial" w:hint="default"/>
      </w:rPr>
    </w:lvl>
    <w:lvl w:ilvl="8" w:tplc="DA8E31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4E0E48"/>
    <w:multiLevelType w:val="hybridMultilevel"/>
    <w:tmpl w:val="0A304BDA"/>
    <w:lvl w:ilvl="0" w:tplc="639245DA">
      <w:start w:val="1"/>
      <w:numFmt w:val="bullet"/>
      <w:lvlText w:val="•"/>
      <w:lvlJc w:val="left"/>
      <w:pPr>
        <w:tabs>
          <w:tab w:val="num" w:pos="720"/>
        </w:tabs>
        <w:ind w:left="720" w:hanging="360"/>
      </w:pPr>
      <w:rPr>
        <w:rFonts w:ascii="Arial" w:hAnsi="Arial" w:hint="default"/>
      </w:rPr>
    </w:lvl>
    <w:lvl w:ilvl="1" w:tplc="30BC0CC0">
      <w:numFmt w:val="bullet"/>
      <w:lvlText w:val="–"/>
      <w:lvlJc w:val="left"/>
      <w:pPr>
        <w:tabs>
          <w:tab w:val="num" w:pos="1440"/>
        </w:tabs>
        <w:ind w:left="1440" w:hanging="360"/>
      </w:pPr>
      <w:rPr>
        <w:rFonts w:ascii="Arial" w:hAnsi="Arial" w:hint="default"/>
      </w:rPr>
    </w:lvl>
    <w:lvl w:ilvl="2" w:tplc="9C8E751E" w:tentative="1">
      <w:start w:val="1"/>
      <w:numFmt w:val="bullet"/>
      <w:lvlText w:val="•"/>
      <w:lvlJc w:val="left"/>
      <w:pPr>
        <w:tabs>
          <w:tab w:val="num" w:pos="2160"/>
        </w:tabs>
        <w:ind w:left="2160" w:hanging="360"/>
      </w:pPr>
      <w:rPr>
        <w:rFonts w:ascii="Arial" w:hAnsi="Arial" w:hint="default"/>
      </w:rPr>
    </w:lvl>
    <w:lvl w:ilvl="3" w:tplc="83B8D360" w:tentative="1">
      <w:start w:val="1"/>
      <w:numFmt w:val="bullet"/>
      <w:lvlText w:val="•"/>
      <w:lvlJc w:val="left"/>
      <w:pPr>
        <w:tabs>
          <w:tab w:val="num" w:pos="2880"/>
        </w:tabs>
        <w:ind w:left="2880" w:hanging="360"/>
      </w:pPr>
      <w:rPr>
        <w:rFonts w:ascii="Arial" w:hAnsi="Arial" w:hint="default"/>
      </w:rPr>
    </w:lvl>
    <w:lvl w:ilvl="4" w:tplc="91A86230" w:tentative="1">
      <w:start w:val="1"/>
      <w:numFmt w:val="bullet"/>
      <w:lvlText w:val="•"/>
      <w:lvlJc w:val="left"/>
      <w:pPr>
        <w:tabs>
          <w:tab w:val="num" w:pos="3600"/>
        </w:tabs>
        <w:ind w:left="3600" w:hanging="360"/>
      </w:pPr>
      <w:rPr>
        <w:rFonts w:ascii="Arial" w:hAnsi="Arial" w:hint="default"/>
      </w:rPr>
    </w:lvl>
    <w:lvl w:ilvl="5" w:tplc="26D29120" w:tentative="1">
      <w:start w:val="1"/>
      <w:numFmt w:val="bullet"/>
      <w:lvlText w:val="•"/>
      <w:lvlJc w:val="left"/>
      <w:pPr>
        <w:tabs>
          <w:tab w:val="num" w:pos="4320"/>
        </w:tabs>
        <w:ind w:left="4320" w:hanging="360"/>
      </w:pPr>
      <w:rPr>
        <w:rFonts w:ascii="Arial" w:hAnsi="Arial" w:hint="default"/>
      </w:rPr>
    </w:lvl>
    <w:lvl w:ilvl="6" w:tplc="1DB63AE4" w:tentative="1">
      <w:start w:val="1"/>
      <w:numFmt w:val="bullet"/>
      <w:lvlText w:val="•"/>
      <w:lvlJc w:val="left"/>
      <w:pPr>
        <w:tabs>
          <w:tab w:val="num" w:pos="5040"/>
        </w:tabs>
        <w:ind w:left="5040" w:hanging="360"/>
      </w:pPr>
      <w:rPr>
        <w:rFonts w:ascii="Arial" w:hAnsi="Arial" w:hint="default"/>
      </w:rPr>
    </w:lvl>
    <w:lvl w:ilvl="7" w:tplc="92D6BFB6" w:tentative="1">
      <w:start w:val="1"/>
      <w:numFmt w:val="bullet"/>
      <w:lvlText w:val="•"/>
      <w:lvlJc w:val="left"/>
      <w:pPr>
        <w:tabs>
          <w:tab w:val="num" w:pos="5760"/>
        </w:tabs>
        <w:ind w:left="5760" w:hanging="360"/>
      </w:pPr>
      <w:rPr>
        <w:rFonts w:ascii="Arial" w:hAnsi="Arial" w:hint="default"/>
      </w:rPr>
    </w:lvl>
    <w:lvl w:ilvl="8" w:tplc="4CA6CD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4F01222B"/>
    <w:multiLevelType w:val="hybridMultilevel"/>
    <w:tmpl w:val="0FC4149E"/>
    <w:lvl w:ilvl="0" w:tplc="5B2E5C30">
      <w:start w:val="1"/>
      <w:numFmt w:val="bullet"/>
      <w:lvlText w:val="•"/>
      <w:lvlJc w:val="left"/>
      <w:pPr>
        <w:tabs>
          <w:tab w:val="num" w:pos="720"/>
        </w:tabs>
        <w:ind w:left="720" w:hanging="360"/>
      </w:pPr>
      <w:rPr>
        <w:rFonts w:ascii="Arial" w:hAnsi="Arial" w:hint="default"/>
      </w:rPr>
    </w:lvl>
    <w:lvl w:ilvl="1" w:tplc="FB78DD1A">
      <w:numFmt w:val="bullet"/>
      <w:lvlText w:val="•"/>
      <w:lvlJc w:val="left"/>
      <w:pPr>
        <w:tabs>
          <w:tab w:val="num" w:pos="1440"/>
        </w:tabs>
        <w:ind w:left="1440" w:hanging="360"/>
      </w:pPr>
      <w:rPr>
        <w:rFonts w:ascii="Arial" w:hAnsi="Arial" w:hint="default"/>
      </w:rPr>
    </w:lvl>
    <w:lvl w:ilvl="2" w:tplc="D7C8A1AE">
      <w:numFmt w:val="bullet"/>
      <w:lvlText w:val="•"/>
      <w:lvlJc w:val="left"/>
      <w:pPr>
        <w:tabs>
          <w:tab w:val="num" w:pos="2160"/>
        </w:tabs>
        <w:ind w:left="2160" w:hanging="360"/>
      </w:pPr>
      <w:rPr>
        <w:rFonts w:ascii="Arial" w:hAnsi="Arial" w:hint="default"/>
      </w:rPr>
    </w:lvl>
    <w:lvl w:ilvl="3" w:tplc="22B4BDEC" w:tentative="1">
      <w:start w:val="1"/>
      <w:numFmt w:val="bullet"/>
      <w:lvlText w:val="•"/>
      <w:lvlJc w:val="left"/>
      <w:pPr>
        <w:tabs>
          <w:tab w:val="num" w:pos="2880"/>
        </w:tabs>
        <w:ind w:left="2880" w:hanging="360"/>
      </w:pPr>
      <w:rPr>
        <w:rFonts w:ascii="Arial" w:hAnsi="Arial" w:hint="default"/>
      </w:rPr>
    </w:lvl>
    <w:lvl w:ilvl="4" w:tplc="7B304AC0" w:tentative="1">
      <w:start w:val="1"/>
      <w:numFmt w:val="bullet"/>
      <w:lvlText w:val="•"/>
      <w:lvlJc w:val="left"/>
      <w:pPr>
        <w:tabs>
          <w:tab w:val="num" w:pos="3600"/>
        </w:tabs>
        <w:ind w:left="3600" w:hanging="360"/>
      </w:pPr>
      <w:rPr>
        <w:rFonts w:ascii="Arial" w:hAnsi="Arial" w:hint="default"/>
      </w:rPr>
    </w:lvl>
    <w:lvl w:ilvl="5" w:tplc="2C145028" w:tentative="1">
      <w:start w:val="1"/>
      <w:numFmt w:val="bullet"/>
      <w:lvlText w:val="•"/>
      <w:lvlJc w:val="left"/>
      <w:pPr>
        <w:tabs>
          <w:tab w:val="num" w:pos="4320"/>
        </w:tabs>
        <w:ind w:left="4320" w:hanging="360"/>
      </w:pPr>
      <w:rPr>
        <w:rFonts w:ascii="Arial" w:hAnsi="Arial" w:hint="default"/>
      </w:rPr>
    </w:lvl>
    <w:lvl w:ilvl="6" w:tplc="93940958" w:tentative="1">
      <w:start w:val="1"/>
      <w:numFmt w:val="bullet"/>
      <w:lvlText w:val="•"/>
      <w:lvlJc w:val="left"/>
      <w:pPr>
        <w:tabs>
          <w:tab w:val="num" w:pos="5040"/>
        </w:tabs>
        <w:ind w:left="5040" w:hanging="360"/>
      </w:pPr>
      <w:rPr>
        <w:rFonts w:ascii="Arial" w:hAnsi="Arial" w:hint="default"/>
      </w:rPr>
    </w:lvl>
    <w:lvl w:ilvl="7" w:tplc="C024B97A" w:tentative="1">
      <w:start w:val="1"/>
      <w:numFmt w:val="bullet"/>
      <w:lvlText w:val="•"/>
      <w:lvlJc w:val="left"/>
      <w:pPr>
        <w:tabs>
          <w:tab w:val="num" w:pos="5760"/>
        </w:tabs>
        <w:ind w:left="5760" w:hanging="360"/>
      </w:pPr>
      <w:rPr>
        <w:rFonts w:ascii="Arial" w:hAnsi="Arial" w:hint="default"/>
      </w:rPr>
    </w:lvl>
    <w:lvl w:ilvl="8" w:tplc="2520B9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F147D2"/>
    <w:multiLevelType w:val="hybridMultilevel"/>
    <w:tmpl w:val="3078E73C"/>
    <w:lvl w:ilvl="0" w:tplc="712072BE">
      <w:start w:val="1"/>
      <w:numFmt w:val="bullet"/>
      <w:lvlText w:val="•"/>
      <w:lvlJc w:val="left"/>
      <w:pPr>
        <w:tabs>
          <w:tab w:val="num" w:pos="720"/>
        </w:tabs>
        <w:ind w:left="720" w:hanging="360"/>
      </w:pPr>
      <w:rPr>
        <w:rFonts w:ascii="Arial" w:hAnsi="Arial" w:hint="default"/>
      </w:rPr>
    </w:lvl>
    <w:lvl w:ilvl="1" w:tplc="66CC1D0E">
      <w:numFmt w:val="bullet"/>
      <w:lvlText w:val="–"/>
      <w:lvlJc w:val="left"/>
      <w:pPr>
        <w:tabs>
          <w:tab w:val="num" w:pos="1440"/>
        </w:tabs>
        <w:ind w:left="1440" w:hanging="360"/>
      </w:pPr>
      <w:rPr>
        <w:rFonts w:ascii="Arial" w:hAnsi="Arial" w:hint="default"/>
      </w:rPr>
    </w:lvl>
    <w:lvl w:ilvl="2" w:tplc="28A4764E" w:tentative="1">
      <w:start w:val="1"/>
      <w:numFmt w:val="bullet"/>
      <w:lvlText w:val="•"/>
      <w:lvlJc w:val="left"/>
      <w:pPr>
        <w:tabs>
          <w:tab w:val="num" w:pos="2160"/>
        </w:tabs>
        <w:ind w:left="2160" w:hanging="360"/>
      </w:pPr>
      <w:rPr>
        <w:rFonts w:ascii="Arial" w:hAnsi="Arial" w:hint="default"/>
      </w:rPr>
    </w:lvl>
    <w:lvl w:ilvl="3" w:tplc="19E85A1C" w:tentative="1">
      <w:start w:val="1"/>
      <w:numFmt w:val="bullet"/>
      <w:lvlText w:val="•"/>
      <w:lvlJc w:val="left"/>
      <w:pPr>
        <w:tabs>
          <w:tab w:val="num" w:pos="2880"/>
        </w:tabs>
        <w:ind w:left="2880" w:hanging="360"/>
      </w:pPr>
      <w:rPr>
        <w:rFonts w:ascii="Arial" w:hAnsi="Arial" w:hint="default"/>
      </w:rPr>
    </w:lvl>
    <w:lvl w:ilvl="4" w:tplc="60B42CE6" w:tentative="1">
      <w:start w:val="1"/>
      <w:numFmt w:val="bullet"/>
      <w:lvlText w:val="•"/>
      <w:lvlJc w:val="left"/>
      <w:pPr>
        <w:tabs>
          <w:tab w:val="num" w:pos="3600"/>
        </w:tabs>
        <w:ind w:left="3600" w:hanging="360"/>
      </w:pPr>
      <w:rPr>
        <w:rFonts w:ascii="Arial" w:hAnsi="Arial" w:hint="default"/>
      </w:rPr>
    </w:lvl>
    <w:lvl w:ilvl="5" w:tplc="BB30959A" w:tentative="1">
      <w:start w:val="1"/>
      <w:numFmt w:val="bullet"/>
      <w:lvlText w:val="•"/>
      <w:lvlJc w:val="left"/>
      <w:pPr>
        <w:tabs>
          <w:tab w:val="num" w:pos="4320"/>
        </w:tabs>
        <w:ind w:left="4320" w:hanging="360"/>
      </w:pPr>
      <w:rPr>
        <w:rFonts w:ascii="Arial" w:hAnsi="Arial" w:hint="default"/>
      </w:rPr>
    </w:lvl>
    <w:lvl w:ilvl="6" w:tplc="B2D4DFB6" w:tentative="1">
      <w:start w:val="1"/>
      <w:numFmt w:val="bullet"/>
      <w:lvlText w:val="•"/>
      <w:lvlJc w:val="left"/>
      <w:pPr>
        <w:tabs>
          <w:tab w:val="num" w:pos="5040"/>
        </w:tabs>
        <w:ind w:left="5040" w:hanging="360"/>
      </w:pPr>
      <w:rPr>
        <w:rFonts w:ascii="Arial" w:hAnsi="Arial" w:hint="default"/>
      </w:rPr>
    </w:lvl>
    <w:lvl w:ilvl="7" w:tplc="F058243C" w:tentative="1">
      <w:start w:val="1"/>
      <w:numFmt w:val="bullet"/>
      <w:lvlText w:val="•"/>
      <w:lvlJc w:val="left"/>
      <w:pPr>
        <w:tabs>
          <w:tab w:val="num" w:pos="5760"/>
        </w:tabs>
        <w:ind w:left="5760" w:hanging="360"/>
      </w:pPr>
      <w:rPr>
        <w:rFonts w:ascii="Arial" w:hAnsi="Arial" w:hint="default"/>
      </w:rPr>
    </w:lvl>
    <w:lvl w:ilvl="8" w:tplc="64DEF6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8F403C"/>
    <w:multiLevelType w:val="hybridMultilevel"/>
    <w:tmpl w:val="EF7272AA"/>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4B774A"/>
    <w:multiLevelType w:val="hybridMultilevel"/>
    <w:tmpl w:val="60224C9C"/>
    <w:lvl w:ilvl="0" w:tplc="6AB65F12">
      <w:start w:val="1"/>
      <w:numFmt w:val="bullet"/>
      <w:lvlText w:val="•"/>
      <w:lvlJc w:val="left"/>
      <w:pPr>
        <w:tabs>
          <w:tab w:val="num" w:pos="720"/>
        </w:tabs>
        <w:ind w:left="720" w:hanging="360"/>
      </w:pPr>
      <w:rPr>
        <w:rFonts w:ascii="Arial" w:hAnsi="Arial" w:hint="default"/>
      </w:rPr>
    </w:lvl>
    <w:lvl w:ilvl="1" w:tplc="C65C598C">
      <w:numFmt w:val="bullet"/>
      <w:lvlText w:val="–"/>
      <w:lvlJc w:val="left"/>
      <w:pPr>
        <w:tabs>
          <w:tab w:val="num" w:pos="1440"/>
        </w:tabs>
        <w:ind w:left="1440" w:hanging="360"/>
      </w:pPr>
      <w:rPr>
        <w:rFonts w:ascii="Arial" w:hAnsi="Arial" w:hint="default"/>
      </w:rPr>
    </w:lvl>
    <w:lvl w:ilvl="2" w:tplc="B02AC3EA" w:tentative="1">
      <w:start w:val="1"/>
      <w:numFmt w:val="bullet"/>
      <w:lvlText w:val="•"/>
      <w:lvlJc w:val="left"/>
      <w:pPr>
        <w:tabs>
          <w:tab w:val="num" w:pos="2160"/>
        </w:tabs>
        <w:ind w:left="2160" w:hanging="360"/>
      </w:pPr>
      <w:rPr>
        <w:rFonts w:ascii="Arial" w:hAnsi="Arial" w:hint="default"/>
      </w:rPr>
    </w:lvl>
    <w:lvl w:ilvl="3" w:tplc="8224369C" w:tentative="1">
      <w:start w:val="1"/>
      <w:numFmt w:val="bullet"/>
      <w:lvlText w:val="•"/>
      <w:lvlJc w:val="left"/>
      <w:pPr>
        <w:tabs>
          <w:tab w:val="num" w:pos="2880"/>
        </w:tabs>
        <w:ind w:left="2880" w:hanging="360"/>
      </w:pPr>
      <w:rPr>
        <w:rFonts w:ascii="Arial" w:hAnsi="Arial" w:hint="default"/>
      </w:rPr>
    </w:lvl>
    <w:lvl w:ilvl="4" w:tplc="79F8C206" w:tentative="1">
      <w:start w:val="1"/>
      <w:numFmt w:val="bullet"/>
      <w:lvlText w:val="•"/>
      <w:lvlJc w:val="left"/>
      <w:pPr>
        <w:tabs>
          <w:tab w:val="num" w:pos="3600"/>
        </w:tabs>
        <w:ind w:left="3600" w:hanging="360"/>
      </w:pPr>
      <w:rPr>
        <w:rFonts w:ascii="Arial" w:hAnsi="Arial" w:hint="default"/>
      </w:rPr>
    </w:lvl>
    <w:lvl w:ilvl="5" w:tplc="DB42F1AC" w:tentative="1">
      <w:start w:val="1"/>
      <w:numFmt w:val="bullet"/>
      <w:lvlText w:val="•"/>
      <w:lvlJc w:val="left"/>
      <w:pPr>
        <w:tabs>
          <w:tab w:val="num" w:pos="4320"/>
        </w:tabs>
        <w:ind w:left="4320" w:hanging="360"/>
      </w:pPr>
      <w:rPr>
        <w:rFonts w:ascii="Arial" w:hAnsi="Arial" w:hint="default"/>
      </w:rPr>
    </w:lvl>
    <w:lvl w:ilvl="6" w:tplc="1312E854" w:tentative="1">
      <w:start w:val="1"/>
      <w:numFmt w:val="bullet"/>
      <w:lvlText w:val="•"/>
      <w:lvlJc w:val="left"/>
      <w:pPr>
        <w:tabs>
          <w:tab w:val="num" w:pos="5040"/>
        </w:tabs>
        <w:ind w:left="5040" w:hanging="360"/>
      </w:pPr>
      <w:rPr>
        <w:rFonts w:ascii="Arial" w:hAnsi="Arial" w:hint="default"/>
      </w:rPr>
    </w:lvl>
    <w:lvl w:ilvl="7" w:tplc="73E813C8" w:tentative="1">
      <w:start w:val="1"/>
      <w:numFmt w:val="bullet"/>
      <w:lvlText w:val="•"/>
      <w:lvlJc w:val="left"/>
      <w:pPr>
        <w:tabs>
          <w:tab w:val="num" w:pos="5760"/>
        </w:tabs>
        <w:ind w:left="5760" w:hanging="360"/>
      </w:pPr>
      <w:rPr>
        <w:rFonts w:ascii="Arial" w:hAnsi="Arial" w:hint="default"/>
      </w:rPr>
    </w:lvl>
    <w:lvl w:ilvl="8" w:tplc="22C08F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3"/>
  </w:num>
  <w:num w:numId="3">
    <w:abstractNumId w:val="38"/>
  </w:num>
  <w:num w:numId="4">
    <w:abstractNumId w:val="9"/>
  </w:num>
  <w:num w:numId="5">
    <w:abstractNumId w:val="15"/>
  </w:num>
  <w:num w:numId="6">
    <w:abstractNumId w:val="30"/>
  </w:num>
  <w:num w:numId="7">
    <w:abstractNumId w:val="24"/>
  </w:num>
  <w:num w:numId="8">
    <w:abstractNumId w:val="39"/>
    <w:lvlOverride w:ilvl="0">
      <w:startOverride w:val="1"/>
    </w:lvlOverride>
  </w:num>
  <w:num w:numId="9">
    <w:abstractNumId w:val="29"/>
  </w:num>
  <w:num w:numId="10">
    <w:abstractNumId w:val="17"/>
  </w:num>
  <w:num w:numId="11">
    <w:abstractNumId w:val="25"/>
  </w:num>
  <w:num w:numId="12">
    <w:abstractNumId w:val="6"/>
  </w:num>
  <w:num w:numId="13">
    <w:abstractNumId w:val="27"/>
  </w:num>
  <w:num w:numId="14">
    <w:abstractNumId w:val="0"/>
  </w:num>
  <w:num w:numId="15">
    <w:abstractNumId w:val="1"/>
  </w:num>
  <w:num w:numId="16">
    <w:abstractNumId w:val="4"/>
  </w:num>
  <w:num w:numId="17">
    <w:abstractNumId w:val="22"/>
  </w:num>
  <w:num w:numId="18">
    <w:abstractNumId w:val="34"/>
  </w:num>
  <w:num w:numId="19">
    <w:abstractNumId w:val="7"/>
  </w:num>
  <w:num w:numId="20">
    <w:abstractNumId w:val="18"/>
  </w:num>
  <w:num w:numId="21">
    <w:abstractNumId w:val="13"/>
  </w:num>
  <w:num w:numId="22">
    <w:abstractNumId w:val="20"/>
  </w:num>
  <w:num w:numId="23">
    <w:abstractNumId w:val="2"/>
  </w:num>
  <w:num w:numId="24">
    <w:abstractNumId w:val="12"/>
  </w:num>
  <w:num w:numId="25">
    <w:abstractNumId w:val="31"/>
  </w:num>
  <w:num w:numId="26">
    <w:abstractNumId w:val="10"/>
  </w:num>
  <w:num w:numId="27">
    <w:abstractNumId w:val="5"/>
  </w:num>
  <w:num w:numId="28">
    <w:abstractNumId w:val="37"/>
  </w:num>
  <w:num w:numId="29">
    <w:abstractNumId w:val="8"/>
  </w:num>
  <w:num w:numId="30">
    <w:abstractNumId w:val="14"/>
  </w:num>
  <w:num w:numId="31">
    <w:abstractNumId w:val="32"/>
  </w:num>
  <w:num w:numId="32">
    <w:abstractNumId w:val="23"/>
  </w:num>
  <w:num w:numId="33">
    <w:abstractNumId w:val="19"/>
  </w:num>
  <w:num w:numId="34">
    <w:abstractNumId w:val="26"/>
  </w:num>
  <w:num w:numId="35">
    <w:abstractNumId w:val="36"/>
  </w:num>
  <w:num w:numId="36">
    <w:abstractNumId w:val="11"/>
  </w:num>
  <w:num w:numId="37">
    <w:abstractNumId w:val="35"/>
  </w:num>
  <w:num w:numId="38">
    <w:abstractNumId w:val="3"/>
  </w:num>
  <w:num w:numId="39">
    <w:abstractNumId w:val="28"/>
  </w:num>
  <w:num w:numId="4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6F62"/>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E4"/>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3"/>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9AC"/>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D4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39C"/>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722"/>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0EB"/>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C3"/>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AED"/>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E92"/>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6FB"/>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10"/>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BFD"/>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8537289">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2503543">
      <w:bodyDiv w:val="1"/>
      <w:marLeft w:val="0"/>
      <w:marRight w:val="0"/>
      <w:marTop w:val="0"/>
      <w:marBottom w:val="0"/>
      <w:divBdr>
        <w:top w:val="none" w:sz="0" w:space="0" w:color="auto"/>
        <w:left w:val="none" w:sz="0" w:space="0" w:color="auto"/>
        <w:bottom w:val="none" w:sz="0" w:space="0" w:color="auto"/>
        <w:right w:val="none" w:sz="0" w:space="0" w:color="auto"/>
      </w:divBdr>
      <w:divsChild>
        <w:div w:id="168449850">
          <w:marLeft w:val="360"/>
          <w:marRight w:val="0"/>
          <w:marTop w:val="200"/>
          <w:marBottom w:val="0"/>
          <w:divBdr>
            <w:top w:val="none" w:sz="0" w:space="0" w:color="auto"/>
            <w:left w:val="none" w:sz="0" w:space="0" w:color="auto"/>
            <w:bottom w:val="none" w:sz="0" w:space="0" w:color="auto"/>
            <w:right w:val="none" w:sz="0" w:space="0" w:color="auto"/>
          </w:divBdr>
        </w:div>
        <w:div w:id="1282421757">
          <w:marLeft w:val="360"/>
          <w:marRight w:val="0"/>
          <w:marTop w:val="200"/>
          <w:marBottom w:val="0"/>
          <w:divBdr>
            <w:top w:val="none" w:sz="0" w:space="0" w:color="auto"/>
            <w:left w:val="none" w:sz="0" w:space="0" w:color="auto"/>
            <w:bottom w:val="none" w:sz="0" w:space="0" w:color="auto"/>
            <w:right w:val="none" w:sz="0" w:space="0" w:color="auto"/>
          </w:divBdr>
        </w:div>
        <w:div w:id="629700973">
          <w:marLeft w:val="1080"/>
          <w:marRight w:val="0"/>
          <w:marTop w:val="100"/>
          <w:marBottom w:val="0"/>
          <w:divBdr>
            <w:top w:val="none" w:sz="0" w:space="0" w:color="auto"/>
            <w:left w:val="none" w:sz="0" w:space="0" w:color="auto"/>
            <w:bottom w:val="none" w:sz="0" w:space="0" w:color="auto"/>
            <w:right w:val="none" w:sz="0" w:space="0" w:color="auto"/>
          </w:divBdr>
        </w:div>
        <w:div w:id="1771241734">
          <w:marLeft w:val="360"/>
          <w:marRight w:val="0"/>
          <w:marTop w:val="200"/>
          <w:marBottom w:val="0"/>
          <w:divBdr>
            <w:top w:val="none" w:sz="0" w:space="0" w:color="auto"/>
            <w:left w:val="none" w:sz="0" w:space="0" w:color="auto"/>
            <w:bottom w:val="none" w:sz="0" w:space="0" w:color="auto"/>
            <w:right w:val="none" w:sz="0" w:space="0" w:color="auto"/>
          </w:divBdr>
        </w:div>
        <w:div w:id="1686789700">
          <w:marLeft w:val="1080"/>
          <w:marRight w:val="0"/>
          <w:marTop w:val="100"/>
          <w:marBottom w:val="0"/>
          <w:divBdr>
            <w:top w:val="none" w:sz="0" w:space="0" w:color="auto"/>
            <w:left w:val="none" w:sz="0" w:space="0" w:color="auto"/>
            <w:bottom w:val="none" w:sz="0" w:space="0" w:color="auto"/>
            <w:right w:val="none" w:sz="0" w:space="0" w:color="auto"/>
          </w:divBdr>
        </w:div>
        <w:div w:id="770466292">
          <w:marLeft w:val="1800"/>
          <w:marRight w:val="0"/>
          <w:marTop w:val="100"/>
          <w:marBottom w:val="0"/>
          <w:divBdr>
            <w:top w:val="none" w:sz="0" w:space="0" w:color="auto"/>
            <w:left w:val="none" w:sz="0" w:space="0" w:color="auto"/>
            <w:bottom w:val="none" w:sz="0" w:space="0" w:color="auto"/>
            <w:right w:val="none" w:sz="0" w:space="0" w:color="auto"/>
          </w:divBdr>
        </w:div>
        <w:div w:id="809400442">
          <w:marLeft w:val="360"/>
          <w:marRight w:val="0"/>
          <w:marTop w:val="2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68906197">
      <w:bodyDiv w:val="1"/>
      <w:marLeft w:val="0"/>
      <w:marRight w:val="0"/>
      <w:marTop w:val="0"/>
      <w:marBottom w:val="0"/>
      <w:divBdr>
        <w:top w:val="none" w:sz="0" w:space="0" w:color="auto"/>
        <w:left w:val="none" w:sz="0" w:space="0" w:color="auto"/>
        <w:bottom w:val="none" w:sz="0" w:space="0" w:color="auto"/>
        <w:right w:val="none" w:sz="0" w:space="0" w:color="auto"/>
      </w:divBdr>
      <w:divsChild>
        <w:div w:id="997615931">
          <w:marLeft w:val="360"/>
          <w:marRight w:val="0"/>
          <w:marTop w:val="200"/>
          <w:marBottom w:val="0"/>
          <w:divBdr>
            <w:top w:val="none" w:sz="0" w:space="0" w:color="auto"/>
            <w:left w:val="none" w:sz="0" w:space="0" w:color="auto"/>
            <w:bottom w:val="none" w:sz="0" w:space="0" w:color="auto"/>
            <w:right w:val="none" w:sz="0" w:space="0" w:color="auto"/>
          </w:divBdr>
        </w:div>
        <w:div w:id="354576891">
          <w:marLeft w:val="360"/>
          <w:marRight w:val="0"/>
          <w:marTop w:val="200"/>
          <w:marBottom w:val="0"/>
          <w:divBdr>
            <w:top w:val="none" w:sz="0" w:space="0" w:color="auto"/>
            <w:left w:val="none" w:sz="0" w:space="0" w:color="auto"/>
            <w:bottom w:val="none" w:sz="0" w:space="0" w:color="auto"/>
            <w:right w:val="none" w:sz="0" w:space="0" w:color="auto"/>
          </w:divBdr>
        </w:div>
        <w:div w:id="448933648">
          <w:marLeft w:val="1080"/>
          <w:marRight w:val="0"/>
          <w:marTop w:val="100"/>
          <w:marBottom w:val="0"/>
          <w:divBdr>
            <w:top w:val="none" w:sz="0" w:space="0" w:color="auto"/>
            <w:left w:val="none" w:sz="0" w:space="0" w:color="auto"/>
            <w:bottom w:val="none" w:sz="0" w:space="0" w:color="auto"/>
            <w:right w:val="none" w:sz="0" w:space="0" w:color="auto"/>
          </w:divBdr>
        </w:div>
        <w:div w:id="1127819695">
          <w:marLeft w:val="1800"/>
          <w:marRight w:val="0"/>
          <w:marTop w:val="100"/>
          <w:marBottom w:val="0"/>
          <w:divBdr>
            <w:top w:val="none" w:sz="0" w:space="0" w:color="auto"/>
            <w:left w:val="none" w:sz="0" w:space="0" w:color="auto"/>
            <w:bottom w:val="none" w:sz="0" w:space="0" w:color="auto"/>
            <w:right w:val="none" w:sz="0" w:space="0" w:color="auto"/>
          </w:divBdr>
        </w:div>
        <w:div w:id="1548182045">
          <w:marLeft w:val="1080"/>
          <w:marRight w:val="0"/>
          <w:marTop w:val="100"/>
          <w:marBottom w:val="0"/>
          <w:divBdr>
            <w:top w:val="none" w:sz="0" w:space="0" w:color="auto"/>
            <w:left w:val="none" w:sz="0" w:space="0" w:color="auto"/>
            <w:bottom w:val="none" w:sz="0" w:space="0" w:color="auto"/>
            <w:right w:val="none" w:sz="0" w:space="0" w:color="auto"/>
          </w:divBdr>
        </w:div>
        <w:div w:id="1458182084">
          <w:marLeft w:val="1800"/>
          <w:marRight w:val="0"/>
          <w:marTop w:val="100"/>
          <w:marBottom w:val="0"/>
          <w:divBdr>
            <w:top w:val="none" w:sz="0" w:space="0" w:color="auto"/>
            <w:left w:val="none" w:sz="0" w:space="0" w:color="auto"/>
            <w:bottom w:val="none" w:sz="0" w:space="0" w:color="auto"/>
            <w:right w:val="none" w:sz="0" w:space="0" w:color="auto"/>
          </w:divBdr>
        </w:div>
        <w:div w:id="1792364027">
          <w:marLeft w:val="1080"/>
          <w:marRight w:val="0"/>
          <w:marTop w:val="100"/>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440CF41-1690-4A8A-AF2F-06E5F56B3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16743</TotalTime>
  <Pages>1</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45</cp:revision>
  <cp:lastPrinted>2009-04-22T06:01:00Z</cp:lastPrinted>
  <dcterms:created xsi:type="dcterms:W3CDTF">2020-07-07T06:33:00Z</dcterms:created>
  <dcterms:modified xsi:type="dcterms:W3CDTF">2021-04-02T15:15:00Z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