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726384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D1A4A">
        <w:rPr>
          <w:rFonts w:ascii="Arial" w:eastAsia="SimSun" w:hAnsi="Arial" w:cs="Times New Roman"/>
          <w:b/>
          <w:sz w:val="24"/>
          <w:szCs w:val="20"/>
          <w:lang w:val="en-GB"/>
        </w:rPr>
        <w:t>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0251A4">
        <w:rPr>
          <w:rFonts w:ascii="Arial" w:eastAsia="SimSun" w:hAnsi="Arial" w:cs="Times New Roman"/>
          <w:b/>
          <w:bCs/>
          <w:sz w:val="24"/>
          <w:szCs w:val="20"/>
          <w:lang w:val="en-GB" w:eastAsia="zh-CN"/>
        </w:rPr>
        <w:t>0</w:t>
      </w:r>
      <w:r w:rsidR="000251A4" w:rsidRPr="000251A4">
        <w:rPr>
          <w:rFonts w:ascii="Arial" w:eastAsia="SimSun" w:hAnsi="Arial" w:cs="Times New Roman"/>
          <w:b/>
          <w:bCs/>
          <w:sz w:val="24"/>
          <w:szCs w:val="20"/>
          <w:lang w:val="en-GB" w:eastAsia="zh-CN"/>
        </w:rPr>
        <w:t>6398</w:t>
      </w:r>
    </w:p>
    <w:p w14:paraId="3DEDC117" w14:textId="76B384B1"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B53808">
        <w:rPr>
          <w:rFonts w:ascii="Arial" w:eastAsia="SimSun" w:hAnsi="Arial" w:cs="Times New Roman"/>
          <w:b/>
          <w:sz w:val="24"/>
          <w:szCs w:val="20"/>
          <w:lang w:val="en-GB"/>
        </w:rPr>
        <w:t>April 12</w:t>
      </w:r>
      <w:r w:rsidR="00B53808" w:rsidRPr="00B53808">
        <w:rPr>
          <w:rFonts w:ascii="Arial" w:eastAsia="SimSun" w:hAnsi="Arial" w:cs="Times New Roman"/>
          <w:b/>
          <w:sz w:val="24"/>
          <w:szCs w:val="20"/>
          <w:vertAlign w:val="superscript"/>
          <w:lang w:val="en-GB"/>
        </w:rPr>
        <w:t>th</w:t>
      </w:r>
      <w:r w:rsidR="00B53808">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762F28">
        <w:rPr>
          <w:rFonts w:ascii="Arial" w:eastAsia="SimSun" w:hAnsi="Arial" w:cs="Times New Roman"/>
          <w:b/>
          <w:sz w:val="24"/>
          <w:szCs w:val="20"/>
          <w:lang w:val="en-GB"/>
        </w:rPr>
        <w:t xml:space="preserve"> 20</w:t>
      </w:r>
      <w:r w:rsidR="00762F28" w:rsidRPr="00762F2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20D46D93"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BC28814"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863071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53808" w:rsidRPr="00F447EB">
        <w:rPr>
          <w:rFonts w:ascii="Arial" w:eastAsia="Calibri" w:hAnsi="Arial" w:cs="Arial"/>
          <w:b/>
          <w:bCs/>
          <w:sz w:val="24"/>
          <w:lang w:val="en-GB"/>
        </w:rPr>
        <w:t>Discussion on incoming L1/L2 mobility LS</w:t>
      </w:r>
    </w:p>
    <w:p w14:paraId="53921647" w14:textId="1B8978A4" w:rsidR="00841BCD" w:rsidRPr="00B53808"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62BA9" w:rsidRPr="00B53808">
        <w:rPr>
          <w:rFonts w:ascii="Arial" w:eastAsia="MS Mincho" w:hAnsi="Arial" w:cs="Arial"/>
          <w:b/>
          <w:bCs/>
          <w:sz w:val="24"/>
          <w:szCs w:val="20"/>
          <w:lang w:val="en-GB"/>
        </w:rPr>
        <w:t>12</w:t>
      </w:r>
      <w:r w:rsidRPr="00B53808">
        <w:rPr>
          <w:rFonts w:ascii="Arial" w:eastAsia="MS Mincho" w:hAnsi="Arial" w:cs="Arial"/>
          <w:b/>
          <w:bCs/>
          <w:sz w:val="24"/>
          <w:szCs w:val="20"/>
          <w:lang w:val="en-GB"/>
        </w:rPr>
        <w:t>.</w:t>
      </w:r>
      <w:r w:rsidR="00D62BA9" w:rsidRPr="00B53808">
        <w:rPr>
          <w:rFonts w:ascii="Arial" w:eastAsia="MS Mincho" w:hAnsi="Arial" w:cs="Arial"/>
          <w:b/>
          <w:bCs/>
          <w:sz w:val="24"/>
          <w:szCs w:val="20"/>
          <w:lang w:val="en-GB"/>
        </w:rPr>
        <w:t>1</w:t>
      </w:r>
    </w:p>
    <w:p w14:paraId="266D763D" w14:textId="70237702" w:rsidR="00841BCD" w:rsidRPr="00841BCD" w:rsidRDefault="00841BCD" w:rsidP="00841BCD">
      <w:pPr>
        <w:tabs>
          <w:tab w:val="left" w:pos="1985"/>
        </w:tabs>
        <w:rPr>
          <w:rFonts w:ascii="Arial" w:eastAsia="Calibri" w:hAnsi="Arial" w:cs="Arial"/>
          <w:b/>
          <w:bCs/>
          <w:sz w:val="24"/>
          <w:lang w:val="en-GB"/>
        </w:rPr>
      </w:pPr>
      <w:r w:rsidRPr="00B53808">
        <w:rPr>
          <w:rFonts w:ascii="Arial" w:eastAsia="Calibri" w:hAnsi="Arial" w:cs="Arial"/>
          <w:b/>
          <w:bCs/>
          <w:sz w:val="24"/>
          <w:lang w:val="en-GB"/>
        </w:rPr>
        <w:t>Document for:</w:t>
      </w:r>
      <w:r w:rsidRPr="00B53808">
        <w:rPr>
          <w:rFonts w:ascii="Arial" w:eastAsia="Calibri" w:hAnsi="Arial" w:cs="Arial"/>
          <w:b/>
          <w:bCs/>
          <w:sz w:val="24"/>
          <w:lang w:val="en-GB"/>
        </w:rPr>
        <w:tab/>
        <w:t>Discussion</w:t>
      </w:r>
    </w:p>
    <w:p w14:paraId="505DD0D6" w14:textId="59FD4EFE" w:rsidR="00841BCD" w:rsidRPr="00841BCD" w:rsidRDefault="00841BCD" w:rsidP="00A37002">
      <w:pPr>
        <w:pStyle w:val="RAN4H1"/>
      </w:pPr>
      <w:r w:rsidRPr="00AE56B1">
        <w:t>Intro</w:t>
      </w:r>
      <w:r w:rsidRPr="00AE56B1">
        <w:rPr>
          <w:rStyle w:val="RAN4H1Char"/>
        </w:rPr>
        <w:t>ductio</w:t>
      </w:r>
      <w:r w:rsidRPr="00AE56B1">
        <w:t>n</w:t>
      </w:r>
    </w:p>
    <w:p w14:paraId="3FCB279B" w14:textId="0CC3C441" w:rsidR="00D62BA9" w:rsidRPr="00D62BA9" w:rsidRDefault="00D62BA9" w:rsidP="00D62BA9">
      <w:pPr>
        <w:ind w:right="-22"/>
        <w:rPr>
          <w:rFonts w:eastAsia="Calibri" w:cs="Times New Roman"/>
          <w:szCs w:val="20"/>
          <w:lang w:val="en-GB"/>
        </w:rPr>
      </w:pPr>
      <w:r w:rsidRPr="00D62BA9">
        <w:rPr>
          <w:rFonts w:eastAsia="Calibri" w:cs="Times New Roman"/>
          <w:szCs w:val="20"/>
          <w:lang w:val="en-GB"/>
        </w:rPr>
        <w:t xml:space="preserve">RAN1 has sent two LSs on the Rel-17 </w:t>
      </w:r>
      <w:proofErr w:type="spellStart"/>
      <w:r w:rsidRPr="00D62BA9">
        <w:rPr>
          <w:rFonts w:eastAsia="Calibri" w:cs="Times New Roman"/>
          <w:szCs w:val="20"/>
          <w:lang w:val="en-GB"/>
        </w:rPr>
        <w:t>FeMIMO</w:t>
      </w:r>
      <w:proofErr w:type="spellEnd"/>
      <w:r w:rsidRPr="00D62BA9">
        <w:rPr>
          <w:rFonts w:eastAsia="Calibri" w:cs="Times New Roman"/>
          <w:szCs w:val="20"/>
          <w:lang w:val="en-GB"/>
        </w:rPr>
        <w:t xml:space="preserve"> topic: The first in R1-2102209, which just lists the current agreements in the WI, but the second LS in R1-2102248 requests RAN</w:t>
      </w:r>
      <w:r>
        <w:rPr>
          <w:rFonts w:eastAsia="Calibri" w:cs="Times New Roman"/>
          <w:szCs w:val="20"/>
          <w:lang w:val="en-GB"/>
        </w:rPr>
        <w:t>4</w:t>
      </w:r>
      <w:r w:rsidRPr="00D62BA9">
        <w:rPr>
          <w:rFonts w:eastAsia="Calibri" w:cs="Times New Roman"/>
          <w:szCs w:val="20"/>
          <w:lang w:val="en-GB"/>
        </w:rPr>
        <w:t xml:space="preserve"> (and RAN</w:t>
      </w:r>
      <w:r>
        <w:rPr>
          <w:rFonts w:eastAsia="Calibri" w:cs="Times New Roman"/>
          <w:szCs w:val="20"/>
          <w:lang w:val="en-GB"/>
        </w:rPr>
        <w:t>2</w:t>
      </w:r>
      <w:r w:rsidRPr="00D62BA9">
        <w:rPr>
          <w:rFonts w:eastAsia="Calibri" w:cs="Times New Roman"/>
          <w:szCs w:val="20"/>
          <w:lang w:val="en-GB"/>
        </w:rPr>
        <w:t>/</w:t>
      </w:r>
      <w:r>
        <w:rPr>
          <w:rFonts w:eastAsia="Calibri" w:cs="Times New Roman"/>
          <w:szCs w:val="20"/>
          <w:lang w:val="en-GB"/>
        </w:rPr>
        <w:t>3</w:t>
      </w:r>
      <w:r w:rsidRPr="00D62BA9">
        <w:rPr>
          <w:rFonts w:eastAsia="Calibri" w:cs="Times New Roman"/>
          <w:szCs w:val="20"/>
          <w:lang w:val="en-GB"/>
        </w:rPr>
        <w:t>) feedback on the L1/L2-centric mobility, with several questions. This topic was also discussed in RAN#91e</w:t>
      </w:r>
      <w:r w:rsidR="00762F28">
        <w:rPr>
          <w:rFonts w:eastAsia="Calibri" w:cs="Times New Roman"/>
          <w:szCs w:val="20"/>
          <w:lang w:val="en-GB"/>
        </w:rPr>
        <w:t>.</w:t>
      </w:r>
      <w:r w:rsidRPr="00D62BA9">
        <w:rPr>
          <w:rFonts w:eastAsia="Calibri" w:cs="Times New Roman"/>
          <w:szCs w:val="20"/>
          <w:lang w:val="en-GB"/>
        </w:rPr>
        <w:t xml:space="preserve"> </w:t>
      </w:r>
    </w:p>
    <w:p w14:paraId="07B7A264" w14:textId="358CFCC3" w:rsidR="00AD58AB" w:rsidRDefault="00D62BA9" w:rsidP="00D62BA9">
      <w:pPr>
        <w:ind w:right="-22"/>
        <w:rPr>
          <w:rFonts w:eastAsia="Calibri" w:cs="Times New Roman"/>
          <w:szCs w:val="20"/>
          <w:lang w:val="en-GB"/>
        </w:rPr>
      </w:pPr>
      <w:r w:rsidRPr="00D62BA9">
        <w:rPr>
          <w:rFonts w:eastAsia="Calibri" w:cs="Times New Roman"/>
          <w:szCs w:val="20"/>
          <w:lang w:val="en-GB"/>
        </w:rPr>
        <w:t xml:space="preserve">In this contribution, we discuss </w:t>
      </w:r>
      <w:r w:rsidR="00762F28">
        <w:rPr>
          <w:rFonts w:eastAsia="Calibri" w:cs="Times New Roman"/>
          <w:szCs w:val="20"/>
          <w:lang w:val="en-GB"/>
        </w:rPr>
        <w:t xml:space="preserve">the </w:t>
      </w:r>
      <w:r w:rsidRPr="00D62BA9">
        <w:rPr>
          <w:rFonts w:eastAsia="Calibri" w:cs="Times New Roman"/>
          <w:szCs w:val="20"/>
          <w:lang w:val="en-GB"/>
        </w:rPr>
        <w:t>RAN</w:t>
      </w:r>
      <w:r>
        <w:rPr>
          <w:rFonts w:eastAsia="Calibri" w:cs="Times New Roman"/>
          <w:szCs w:val="20"/>
          <w:lang w:val="en-GB"/>
        </w:rPr>
        <w:t>4</w:t>
      </w:r>
      <w:r w:rsidRPr="00D62BA9">
        <w:rPr>
          <w:rFonts w:eastAsia="Calibri" w:cs="Times New Roman"/>
          <w:szCs w:val="20"/>
          <w:lang w:val="en-GB"/>
        </w:rPr>
        <w:t xml:space="preserve"> </w:t>
      </w:r>
      <w:r w:rsidR="00762F28">
        <w:rPr>
          <w:rFonts w:eastAsia="Calibri" w:cs="Times New Roman"/>
          <w:szCs w:val="20"/>
          <w:lang w:val="en-GB"/>
        </w:rPr>
        <w:t>related question</w:t>
      </w:r>
      <w:r w:rsidR="00D07DF7">
        <w:rPr>
          <w:rFonts w:eastAsia="Calibri" w:cs="Times New Roman"/>
          <w:szCs w:val="20"/>
          <w:lang w:val="en-GB"/>
        </w:rPr>
        <w:t>s in the incoming to facilitate the RAN4</w:t>
      </w:r>
      <w:r w:rsidRPr="00D62BA9">
        <w:rPr>
          <w:rFonts w:eastAsia="Calibri" w:cs="Times New Roman"/>
          <w:szCs w:val="20"/>
          <w:lang w:val="en-GB"/>
        </w:rPr>
        <w:t xml:space="preserve"> reply LS</w:t>
      </w:r>
      <w:r w:rsidR="00D07DF7">
        <w:rPr>
          <w:rFonts w:eastAsia="Calibri" w:cs="Times New Roman"/>
          <w:szCs w:val="20"/>
          <w:lang w:val="en-GB"/>
        </w:rPr>
        <w:t xml:space="preserve"> discussion</w:t>
      </w:r>
      <w:r w:rsidR="00781E1D">
        <w:rPr>
          <w:rFonts w:eastAsia="Calibri" w:cs="Times New Roman"/>
          <w:szCs w:val="20"/>
          <w:lang w:val="en-GB"/>
        </w:rPr>
        <w:t xml:space="preserve">. </w:t>
      </w:r>
      <w:r w:rsidR="00AD58AB">
        <w:rPr>
          <w:rFonts w:eastAsia="Calibri" w:cs="Times New Roman"/>
          <w:szCs w:val="20"/>
          <w:lang w:val="en-GB"/>
        </w:rPr>
        <w:t xml:space="preserve"> </w:t>
      </w:r>
    </w:p>
    <w:p w14:paraId="034937BB" w14:textId="25D9D785" w:rsidR="005433E0" w:rsidRPr="000132EC" w:rsidRDefault="005433E0" w:rsidP="00841BCD">
      <w:pPr>
        <w:ind w:right="-22"/>
        <w:rPr>
          <w:rFonts w:eastAsia="Calibri" w:cs="Times New Roman"/>
          <w:szCs w:val="20"/>
          <w:lang w:val="en-GB"/>
        </w:rPr>
      </w:pPr>
    </w:p>
    <w:p w14:paraId="2FF6A72B" w14:textId="1E3B511B" w:rsidR="003B659E" w:rsidRPr="00841BCD" w:rsidRDefault="003B659E" w:rsidP="00AE56B1">
      <w:pPr>
        <w:pStyle w:val="RAN4H1"/>
      </w:pPr>
      <w:r w:rsidRPr="00AE56B1">
        <w:t>Discussion</w:t>
      </w:r>
    </w:p>
    <w:p w14:paraId="277E8680" w14:textId="6AF5F3C3" w:rsidR="005B39A5" w:rsidRDefault="00DD39FE" w:rsidP="00202C59">
      <w:pPr>
        <w:ind w:right="-22"/>
        <w:rPr>
          <w:rFonts w:eastAsia="Calibri" w:cs="Times New Roman"/>
          <w:szCs w:val="20"/>
          <w:lang w:val="en-GB"/>
        </w:rPr>
      </w:pPr>
      <w:r>
        <w:rPr>
          <w:noProof/>
        </w:rPr>
        <mc:AlternateContent>
          <mc:Choice Requires="wps">
            <w:drawing>
              <wp:anchor distT="45720" distB="45720" distL="114300" distR="114300" simplePos="0" relativeHeight="251659264" behindDoc="0" locked="0" layoutInCell="1" allowOverlap="1" wp14:anchorId="6E3329A4" wp14:editId="4CBB75DB">
                <wp:simplePos x="0" y="0"/>
                <wp:positionH relativeFrom="margin">
                  <wp:align>right</wp:align>
                </wp:positionH>
                <wp:positionV relativeFrom="paragraph">
                  <wp:posOffset>431800</wp:posOffset>
                </wp:positionV>
                <wp:extent cx="6090285" cy="1404620"/>
                <wp:effectExtent l="0" t="0" r="24765"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699" cy="1404620"/>
                        </a:xfrm>
                        <a:prstGeom prst="rect">
                          <a:avLst/>
                        </a:prstGeom>
                        <a:solidFill>
                          <a:srgbClr val="FFFFFF"/>
                        </a:solidFill>
                        <a:ln w="9525">
                          <a:solidFill>
                            <a:srgbClr val="000000"/>
                          </a:solidFill>
                          <a:miter lim="800000"/>
                          <a:headEnd/>
                          <a:tailEnd/>
                        </a:ln>
                      </wps:spPr>
                      <wps:txbx>
                        <w:txbxContent>
                          <w:p w14:paraId="250A1FEA" w14:textId="7A0085F1" w:rsidR="00DD39FE" w:rsidRPr="00DD39FE" w:rsidRDefault="00DD39FE" w:rsidP="00DD39FE">
                            <w:pPr>
                              <w:snapToGrid w:val="0"/>
                              <w:jc w:val="both"/>
                              <w:rPr>
                                <w:szCs w:val="20"/>
                                <w:lang w:eastAsia="zh-CN"/>
                              </w:rPr>
                            </w:pPr>
                            <w:r w:rsidRPr="00DD39FE">
                              <w:rPr>
                                <w:b/>
                                <w:bCs/>
                                <w:szCs w:val="20"/>
                                <w:lang w:eastAsia="zh-CN"/>
                              </w:rPr>
                              <w:t>Question 5</w:t>
                            </w:r>
                            <w:r w:rsidRPr="00DD39FE">
                              <w:rPr>
                                <w:szCs w:val="20"/>
                                <w:lang w:eastAsia="zh-CN"/>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DD39FE">
                              <w:rPr>
                                <w:szCs w:val="24"/>
                                <w:lang w:eastAsia="zh-CN"/>
                              </w:rPr>
                              <w:t>one common TCI state ID associated with a non-serving cell, if supported, may be optionally applied for CCs in a band.</w:t>
                            </w:r>
                          </w:p>
                          <w:p w14:paraId="107713DA" w14:textId="77777777" w:rsidR="00DD39FE" w:rsidRPr="00DD39FE" w:rsidRDefault="00DD39FE" w:rsidP="00DD39FE">
                            <w:pPr>
                              <w:pStyle w:val="ListParagraph"/>
                              <w:numPr>
                                <w:ilvl w:val="0"/>
                                <w:numId w:val="22"/>
                              </w:numPr>
                              <w:snapToGrid w:val="0"/>
                              <w:spacing w:after="0" w:line="240" w:lineRule="auto"/>
                              <w:jc w:val="both"/>
                              <w:rPr>
                                <w:szCs w:val="20"/>
                                <w:lang w:eastAsia="zh-CN"/>
                              </w:rPr>
                            </w:pPr>
                            <w:r w:rsidRPr="00DD39FE">
                              <w:rPr>
                                <w:szCs w:val="20"/>
                                <w:lang w:eastAsia="zh-CN"/>
                              </w:rPr>
                              <w:t xml:space="preserve">Are there specific RAN2/4 issues (including </w:t>
                            </w:r>
                            <w:r w:rsidRPr="00DD39FE">
                              <w:rPr>
                                <w:szCs w:val="24"/>
                                <w:lang w:eastAsia="zh-CN"/>
                              </w:rPr>
                              <w:t xml:space="preserve">higher-layer impact) that need to be considered for </w:t>
                            </w:r>
                            <w:proofErr w:type="gramStart"/>
                            <w:r w:rsidRPr="00DD39FE">
                              <w:rPr>
                                <w:szCs w:val="24"/>
                                <w:lang w:eastAsia="zh-CN"/>
                              </w:rPr>
                              <w:t>deciding  between</w:t>
                            </w:r>
                            <w:proofErr w:type="gramEnd"/>
                            <w:r w:rsidRPr="00DD39FE">
                              <w:rPr>
                                <w:szCs w:val="24"/>
                                <w:lang w:eastAsia="zh-CN"/>
                              </w:rPr>
                              <w:t xml:space="preserve"> the two alternatives? </w:t>
                            </w:r>
                          </w:p>
                          <w:p w14:paraId="43413C61" w14:textId="77777777" w:rsidR="00DD39FE" w:rsidRPr="00DD39FE" w:rsidRDefault="00DD39FE" w:rsidP="00DD39FE">
                            <w:pPr>
                              <w:snapToGrid w:val="0"/>
                              <w:jc w:val="both"/>
                              <w:rPr>
                                <w:szCs w:val="20"/>
                                <w:lang w:eastAsia="zh-CN"/>
                              </w:rPr>
                            </w:pPr>
                          </w:p>
                          <w:p w14:paraId="38B63932" w14:textId="77777777" w:rsidR="00DD39FE" w:rsidRPr="00DD39FE" w:rsidRDefault="00DD39FE" w:rsidP="00DD39FE">
                            <w:pPr>
                              <w:snapToGrid w:val="0"/>
                              <w:jc w:val="both"/>
                              <w:rPr>
                                <w:szCs w:val="24"/>
                                <w:lang w:eastAsia="zh-CN"/>
                              </w:rPr>
                            </w:pPr>
                            <w:r w:rsidRPr="00DD39FE">
                              <w:rPr>
                                <w:b/>
                                <w:bCs/>
                                <w:szCs w:val="20"/>
                                <w:lang w:eastAsia="zh-CN"/>
                              </w:rPr>
                              <w:t>Question 6</w:t>
                            </w:r>
                            <w:r w:rsidRPr="00DD39FE">
                              <w:rPr>
                                <w:szCs w:val="20"/>
                                <w:lang w:eastAsia="zh-CN"/>
                              </w:rPr>
                              <w:t xml:space="preserve">: In regard of inter-frequency issues, from RAN2/4 perspective, what would be the </w:t>
                            </w:r>
                            <w:r w:rsidRPr="00DD39FE">
                              <w:rPr>
                                <w:szCs w:val="24"/>
                                <w:lang w:eastAsia="zh-CN"/>
                              </w:rPr>
                              <w:t xml:space="preserve">higher-layer and RRM impact assuming inter-frequency </w:t>
                            </w:r>
                            <w:r w:rsidRPr="00DD39FE">
                              <w:rPr>
                                <w:szCs w:val="20"/>
                                <w:lang w:eastAsia="zh-CN"/>
                              </w:rPr>
                              <w:t xml:space="preserve">scenarios </w:t>
                            </w:r>
                            <w:r w:rsidRPr="00DD39FE">
                              <w:rPr>
                                <w:szCs w:val="24"/>
                                <w:lang w:eastAsia="zh-CN"/>
                              </w:rPr>
                              <w:t>as opposed to intra-frequency scenarios? For intra-frequency scenario, it is assumed that SSBs of non-serving cells have the same center frequency and SCS as the SSBs of the serving cell.</w:t>
                            </w:r>
                          </w:p>
                          <w:p w14:paraId="41BCF27B" w14:textId="77777777" w:rsidR="00DD39FE" w:rsidRPr="00DD39FE" w:rsidRDefault="00DD39FE" w:rsidP="00DD39FE">
                            <w:pPr>
                              <w:pStyle w:val="ListParagraph"/>
                              <w:numPr>
                                <w:ilvl w:val="0"/>
                                <w:numId w:val="23"/>
                              </w:numPr>
                              <w:snapToGrid w:val="0"/>
                              <w:spacing w:after="0" w:line="240" w:lineRule="auto"/>
                              <w:jc w:val="both"/>
                              <w:rPr>
                                <w:szCs w:val="24"/>
                                <w:lang w:eastAsia="zh-CN"/>
                              </w:rPr>
                            </w:pPr>
                            <w:r w:rsidRPr="00DD39FE">
                              <w:rPr>
                                <w:szCs w:val="24"/>
                                <w:lang w:eastAsia="zh-CN"/>
                              </w:rPr>
                              <w:t xml:space="preserve">Note: </w:t>
                            </w:r>
                            <w:r w:rsidRPr="00DD39FE">
                              <w:rPr>
                                <w:szCs w:val="20"/>
                              </w:rPr>
                              <w:t>RAN1 has agreed to support intra-frequency scenarios, whereas the support for inter-frequency scenarios is still for further study.</w:t>
                            </w:r>
                          </w:p>
                          <w:p w14:paraId="58581BD8" w14:textId="3CCC059F" w:rsidR="00DD39FE" w:rsidRDefault="00DD39F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3329A4" id="_x0000_t202" coordsize="21600,21600" o:spt="202" path="m,l,21600r21600,l21600,xe">
                <v:stroke joinstyle="miter"/>
                <v:path gradientshapeok="t" o:connecttype="rect"/>
              </v:shapetype>
              <v:shape id="Text Box 2" o:spid="_x0000_s1026" type="#_x0000_t202" style="position:absolute;margin-left:428.35pt;margin-top:34pt;width:479.5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">
                <v:textbox style="mso-fit-shape-to-text:t">
                  <w:txbxContent>
                    <w:p w14:paraId="250A1FEA" w14:textId="7A0085F1" w:rsidR="00DD39FE" w:rsidRPr="00DD39FE" w:rsidRDefault="00DD39FE" w:rsidP="00DD39FE">
                      <w:pPr>
                        <w:snapToGrid w:val="0"/>
                        <w:jc w:val="both"/>
                        <w:rPr>
                          <w:szCs w:val="20"/>
                          <w:lang w:eastAsia="zh-CN"/>
                        </w:rPr>
                      </w:pPr>
                      <w:r w:rsidRPr="00DD39FE">
                        <w:rPr>
                          <w:b/>
                          <w:bCs/>
                          <w:szCs w:val="20"/>
                          <w:lang w:eastAsia="zh-CN"/>
                        </w:rPr>
                        <w:t>Question 5</w:t>
                      </w:r>
                      <w:r w:rsidRPr="00DD39FE">
                        <w:rPr>
                          <w:szCs w:val="20"/>
                          <w:lang w:eastAsia="zh-CN"/>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DD39FE">
                        <w:rPr>
                          <w:szCs w:val="24"/>
                          <w:lang w:eastAsia="zh-CN"/>
                        </w:rPr>
                        <w:t>one common TCI state ID associated with a non-serving cell, if supported, may be optionally applied for CCs in a band.</w:t>
                      </w:r>
                    </w:p>
                    <w:p w14:paraId="107713DA" w14:textId="77777777" w:rsidR="00DD39FE" w:rsidRPr="00DD39FE" w:rsidRDefault="00DD39FE" w:rsidP="00DD39FE">
                      <w:pPr>
                        <w:pStyle w:val="ListParagraph"/>
                        <w:numPr>
                          <w:ilvl w:val="0"/>
                          <w:numId w:val="22"/>
                        </w:numPr>
                        <w:snapToGrid w:val="0"/>
                        <w:spacing w:after="0" w:line="240" w:lineRule="auto"/>
                        <w:jc w:val="both"/>
                        <w:rPr>
                          <w:szCs w:val="20"/>
                          <w:lang w:eastAsia="zh-CN"/>
                        </w:rPr>
                      </w:pPr>
                      <w:r w:rsidRPr="00DD39FE">
                        <w:rPr>
                          <w:szCs w:val="20"/>
                          <w:lang w:eastAsia="zh-CN"/>
                        </w:rPr>
                        <w:t xml:space="preserve">Are there specific RAN2/4 issues (including </w:t>
                      </w:r>
                      <w:r w:rsidRPr="00DD39FE">
                        <w:rPr>
                          <w:szCs w:val="24"/>
                          <w:lang w:eastAsia="zh-CN"/>
                        </w:rPr>
                        <w:t xml:space="preserve">higher-layer impact) that need to be considered for </w:t>
                      </w:r>
                      <w:proofErr w:type="gramStart"/>
                      <w:r w:rsidRPr="00DD39FE">
                        <w:rPr>
                          <w:szCs w:val="24"/>
                          <w:lang w:eastAsia="zh-CN"/>
                        </w:rPr>
                        <w:t>deciding  between</w:t>
                      </w:r>
                      <w:proofErr w:type="gramEnd"/>
                      <w:r w:rsidRPr="00DD39FE">
                        <w:rPr>
                          <w:szCs w:val="24"/>
                          <w:lang w:eastAsia="zh-CN"/>
                        </w:rPr>
                        <w:t xml:space="preserve"> the two alternatives? </w:t>
                      </w:r>
                    </w:p>
                    <w:p w14:paraId="43413C61" w14:textId="77777777" w:rsidR="00DD39FE" w:rsidRPr="00DD39FE" w:rsidRDefault="00DD39FE" w:rsidP="00DD39FE">
                      <w:pPr>
                        <w:snapToGrid w:val="0"/>
                        <w:jc w:val="both"/>
                        <w:rPr>
                          <w:szCs w:val="20"/>
                          <w:lang w:eastAsia="zh-CN"/>
                        </w:rPr>
                      </w:pPr>
                    </w:p>
                    <w:p w14:paraId="38B63932" w14:textId="77777777" w:rsidR="00DD39FE" w:rsidRPr="00DD39FE" w:rsidRDefault="00DD39FE" w:rsidP="00DD39FE">
                      <w:pPr>
                        <w:snapToGrid w:val="0"/>
                        <w:jc w:val="both"/>
                        <w:rPr>
                          <w:szCs w:val="24"/>
                          <w:lang w:eastAsia="zh-CN"/>
                        </w:rPr>
                      </w:pPr>
                      <w:r w:rsidRPr="00DD39FE">
                        <w:rPr>
                          <w:b/>
                          <w:bCs/>
                          <w:szCs w:val="20"/>
                          <w:lang w:eastAsia="zh-CN"/>
                        </w:rPr>
                        <w:t>Question 6</w:t>
                      </w:r>
                      <w:r w:rsidRPr="00DD39FE">
                        <w:rPr>
                          <w:szCs w:val="20"/>
                          <w:lang w:eastAsia="zh-CN"/>
                        </w:rPr>
                        <w:t xml:space="preserve">: In regard of inter-frequency issues, from RAN2/4 perspective, what would be the </w:t>
                      </w:r>
                      <w:r w:rsidRPr="00DD39FE">
                        <w:rPr>
                          <w:szCs w:val="24"/>
                          <w:lang w:eastAsia="zh-CN"/>
                        </w:rPr>
                        <w:t xml:space="preserve">higher-layer and RRM impact assuming inter-frequency </w:t>
                      </w:r>
                      <w:r w:rsidRPr="00DD39FE">
                        <w:rPr>
                          <w:szCs w:val="20"/>
                          <w:lang w:eastAsia="zh-CN"/>
                        </w:rPr>
                        <w:t xml:space="preserve">scenarios </w:t>
                      </w:r>
                      <w:r w:rsidRPr="00DD39FE">
                        <w:rPr>
                          <w:szCs w:val="24"/>
                          <w:lang w:eastAsia="zh-CN"/>
                        </w:rPr>
                        <w:t>as opposed to intra-frequency scenarios? For intra-frequency scenario, it is assumed that SSBs of non-serving cells have the same center frequency and SCS as the SSBs of the serving cell.</w:t>
                      </w:r>
                    </w:p>
                    <w:p w14:paraId="41BCF27B" w14:textId="77777777" w:rsidR="00DD39FE" w:rsidRPr="00DD39FE" w:rsidRDefault="00DD39FE" w:rsidP="00DD39FE">
                      <w:pPr>
                        <w:pStyle w:val="ListParagraph"/>
                        <w:numPr>
                          <w:ilvl w:val="0"/>
                          <w:numId w:val="23"/>
                        </w:numPr>
                        <w:snapToGrid w:val="0"/>
                        <w:spacing w:after="0" w:line="240" w:lineRule="auto"/>
                        <w:jc w:val="both"/>
                        <w:rPr>
                          <w:szCs w:val="24"/>
                          <w:lang w:eastAsia="zh-CN"/>
                        </w:rPr>
                      </w:pPr>
                      <w:r w:rsidRPr="00DD39FE">
                        <w:rPr>
                          <w:szCs w:val="24"/>
                          <w:lang w:eastAsia="zh-CN"/>
                        </w:rPr>
                        <w:t xml:space="preserve">Note: </w:t>
                      </w:r>
                      <w:r w:rsidRPr="00DD39FE">
                        <w:rPr>
                          <w:szCs w:val="20"/>
                        </w:rPr>
                        <w:t>RAN1 has agreed to support intra-frequency scenarios, whereas the support for inter-frequency scenarios is still for further study.</w:t>
                      </w:r>
                    </w:p>
                    <w:p w14:paraId="58581BD8" w14:textId="3CCC059F" w:rsidR="00DD39FE" w:rsidRDefault="00DD39FE"/>
                  </w:txbxContent>
                </v:textbox>
                <w10:wrap type="topAndBottom" anchorx="margin"/>
              </v:shape>
            </w:pict>
          </mc:Fallback>
        </mc:AlternateContent>
      </w:r>
      <w:r w:rsidR="003C3709">
        <w:rPr>
          <w:rFonts w:eastAsia="Calibri" w:cs="Times New Roman"/>
          <w:szCs w:val="20"/>
          <w:lang w:val="en-GB"/>
        </w:rPr>
        <w:t>The LS contains a large number of question</w:t>
      </w:r>
      <w:r>
        <w:rPr>
          <w:rFonts w:eastAsia="Calibri" w:cs="Times New Roman"/>
          <w:szCs w:val="20"/>
          <w:lang w:val="en-GB"/>
        </w:rPr>
        <w:t>s</w:t>
      </w:r>
      <w:r w:rsidR="005B39A5">
        <w:rPr>
          <w:rFonts w:eastAsia="Calibri" w:cs="Times New Roman"/>
          <w:szCs w:val="20"/>
          <w:lang w:val="en-GB"/>
        </w:rPr>
        <w:t xml:space="preserve">, </w:t>
      </w:r>
      <w:r>
        <w:rPr>
          <w:rFonts w:eastAsia="Calibri" w:cs="Times New Roman"/>
          <w:szCs w:val="20"/>
          <w:lang w:val="en-GB"/>
        </w:rPr>
        <w:t>some</w:t>
      </w:r>
      <w:r w:rsidR="003C3709">
        <w:rPr>
          <w:rFonts w:eastAsia="Calibri" w:cs="Times New Roman"/>
          <w:szCs w:val="20"/>
          <w:lang w:val="en-GB"/>
        </w:rPr>
        <w:t xml:space="preserve"> of which </w:t>
      </w:r>
      <w:r>
        <w:rPr>
          <w:rFonts w:eastAsia="Calibri" w:cs="Times New Roman"/>
          <w:szCs w:val="20"/>
          <w:lang w:val="en-GB"/>
        </w:rPr>
        <w:t>include sub-questions. Question</w:t>
      </w:r>
      <w:r w:rsidR="0006059E">
        <w:rPr>
          <w:rFonts w:eastAsia="Calibri" w:cs="Times New Roman"/>
          <w:szCs w:val="20"/>
          <w:lang w:val="en-GB"/>
        </w:rPr>
        <w:t>s</w:t>
      </w:r>
      <w:r>
        <w:rPr>
          <w:rFonts w:eastAsia="Calibri" w:cs="Times New Roman"/>
          <w:szCs w:val="20"/>
          <w:lang w:val="en-GB"/>
        </w:rPr>
        <w:t xml:space="preserve"> 5 and 6 are targeted for RAN4:</w:t>
      </w:r>
    </w:p>
    <w:p w14:paraId="2E5BF2B7" w14:textId="3609AD67" w:rsidR="00DD39FE" w:rsidRDefault="00DD39FE" w:rsidP="00202C59">
      <w:pPr>
        <w:ind w:right="-22"/>
      </w:pPr>
    </w:p>
    <w:p w14:paraId="2C4E1DB0" w14:textId="232853B2" w:rsidR="005C5006" w:rsidRDefault="005C5006" w:rsidP="00202C59">
      <w:pPr>
        <w:ind w:right="-22"/>
      </w:pPr>
      <w:r>
        <w:t xml:space="preserve">In the LS </w:t>
      </w:r>
      <w:r w:rsidR="003F3524">
        <w:t xml:space="preserve">from </w:t>
      </w:r>
      <w:r>
        <w:t xml:space="preserve">RAN1 </w:t>
      </w:r>
      <w:r w:rsidR="003F3524">
        <w:t xml:space="preserve">it </w:t>
      </w:r>
      <w:r>
        <w:t>is further mentioned</w:t>
      </w:r>
      <w:r w:rsidR="0006059E">
        <w:t xml:space="preserve"> what is understood as ‘the operation’</w:t>
      </w:r>
      <w:r>
        <w:t>:</w:t>
      </w:r>
    </w:p>
    <w:p w14:paraId="53612747" w14:textId="04585B7C" w:rsidR="005C5006" w:rsidRDefault="005C5006" w:rsidP="00202C59">
      <w:pPr>
        <w:ind w:right="-22"/>
      </w:pPr>
      <w:r>
        <w:rPr>
          <w:noProof/>
        </w:rPr>
        <mc:AlternateContent>
          <mc:Choice Requires="wps">
            <w:drawing>
              <wp:anchor distT="45720" distB="45720" distL="114300" distR="114300" simplePos="0" relativeHeight="251661312" behindDoc="0" locked="0" layoutInCell="1" allowOverlap="1" wp14:anchorId="3A9181F4" wp14:editId="0E13F8DD">
                <wp:simplePos x="0" y="0"/>
                <wp:positionH relativeFrom="margin">
                  <wp:align>right</wp:align>
                </wp:positionH>
                <wp:positionV relativeFrom="paragraph">
                  <wp:posOffset>184785</wp:posOffset>
                </wp:positionV>
                <wp:extent cx="6098540" cy="1588770"/>
                <wp:effectExtent l="0" t="0" r="16510" b="1143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588770"/>
                        </a:xfrm>
                        <a:prstGeom prst="rect">
                          <a:avLst/>
                        </a:prstGeom>
                        <a:solidFill>
                          <a:srgbClr val="FFFFFF"/>
                        </a:solidFill>
                        <a:ln w="9525">
                          <a:solidFill>
                            <a:srgbClr val="000000"/>
                          </a:solidFill>
                          <a:miter lim="800000"/>
                          <a:headEnd/>
                          <a:tailEnd/>
                        </a:ln>
                      </wps:spPr>
                      <wps:txbx>
                        <w:txbxContent>
                          <w:p w14:paraId="22FCF7B8" w14:textId="3BD47B6C" w:rsidR="005C5006" w:rsidRPr="005C5006" w:rsidRDefault="005C5006">
                            <w:pPr>
                              <w:rPr>
                                <w:sz w:val="18"/>
                                <w:szCs w:val="20"/>
                              </w:rPr>
                            </w:pPr>
                            <w:r w:rsidRPr="005C5006">
                              <w:rPr>
                                <w:szCs w:val="20"/>
                              </w:rPr>
                              <w:t xml:space="preserve">As a part of the Rel-17 </w:t>
                            </w:r>
                            <w:proofErr w:type="spellStart"/>
                            <w:r w:rsidRPr="005C5006">
                              <w:rPr>
                                <w:szCs w:val="20"/>
                              </w:rPr>
                              <w:t>NR_FeMIMO</w:t>
                            </w:r>
                            <w:proofErr w:type="spellEnd"/>
                            <w:r w:rsidRPr="005C5006">
                              <w:rPr>
                                <w:szCs w:val="20"/>
                              </w:rPr>
                              <w:t xml:space="preserve"> WID wherein the group is tasked to “identify and specify features to facilitate more efficient (lower latency and overhead) DL/UL beam management to support higher intra- and L1/L2-centric inter-cell mobility” as well as “QCL/TCI-related enhancements to enable inter-cell multi-TRP </w:t>
                            </w:r>
                            <w:r w:rsidRPr="00DA5E32">
                              <w:rPr>
                                <w:szCs w:val="20"/>
                                <w:highlight w:val="yellow"/>
                              </w:rPr>
                              <w:t>operations</w:t>
                            </w:r>
                            <w:r w:rsidRPr="005C5006">
                              <w:rPr>
                                <w:szCs w:val="20"/>
                              </w:rPr>
                              <w:t xml:space="preserve">”, RAN1 is currently investigating </w:t>
                            </w:r>
                            <w:r w:rsidRPr="005C5006">
                              <w:rPr>
                                <w:szCs w:val="20"/>
                                <w:u w:val="single"/>
                              </w:rPr>
                              <w:t xml:space="preserve">TCI state update (beam indication) for </w:t>
                            </w:r>
                            <w:r w:rsidRPr="005C5006">
                              <w:rPr>
                                <w:rFonts w:cs="Times"/>
                                <w:szCs w:val="20"/>
                                <w:u w:val="single"/>
                              </w:rPr>
                              <w:t xml:space="preserve">DL reception from and UL transmission to non-serving cell(s) – </w:t>
                            </w:r>
                            <w:r w:rsidRPr="005C5006">
                              <w:rPr>
                                <w:szCs w:val="20"/>
                                <w:u w:val="single"/>
                                <w:lang w:eastAsia="zh-CN"/>
                              </w:rPr>
                              <w:t>at least on UE-dedicated PDSCH, PDCCH, PUSCH, and PUCCH</w:t>
                            </w:r>
                            <w:r w:rsidRPr="005C5006">
                              <w:rPr>
                                <w:rFonts w:cs="Times"/>
                                <w:szCs w:val="20"/>
                              </w:rPr>
                              <w:t>. In this case, the TCI can be associated with source RS(s) configured for the non-serving cell(s), if supported. It is noted that a non-serving cell is differentiated from the serving cell by PCI.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9181F4" id="_x0000_s1027" type="#_x0000_t202" style="position:absolute;margin-left:429pt;margin-top:14.55pt;width:480.2pt;height:125.1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">
                <v:textbox style="mso-fit-shape-to-text:t">
                  <w:txbxContent>
                    <w:p w14:paraId="22FCF7B8" w14:textId="3BD47B6C" w:rsidR="005C5006" w:rsidRPr="005C5006" w:rsidRDefault="005C5006">
                      <w:pPr>
                        <w:rPr>
                          <w:sz w:val="18"/>
                          <w:szCs w:val="20"/>
                        </w:rPr>
                      </w:pPr>
                      <w:r w:rsidRPr="005C5006">
                        <w:rPr>
                          <w:szCs w:val="20"/>
                        </w:rPr>
                        <w:t xml:space="preserve">As a part of the Rel-17 </w:t>
                      </w:r>
                      <w:proofErr w:type="spellStart"/>
                      <w:r w:rsidRPr="005C5006">
                        <w:rPr>
                          <w:szCs w:val="20"/>
                        </w:rPr>
                        <w:t>NR_FeMIMO</w:t>
                      </w:r>
                      <w:proofErr w:type="spellEnd"/>
                      <w:r w:rsidRPr="005C5006">
                        <w:rPr>
                          <w:szCs w:val="20"/>
                        </w:rPr>
                        <w:t xml:space="preserve"> WID wherein the group is tasked to “identify and specify features to facilitate more efficient (lower latency and overhead) DL/UL beam management to support higher intra- and L1/L2-centric inter-cell mobility” as well as “QCL/TCI-related enhancements to enable inter-cell multi-TRP </w:t>
                      </w:r>
                      <w:r w:rsidRPr="00DA5E32">
                        <w:rPr>
                          <w:szCs w:val="20"/>
                          <w:highlight w:val="yellow"/>
                        </w:rPr>
                        <w:t>operations</w:t>
                      </w:r>
                      <w:r w:rsidRPr="005C5006">
                        <w:rPr>
                          <w:szCs w:val="20"/>
                        </w:rPr>
                        <w:t xml:space="preserve">”, RAN1 is currently investigating </w:t>
                      </w:r>
                      <w:r w:rsidRPr="005C5006">
                        <w:rPr>
                          <w:szCs w:val="20"/>
                          <w:u w:val="single"/>
                        </w:rPr>
                        <w:t xml:space="preserve">TCI state update (beam indication) for </w:t>
                      </w:r>
                      <w:r w:rsidRPr="005C5006">
                        <w:rPr>
                          <w:rFonts w:cs="Times"/>
                          <w:szCs w:val="20"/>
                          <w:u w:val="single"/>
                        </w:rPr>
                        <w:t xml:space="preserve">DL reception from and UL transmission to non-serving cell(s) – </w:t>
                      </w:r>
                      <w:r w:rsidRPr="005C5006">
                        <w:rPr>
                          <w:szCs w:val="20"/>
                          <w:u w:val="single"/>
                          <w:lang w:eastAsia="zh-CN"/>
                        </w:rPr>
                        <w:t>at least on UE-dedicated PDSCH, PDCCH, PUSCH, and PUCCH</w:t>
                      </w:r>
                      <w:r w:rsidRPr="005C5006">
                        <w:rPr>
                          <w:rFonts w:cs="Times"/>
                          <w:szCs w:val="20"/>
                        </w:rPr>
                        <w:t>. In this case, the TCI can be associated with source RS(s) configured for the non-serving cell(s), if supported. It is noted that a non-serving cell is differentiated from the serving cell by PCI.</w:t>
                      </w:r>
                    </w:p>
                  </w:txbxContent>
                </v:textbox>
                <w10:wrap type="topAndBottom" anchorx="margin"/>
              </v:shape>
            </w:pict>
          </mc:Fallback>
        </mc:AlternateContent>
      </w:r>
      <w:r w:rsidR="0006059E">
        <w:t xml:space="preserve">in the following we discuss each </w:t>
      </w:r>
      <w:r w:rsidR="00DA421D">
        <w:t xml:space="preserve">of </w:t>
      </w:r>
      <w:r w:rsidR="006465BB">
        <w:t xml:space="preserve">the two </w:t>
      </w:r>
      <w:r w:rsidR="0006059E">
        <w:t>question</w:t>
      </w:r>
      <w:r w:rsidR="006465BB">
        <w:t>s directed towards RAN4</w:t>
      </w:r>
      <w:r w:rsidR="0006059E">
        <w:t>.</w:t>
      </w:r>
    </w:p>
    <w:p w14:paraId="0B7335ED" w14:textId="1F5D91B6" w:rsidR="0006059E" w:rsidRDefault="0006059E" w:rsidP="00202C59">
      <w:pPr>
        <w:ind w:right="-22"/>
      </w:pPr>
      <w:r w:rsidRPr="00C10A73">
        <w:rPr>
          <w:b/>
          <w:bCs/>
          <w:u w:val="single"/>
        </w:rPr>
        <w:lastRenderedPageBreak/>
        <w:t>Question 5</w:t>
      </w:r>
      <w:r>
        <w:t xml:space="preserve"> is about whether UE can operate with serving and non-serving cells within the same frequency band (hence intra-band scenario) or additionally inter-</w:t>
      </w:r>
      <w:r w:rsidR="00082C86">
        <w:t xml:space="preserve">frequency </w:t>
      </w:r>
      <w:r>
        <w:t>band scenario:</w:t>
      </w:r>
    </w:p>
    <w:p w14:paraId="7ED0E1A3" w14:textId="2D2281BC" w:rsidR="0006059E" w:rsidRDefault="0006059E" w:rsidP="0006059E">
      <w:pPr>
        <w:pStyle w:val="ListParagraph"/>
        <w:numPr>
          <w:ilvl w:val="0"/>
          <w:numId w:val="24"/>
        </w:numPr>
        <w:ind w:right="-22"/>
      </w:pPr>
      <w:r>
        <w:t>Intra-band scenario only.</w:t>
      </w:r>
    </w:p>
    <w:p w14:paraId="76AB5CB2" w14:textId="32B36685" w:rsidR="0006059E" w:rsidRDefault="0006059E" w:rsidP="0006059E">
      <w:pPr>
        <w:pStyle w:val="ListParagraph"/>
        <w:numPr>
          <w:ilvl w:val="0"/>
          <w:numId w:val="24"/>
        </w:numPr>
        <w:ind w:right="-22"/>
      </w:pPr>
      <w:r>
        <w:t>Both intra-band and inter-band scenarios.</w:t>
      </w:r>
    </w:p>
    <w:p w14:paraId="2770CAD8" w14:textId="78D0AFB6" w:rsidR="0006059E" w:rsidRDefault="0006059E" w:rsidP="00202C59">
      <w:pPr>
        <w:ind w:right="-22"/>
      </w:pPr>
      <w:r>
        <w:t xml:space="preserve">More specifically, RAN1 is asking whether RAN4 </w:t>
      </w:r>
      <w:r w:rsidR="00E747E7">
        <w:t xml:space="preserve">see any issues operating in either intra-band or inter-band. </w:t>
      </w:r>
    </w:p>
    <w:p w14:paraId="077750A4" w14:textId="5E3FA1CC" w:rsidR="00DD39FE" w:rsidRDefault="00E747E7" w:rsidP="00202C59">
      <w:pPr>
        <w:ind w:right="-22"/>
      </w:pPr>
      <w:r>
        <w:t>In Rel-16 RAN4 discussed DAPS, where RAN4 had extensive discussions related to UE being scheduled from more than one cell simultaneously. During the DAPS requirements work RAN4 decided to focus on FR1 and did not define requirements for FR2 case.</w:t>
      </w:r>
    </w:p>
    <w:p w14:paraId="46B421D0" w14:textId="4F1F58FB" w:rsidR="005E54CF" w:rsidRDefault="002469B0" w:rsidP="00202C59">
      <w:pPr>
        <w:ind w:right="-22"/>
      </w:pPr>
      <w:r>
        <w:t>Our understanding of the RAN1 L</w:t>
      </w:r>
      <w:r w:rsidR="00082C86">
        <w:t>S</w:t>
      </w:r>
      <w:r>
        <w:t xml:space="preserve"> is that it is mainly targeted operation in FR2. </w:t>
      </w:r>
      <w:r w:rsidR="005E54CF">
        <w:t>The operation discussed in RAN1 is targeting:</w:t>
      </w:r>
    </w:p>
    <w:p w14:paraId="5E889FFF" w14:textId="77777777" w:rsidR="005E54CF" w:rsidRDefault="005E54CF" w:rsidP="005E54CF">
      <w:pPr>
        <w:pStyle w:val="ListParagraph"/>
        <w:numPr>
          <w:ilvl w:val="0"/>
          <w:numId w:val="25"/>
        </w:numPr>
        <w:ind w:right="-22"/>
      </w:pPr>
      <w:r>
        <w:t>‘</w:t>
      </w:r>
      <w:r w:rsidRPr="005E54CF">
        <w:rPr>
          <w:szCs w:val="20"/>
        </w:rPr>
        <w:t>DL/UL beam management to support higher intra- and L1/L2-centric inter-cell mobility</w:t>
      </w:r>
      <w:r>
        <w:t xml:space="preserve">’, and </w:t>
      </w:r>
    </w:p>
    <w:p w14:paraId="4CBBB290" w14:textId="77777777" w:rsidR="005E54CF" w:rsidRDefault="005E54CF" w:rsidP="005E54CF">
      <w:pPr>
        <w:pStyle w:val="ListParagraph"/>
        <w:numPr>
          <w:ilvl w:val="0"/>
          <w:numId w:val="25"/>
        </w:numPr>
        <w:ind w:right="-22"/>
      </w:pPr>
      <w:r>
        <w:t>‘</w:t>
      </w:r>
      <w:r w:rsidRPr="005E54CF">
        <w:rPr>
          <w:szCs w:val="20"/>
        </w:rPr>
        <w:t>QCL/TCI-related enhancements to enable inter-cell multi-TRP operations</w:t>
      </w:r>
      <w:r>
        <w:t xml:space="preserve">’ </w:t>
      </w:r>
    </w:p>
    <w:p w14:paraId="4A2EFBD4" w14:textId="0C331A85" w:rsidR="002469B0" w:rsidRDefault="005E54CF" w:rsidP="00202C59">
      <w:pPr>
        <w:ind w:right="-22"/>
      </w:pPr>
      <w:r>
        <w:t>Hence, RAN4 has to consider the current baseline assumptions related to CA in FR2 as well as the ongoing discussion related to IBM and CBM capable UEs.</w:t>
      </w:r>
    </w:p>
    <w:p w14:paraId="73DBECE2" w14:textId="1A6D977B" w:rsidR="007615CF" w:rsidRDefault="00C2435F" w:rsidP="003B659E">
      <w:pPr>
        <w:ind w:right="-22"/>
        <w:rPr>
          <w:rStyle w:val="normaltextrun"/>
          <w:color w:val="000000"/>
          <w:szCs w:val="20"/>
          <w:shd w:val="clear" w:color="auto" w:fill="FFFFFF"/>
        </w:rPr>
      </w:pPr>
      <w:r>
        <w:rPr>
          <w:rFonts w:cs="Times New Roman"/>
        </w:rPr>
        <w:t xml:space="preserve">Current assumption for intra-band CA in FR2 is that all </w:t>
      </w:r>
      <w:r w:rsidR="007615CF">
        <w:rPr>
          <w:rFonts w:cs="Times New Roman"/>
        </w:rPr>
        <w:t xml:space="preserve">FR2 </w:t>
      </w:r>
      <w:r>
        <w:rPr>
          <w:rFonts w:cs="Times New Roman"/>
        </w:rPr>
        <w:t xml:space="preserve">serving cells </w:t>
      </w:r>
      <w:r w:rsidR="007615CF">
        <w:rPr>
          <w:rFonts w:cs="Times New Roman"/>
        </w:rPr>
        <w:t xml:space="preserve">in the band </w:t>
      </w:r>
      <w:r>
        <w:rPr>
          <w:rFonts w:cs="Times New Roman"/>
        </w:rPr>
        <w:t xml:space="preserve">are collocated. </w:t>
      </w:r>
      <w:r w:rsidR="007615CF">
        <w:rPr>
          <w:rFonts w:cs="Times New Roman"/>
        </w:rPr>
        <w:t xml:space="preserve">In Rel-16 RAN4 defined requirements for inter-band CA for UEs capable of IBM. In last meeting RAN4 then confirmed that an IBM capable UE </w:t>
      </w:r>
      <w:r w:rsidR="007615CF">
        <w:rPr>
          <w:rStyle w:val="normaltextrun"/>
          <w:color w:val="000000"/>
          <w:szCs w:val="20"/>
          <w:shd w:val="clear" w:color="auto" w:fill="FFFFFF"/>
        </w:rPr>
        <w:t xml:space="preserve">there is no restriction on deployment scenario i.e. network assumes </w:t>
      </w:r>
      <w:r w:rsidR="00A702B9">
        <w:rPr>
          <w:rStyle w:val="normaltextrun"/>
          <w:color w:val="000000"/>
          <w:szCs w:val="20"/>
          <w:shd w:val="clear" w:color="auto" w:fill="FFFFFF"/>
        </w:rPr>
        <w:t xml:space="preserve">an </w:t>
      </w:r>
      <w:r w:rsidR="007615CF">
        <w:rPr>
          <w:rStyle w:val="normaltextrun"/>
          <w:color w:val="000000"/>
          <w:szCs w:val="20"/>
          <w:shd w:val="clear" w:color="auto" w:fill="FFFFFF"/>
        </w:rPr>
        <w:t>IBM UE supports both co-located and non-co-located deployments. Additionally, following UE assumptions were agreed:</w:t>
      </w:r>
    </w:p>
    <w:p w14:paraId="1DFC0EE8" w14:textId="77777777" w:rsidR="00773B08" w:rsidRPr="00773B08" w:rsidRDefault="00773B08" w:rsidP="00773B08">
      <w:pPr>
        <w:pStyle w:val="ListParagraph"/>
        <w:numPr>
          <w:ilvl w:val="0"/>
          <w:numId w:val="26"/>
        </w:numPr>
        <w:ind w:right="-22"/>
        <w:rPr>
          <w:rFonts w:cs="Times New Roman"/>
          <w:lang w:val="en-GB"/>
        </w:rPr>
      </w:pPr>
      <w:r w:rsidRPr="00773B08">
        <w:rPr>
          <w:rFonts w:cs="Times New Roman"/>
          <w:lang w:val="en-GB"/>
        </w:rPr>
        <w:t xml:space="preserve">IBM capable UE is assumed to be capable of receiving signals for FR2 inter-band CA with different beam directions at the same time. </w:t>
      </w:r>
    </w:p>
    <w:p w14:paraId="073E3371" w14:textId="1B26B374" w:rsidR="007615CF" w:rsidRPr="00773B08" w:rsidRDefault="00773B08" w:rsidP="00773B08">
      <w:pPr>
        <w:pStyle w:val="ListParagraph"/>
        <w:numPr>
          <w:ilvl w:val="0"/>
          <w:numId w:val="26"/>
        </w:numPr>
        <w:ind w:right="-22"/>
        <w:rPr>
          <w:rFonts w:cs="Times New Roman"/>
          <w:lang w:val="en-GB"/>
        </w:rPr>
      </w:pPr>
      <w:r w:rsidRPr="00773B08">
        <w:rPr>
          <w:rFonts w:cs="Times New Roman"/>
          <w:lang w:val="en-GB"/>
        </w:rPr>
        <w:t>A UE that supports inter-band CA with IBM selects its DL Rx beam(s) for all CCs in each configured band based on DL reference signals measurements made in that band.</w:t>
      </w:r>
    </w:p>
    <w:p w14:paraId="410F4397" w14:textId="0B5F8213" w:rsidR="00773B08" w:rsidRDefault="00773B08" w:rsidP="003B659E">
      <w:pPr>
        <w:ind w:right="-22"/>
        <w:rPr>
          <w:rFonts w:cs="Times New Roman"/>
          <w:lang w:val="en-GB"/>
        </w:rPr>
      </w:pPr>
      <w:r>
        <w:rPr>
          <w:rFonts w:cs="Times New Roman"/>
          <w:lang w:val="en-GB"/>
        </w:rPr>
        <w:t xml:space="preserve">For CBM the detailed related to fully/almost colocation and MRTD </w:t>
      </w:r>
      <w:r w:rsidR="0054126A">
        <w:rPr>
          <w:rFonts w:cs="Times New Roman"/>
          <w:lang w:val="en-GB"/>
        </w:rPr>
        <w:t>requirements</w:t>
      </w:r>
      <w:r w:rsidR="00830A3D">
        <w:rPr>
          <w:rFonts w:cs="Times New Roman"/>
          <w:lang w:val="en-GB"/>
        </w:rPr>
        <w:t>, the</w:t>
      </w:r>
      <w:r w:rsidR="0054126A">
        <w:rPr>
          <w:rFonts w:cs="Times New Roman"/>
          <w:lang w:val="en-GB"/>
        </w:rPr>
        <w:t xml:space="preserve"> </w:t>
      </w:r>
      <w:r>
        <w:rPr>
          <w:rFonts w:cs="Times New Roman"/>
          <w:lang w:val="en-GB"/>
        </w:rPr>
        <w:t>discussion is still ongoing. However, it seems clear that the CBM capable UE will not support non-colocation in a similar manner as the IBM capable UE. As for the UE assumption related to a CBM capable UE RAN4 agreed in last meeting:</w:t>
      </w:r>
    </w:p>
    <w:p w14:paraId="19872783" w14:textId="77777777" w:rsidR="00773B08" w:rsidRPr="00773B08" w:rsidRDefault="00773B08" w:rsidP="00773B08">
      <w:pPr>
        <w:pStyle w:val="ListParagraph"/>
        <w:numPr>
          <w:ilvl w:val="0"/>
          <w:numId w:val="27"/>
        </w:numPr>
        <w:ind w:right="-22"/>
        <w:rPr>
          <w:rFonts w:cs="Times New Roman"/>
          <w:lang w:val="en-GB"/>
        </w:rPr>
      </w:pPr>
      <w:r w:rsidRPr="00773B08">
        <w:rPr>
          <w:rFonts w:cs="Times New Roman"/>
          <w:lang w:val="en-GB"/>
        </w:rPr>
        <w:t xml:space="preserve">UE is assumed to make reception with one beam at a time, i.e. similar to Rel-15 baseline UE assumption. </w:t>
      </w:r>
    </w:p>
    <w:p w14:paraId="2DDC2348" w14:textId="77777777" w:rsidR="00773B08" w:rsidRPr="00773B08" w:rsidRDefault="00773B08" w:rsidP="00773B08">
      <w:pPr>
        <w:pStyle w:val="ListParagraph"/>
        <w:numPr>
          <w:ilvl w:val="0"/>
          <w:numId w:val="27"/>
        </w:numPr>
        <w:ind w:right="-22"/>
        <w:rPr>
          <w:rFonts w:cs="Times New Roman"/>
          <w:lang w:val="en-GB"/>
        </w:rPr>
      </w:pPr>
      <w:r w:rsidRPr="00773B08">
        <w:rPr>
          <w:rFonts w:cs="Times New Roman"/>
          <w:lang w:val="en-GB"/>
        </w:rPr>
        <w:t xml:space="preserve">At least one active panel at a time can be assumed as baseline for RRM requirements definition. </w:t>
      </w:r>
    </w:p>
    <w:p w14:paraId="16C9DB6B" w14:textId="77777777" w:rsidR="00773B08" w:rsidRPr="00773B08" w:rsidRDefault="00773B08" w:rsidP="00773B08">
      <w:pPr>
        <w:pStyle w:val="ListParagraph"/>
        <w:numPr>
          <w:ilvl w:val="0"/>
          <w:numId w:val="27"/>
        </w:numPr>
        <w:ind w:right="-22"/>
        <w:rPr>
          <w:rFonts w:cs="Times New Roman"/>
          <w:lang w:val="en-GB"/>
        </w:rPr>
      </w:pPr>
      <w:r w:rsidRPr="00773B08">
        <w:rPr>
          <w:rFonts w:cs="Times New Roman"/>
          <w:lang w:val="en-GB"/>
        </w:rPr>
        <w:t xml:space="preserve">A UE that supports inter-band CA with CBM selects its DL Rx beam(s) for all CCs in all configured bands based on DL measurements made in the only CC configured with the reference signal for beam management. </w:t>
      </w:r>
    </w:p>
    <w:p w14:paraId="64B1F795" w14:textId="0B72C66B" w:rsidR="00773B08" w:rsidRPr="00773B08" w:rsidRDefault="00773B08" w:rsidP="00773B08">
      <w:pPr>
        <w:pStyle w:val="ListParagraph"/>
        <w:numPr>
          <w:ilvl w:val="1"/>
          <w:numId w:val="27"/>
        </w:numPr>
        <w:ind w:right="-22"/>
        <w:rPr>
          <w:rFonts w:cs="Times New Roman"/>
          <w:lang w:val="en-GB"/>
        </w:rPr>
      </w:pPr>
      <w:r w:rsidRPr="00773B08">
        <w:rPr>
          <w:rFonts w:cs="Times New Roman"/>
          <w:lang w:val="en-GB"/>
        </w:rPr>
        <w:t>In FR2 CA cases, requirements apply when the BM RS is provided in a CC with a configured UL BWP.</w:t>
      </w:r>
    </w:p>
    <w:p w14:paraId="18607A0B" w14:textId="1F38445C" w:rsidR="00773B08" w:rsidRDefault="00773B08" w:rsidP="003B659E">
      <w:pPr>
        <w:ind w:right="-22"/>
        <w:rPr>
          <w:rFonts w:cs="Times New Roman"/>
        </w:rPr>
      </w:pPr>
      <w:r>
        <w:rPr>
          <w:rFonts w:cs="Times New Roman"/>
        </w:rPr>
        <w:t>The agreement reached in the last meeting and listed here should be accounted when discussing the LS reply to RAN1.</w:t>
      </w:r>
    </w:p>
    <w:p w14:paraId="4CA33E16" w14:textId="73B5B448" w:rsidR="00773B08" w:rsidRDefault="00773B08" w:rsidP="00560384">
      <w:pPr>
        <w:pStyle w:val="RAN4observation0"/>
      </w:pPr>
      <w:r>
        <w:t>The agreements related to CBM and IBM capable UEs</w:t>
      </w:r>
      <w:r w:rsidR="00560384">
        <w:t xml:space="preserve"> needs to be accounted in the LS reply discussion.</w:t>
      </w:r>
    </w:p>
    <w:p w14:paraId="42D3F900" w14:textId="29F28E66" w:rsidR="00560384" w:rsidRDefault="00821A7B" w:rsidP="003B659E">
      <w:pPr>
        <w:ind w:right="-22"/>
        <w:rPr>
          <w:rFonts w:cs="Times New Roman"/>
          <w:lang w:val="en-GB"/>
        </w:rPr>
      </w:pPr>
      <w:r>
        <w:rPr>
          <w:rFonts w:cs="Times New Roman"/>
          <w:lang w:val="en-GB"/>
        </w:rPr>
        <w:t xml:space="preserve">Based on the RAN4 assumptions, Rel-16 </w:t>
      </w:r>
      <w:r w:rsidR="006E1467">
        <w:rPr>
          <w:rFonts w:cs="Times New Roman"/>
          <w:lang w:val="en-GB"/>
        </w:rPr>
        <w:t>agreements,</w:t>
      </w:r>
      <w:r>
        <w:rPr>
          <w:rFonts w:cs="Times New Roman"/>
          <w:lang w:val="en-GB"/>
        </w:rPr>
        <w:t xml:space="preserve"> and ongoing Rel-17 discussion we believe that RAN1 </w:t>
      </w:r>
      <w:r w:rsidR="00212DA9">
        <w:rPr>
          <w:rFonts w:cs="Times New Roman"/>
          <w:lang w:val="en-GB"/>
        </w:rPr>
        <w:t xml:space="preserve">at least </w:t>
      </w:r>
      <w:r>
        <w:rPr>
          <w:rFonts w:cs="Times New Roman"/>
          <w:lang w:val="en-GB"/>
        </w:rPr>
        <w:t xml:space="preserve">would need to be aware of the UE </w:t>
      </w:r>
      <w:r w:rsidR="00212DA9">
        <w:rPr>
          <w:rFonts w:cs="Times New Roman"/>
          <w:lang w:val="en-GB"/>
        </w:rPr>
        <w:t xml:space="preserve">CA and </w:t>
      </w:r>
      <w:r>
        <w:rPr>
          <w:rFonts w:cs="Times New Roman"/>
          <w:lang w:val="en-GB"/>
        </w:rPr>
        <w:t xml:space="preserve">BM capabilities. </w:t>
      </w:r>
    </w:p>
    <w:p w14:paraId="480E5F74" w14:textId="7FC6DEE8" w:rsidR="00212DA9" w:rsidRPr="00BC6C7E" w:rsidRDefault="00212DA9" w:rsidP="003B659E">
      <w:pPr>
        <w:ind w:right="-22"/>
        <w:rPr>
          <w:rFonts w:cs="Times New Roman"/>
          <w:b/>
          <w:bCs/>
          <w:u w:val="single"/>
          <w:lang w:val="en-GB"/>
        </w:rPr>
      </w:pPr>
      <w:r w:rsidRPr="00BC6C7E">
        <w:rPr>
          <w:rFonts w:cs="Times New Roman"/>
          <w:b/>
          <w:bCs/>
          <w:u w:val="single"/>
          <w:lang w:val="en-GB"/>
        </w:rPr>
        <w:t>For intra-band CA scenario:</w:t>
      </w:r>
    </w:p>
    <w:p w14:paraId="33A81DA7" w14:textId="636F685B" w:rsidR="006E1467" w:rsidRDefault="00212DA9" w:rsidP="003B659E">
      <w:pPr>
        <w:ind w:right="-22"/>
        <w:rPr>
          <w:rFonts w:cs="Times New Roman"/>
          <w:lang w:val="en-GB"/>
        </w:rPr>
      </w:pPr>
      <w:r>
        <w:rPr>
          <w:rFonts w:cs="Times New Roman"/>
          <w:lang w:val="en-GB"/>
        </w:rPr>
        <w:t xml:space="preserve">Current assumption for FR2 intra-band CA is that serving cells are collocated. RAN4 has </w:t>
      </w:r>
      <w:r w:rsidR="002E0621">
        <w:rPr>
          <w:rFonts w:cs="Times New Roman"/>
          <w:lang w:val="en-GB"/>
        </w:rPr>
        <w:t xml:space="preserve">not </w:t>
      </w:r>
      <w:r>
        <w:rPr>
          <w:rFonts w:cs="Times New Roman"/>
          <w:lang w:val="en-GB"/>
        </w:rPr>
        <w:t xml:space="preserve">defined requirements for non-collocated intra-band CA. Hence, this will limit the </w:t>
      </w:r>
      <w:r w:rsidR="006E1467">
        <w:rPr>
          <w:rFonts w:cs="Times New Roman"/>
          <w:lang w:val="en-GB"/>
        </w:rPr>
        <w:t xml:space="preserve">cell location for the cells being part of the </w:t>
      </w:r>
      <w:r w:rsidR="006E1467" w:rsidRPr="006E1467">
        <w:rPr>
          <w:rFonts w:cs="Times New Roman"/>
          <w:lang w:val="en-GB"/>
        </w:rPr>
        <w:t>DL/UL beam management to support higher intra- and L1/L2-centric inter-cell mobility</w:t>
      </w:r>
      <w:r w:rsidR="006E1467">
        <w:rPr>
          <w:rFonts w:cs="Times New Roman"/>
          <w:lang w:val="en-GB"/>
        </w:rPr>
        <w:t xml:space="preserve">. </w:t>
      </w:r>
    </w:p>
    <w:p w14:paraId="27D5F2B7" w14:textId="01185C94" w:rsidR="00BC6C7E" w:rsidRDefault="002E0621" w:rsidP="003B659E">
      <w:pPr>
        <w:ind w:right="-22"/>
        <w:rPr>
          <w:rFonts w:cs="Times New Roman"/>
          <w:lang w:val="en-GB"/>
        </w:rPr>
      </w:pPr>
      <w:r>
        <w:rPr>
          <w:rFonts w:cs="Times New Roman"/>
          <w:lang w:val="en-GB"/>
        </w:rPr>
        <w:t>As the assumption has been that intra-band CA is always collocated deployment and that the baseline assumption is that UE can only receive with in one beam direction at a time</w:t>
      </w:r>
      <w:r w:rsidR="00E26700">
        <w:rPr>
          <w:rFonts w:cs="Times New Roman"/>
          <w:lang w:val="en-GB"/>
        </w:rPr>
        <w:t>,</w:t>
      </w:r>
      <w:r>
        <w:rPr>
          <w:rFonts w:cs="Times New Roman"/>
          <w:lang w:val="en-GB"/>
        </w:rPr>
        <w:t xml:space="preserve"> </w:t>
      </w:r>
      <w:r w:rsidR="00BC6C7E">
        <w:rPr>
          <w:rFonts w:cs="Times New Roman"/>
          <w:lang w:val="en-GB"/>
        </w:rPr>
        <w:t>RAN4 has not defined requirements for intra-band IBM</w:t>
      </w:r>
      <w:r w:rsidR="00563476">
        <w:rPr>
          <w:rFonts w:cs="Times New Roman"/>
          <w:lang w:val="en-GB"/>
        </w:rPr>
        <w:t>.</w:t>
      </w:r>
      <w:r w:rsidR="00BC6C7E">
        <w:rPr>
          <w:rFonts w:cs="Times New Roman"/>
          <w:lang w:val="en-GB"/>
        </w:rPr>
        <w:t xml:space="preserve"> </w:t>
      </w:r>
      <w:r w:rsidR="00563476">
        <w:rPr>
          <w:rFonts w:cs="Times New Roman"/>
          <w:lang w:val="en-GB"/>
        </w:rPr>
        <w:t>H</w:t>
      </w:r>
      <w:r w:rsidR="00BC6C7E">
        <w:rPr>
          <w:rFonts w:cs="Times New Roman"/>
          <w:lang w:val="en-GB"/>
        </w:rPr>
        <w:t>ence</w:t>
      </w:r>
      <w:r w:rsidR="00563476">
        <w:rPr>
          <w:rFonts w:cs="Times New Roman"/>
          <w:lang w:val="en-GB"/>
        </w:rPr>
        <w:t>,</w:t>
      </w:r>
      <w:r w:rsidR="00BC6C7E">
        <w:rPr>
          <w:rFonts w:cs="Times New Roman"/>
          <w:lang w:val="en-GB"/>
        </w:rPr>
        <w:t xml:space="preserve"> there are currently no UE requirements for handling ‘</w:t>
      </w:r>
      <w:r w:rsidR="00BC6C7E" w:rsidRPr="005C5006">
        <w:rPr>
          <w:szCs w:val="20"/>
        </w:rPr>
        <w:t>QCL/TCI-related enhancements to enable inter-cell multi-TRP operations</w:t>
      </w:r>
      <w:r w:rsidR="00BC6C7E">
        <w:rPr>
          <w:rFonts w:cs="Times New Roman"/>
          <w:lang w:val="en-GB"/>
        </w:rPr>
        <w:t>’</w:t>
      </w:r>
      <w:r>
        <w:rPr>
          <w:rFonts w:cs="Times New Roman"/>
          <w:lang w:val="en-GB"/>
        </w:rPr>
        <w:t xml:space="preserve"> for non-collocated scenario</w:t>
      </w:r>
      <w:r w:rsidR="00563476">
        <w:rPr>
          <w:rFonts w:cs="Times New Roman"/>
          <w:lang w:val="en-GB"/>
        </w:rPr>
        <w:t xml:space="preserve"> (assuming the TRPs are intra-band)</w:t>
      </w:r>
      <w:r w:rsidR="00BC6C7E">
        <w:rPr>
          <w:rFonts w:cs="Times New Roman"/>
          <w:lang w:val="en-GB"/>
        </w:rPr>
        <w:t xml:space="preserve">. </w:t>
      </w:r>
    </w:p>
    <w:p w14:paraId="7FE9292C" w14:textId="69087549" w:rsidR="00BC6C7E" w:rsidRDefault="00BC6C7E" w:rsidP="003B659E">
      <w:pPr>
        <w:ind w:right="-22"/>
        <w:rPr>
          <w:rFonts w:cs="Times New Roman"/>
          <w:lang w:val="en-GB"/>
        </w:rPr>
      </w:pPr>
      <w:r>
        <w:rPr>
          <w:rFonts w:cs="Times New Roman"/>
          <w:lang w:val="en-GB"/>
        </w:rPr>
        <w:t>This means that ‘</w:t>
      </w:r>
      <w:r w:rsidRPr="005C5006">
        <w:rPr>
          <w:szCs w:val="20"/>
          <w:u w:val="single"/>
        </w:rPr>
        <w:t xml:space="preserve">TCI state update (beam indication) for </w:t>
      </w:r>
      <w:r w:rsidRPr="005C5006">
        <w:rPr>
          <w:rFonts w:cs="Times"/>
          <w:szCs w:val="20"/>
          <w:u w:val="single"/>
        </w:rPr>
        <w:t xml:space="preserve">DL reception from and UL transmission to non-serving cell(s) – </w:t>
      </w:r>
      <w:r w:rsidRPr="005C5006">
        <w:rPr>
          <w:szCs w:val="20"/>
          <w:u w:val="single"/>
          <w:lang w:eastAsia="zh-CN"/>
        </w:rPr>
        <w:t>at least on UE-dedicated PDSCH, PDCCH, PUSCH, and PUCCH</w:t>
      </w:r>
      <w:r>
        <w:rPr>
          <w:rFonts w:cs="Times New Roman"/>
          <w:lang w:val="en-GB"/>
        </w:rPr>
        <w:t xml:space="preserve">’ is questionable if the non-serving cell is not </w:t>
      </w:r>
      <w:r>
        <w:rPr>
          <w:rFonts w:cs="Times New Roman"/>
          <w:lang w:val="en-GB"/>
        </w:rPr>
        <w:lastRenderedPageBreak/>
        <w:t xml:space="preserve">collocated with the serving cell. If collocated (according to Rel-15 requirements in FR2) there may be </w:t>
      </w:r>
      <w:r w:rsidR="002E0621">
        <w:rPr>
          <w:rFonts w:cs="Times New Roman"/>
          <w:lang w:val="en-GB"/>
        </w:rPr>
        <w:t xml:space="preserve">additional </w:t>
      </w:r>
      <w:r>
        <w:rPr>
          <w:rFonts w:cs="Times New Roman"/>
          <w:lang w:val="en-GB"/>
        </w:rPr>
        <w:t>restrictions on the TCI state management.</w:t>
      </w:r>
    </w:p>
    <w:p w14:paraId="2EDF666C" w14:textId="53136C98" w:rsidR="006E1467" w:rsidRDefault="00266DFD" w:rsidP="00266DFD">
      <w:pPr>
        <w:pStyle w:val="RAN4observation0"/>
      </w:pPr>
      <w:r>
        <w:t>F</w:t>
      </w:r>
      <w:r w:rsidR="00A17EE7">
        <w:t>or intra-band CA</w:t>
      </w:r>
      <w:r w:rsidR="004A7601">
        <w:t>, the operation</w:t>
      </w:r>
      <w:r>
        <w:t>s</w:t>
      </w:r>
      <w:r w:rsidR="002824EC">
        <w:t xml:space="preserve"> are </w:t>
      </w:r>
      <w:r w:rsidR="002C2C78">
        <w:t>currently not feasible</w:t>
      </w:r>
      <w:r w:rsidR="004A7601">
        <w:t xml:space="preserve"> </w:t>
      </w:r>
      <w:r w:rsidR="00F25F93">
        <w:t xml:space="preserve">unless the cells </w:t>
      </w:r>
      <w:r w:rsidR="00E440D5">
        <w:t xml:space="preserve">under consideration </w:t>
      </w:r>
      <w:r w:rsidR="00F25F93">
        <w:t>are collocated</w:t>
      </w:r>
      <w:r w:rsidR="007D702C">
        <w:t>. RAN4</w:t>
      </w:r>
      <w:r w:rsidR="002824EC">
        <w:t xml:space="preserve"> </w:t>
      </w:r>
      <w:r w:rsidR="0013297E">
        <w:t xml:space="preserve">would </w:t>
      </w:r>
      <w:r w:rsidR="007D702C">
        <w:t xml:space="preserve">be </w:t>
      </w:r>
      <w:r w:rsidR="0013297E">
        <w:t>require</w:t>
      </w:r>
      <w:r w:rsidR="007D702C">
        <w:t>d</w:t>
      </w:r>
      <w:r w:rsidR="0013297E">
        <w:t xml:space="preserve"> </w:t>
      </w:r>
      <w:r w:rsidR="002824EC">
        <w:t xml:space="preserve">RAN4 </w:t>
      </w:r>
      <w:r w:rsidR="003A7027">
        <w:t>to define UE</w:t>
      </w:r>
      <w:r w:rsidR="002824EC">
        <w:t xml:space="preserve"> requirements </w:t>
      </w:r>
      <w:r w:rsidR="003A7027">
        <w:t>for intra-band CA for non-collocated scenario.</w:t>
      </w:r>
    </w:p>
    <w:p w14:paraId="32D32025" w14:textId="07D644C5" w:rsidR="00CD0F56" w:rsidRDefault="00E124E9" w:rsidP="003B659E">
      <w:pPr>
        <w:ind w:right="-22"/>
        <w:rPr>
          <w:rFonts w:cs="Times New Roman"/>
          <w:lang w:val="en-GB"/>
        </w:rPr>
      </w:pPr>
      <w:r>
        <w:rPr>
          <w:rFonts w:cs="Times New Roman"/>
          <w:lang w:val="en-GB"/>
        </w:rPr>
        <w:t>This assumes that RAN1</w:t>
      </w:r>
      <w:r w:rsidR="00253C90">
        <w:rPr>
          <w:rFonts w:cs="Times New Roman"/>
          <w:lang w:val="en-GB"/>
        </w:rPr>
        <w:t xml:space="preserve"> is asking simultaneous operation on each</w:t>
      </w:r>
      <w:r w:rsidR="00B10CFB">
        <w:rPr>
          <w:rFonts w:cs="Times New Roman"/>
          <w:lang w:val="en-GB"/>
        </w:rPr>
        <w:t xml:space="preserve"> cell (</w:t>
      </w:r>
      <w:r w:rsidR="00F17AE9">
        <w:rPr>
          <w:rFonts w:cs="Times New Roman"/>
          <w:lang w:val="en-GB"/>
        </w:rPr>
        <w:t>which seems the case from the wording ‘intra-band CA)- However, if considering some sort of TDM scheme th</w:t>
      </w:r>
      <w:r w:rsidR="00FD5F3F">
        <w:rPr>
          <w:rFonts w:cs="Times New Roman"/>
          <w:lang w:val="en-GB"/>
        </w:rPr>
        <w:t xml:space="preserve">is may impact the reply. This would be </w:t>
      </w:r>
      <w:r w:rsidR="00DF5DA9">
        <w:rPr>
          <w:rFonts w:cs="Times New Roman"/>
          <w:lang w:val="en-GB"/>
        </w:rPr>
        <w:t>best to get clarified from RAN1.</w:t>
      </w:r>
    </w:p>
    <w:p w14:paraId="4218E0FB" w14:textId="30407D4A" w:rsidR="00DF5DA9" w:rsidRDefault="002F290B" w:rsidP="00DF5DA9">
      <w:pPr>
        <w:pStyle w:val="RAN4proposal"/>
        <w:rPr>
          <w:lang w:val="en-GB"/>
        </w:rPr>
      </w:pPr>
      <w:r>
        <w:rPr>
          <w:lang w:val="en-GB"/>
        </w:rPr>
        <w:t>Clarify from RAN1 whether RAN1 is considering simultaneous operation of the cell</w:t>
      </w:r>
      <w:r w:rsidR="002272A9">
        <w:rPr>
          <w:lang w:val="en-GB"/>
        </w:rPr>
        <w:t xml:space="preserve">s under discussion or whether RAN1 is also considering </w:t>
      </w:r>
      <w:r w:rsidR="00B10828">
        <w:rPr>
          <w:lang w:val="en-GB"/>
        </w:rPr>
        <w:t>T</w:t>
      </w:r>
      <w:r w:rsidR="002272A9">
        <w:rPr>
          <w:lang w:val="en-GB"/>
        </w:rPr>
        <w:t>DM operation</w:t>
      </w:r>
      <w:r w:rsidR="00B10828">
        <w:rPr>
          <w:lang w:val="en-GB"/>
        </w:rPr>
        <w:t xml:space="preserve"> between the cells.</w:t>
      </w:r>
    </w:p>
    <w:p w14:paraId="7E21E718" w14:textId="77777777" w:rsidR="00E124E9" w:rsidRDefault="00E124E9" w:rsidP="003B659E">
      <w:pPr>
        <w:ind w:right="-22"/>
        <w:rPr>
          <w:rFonts w:cs="Times New Roman"/>
          <w:lang w:val="en-GB"/>
        </w:rPr>
      </w:pPr>
    </w:p>
    <w:p w14:paraId="5B008DEF" w14:textId="54D7FAA7" w:rsidR="006E1467" w:rsidRPr="00BC6C7E" w:rsidRDefault="006E1467" w:rsidP="003B659E">
      <w:pPr>
        <w:ind w:right="-22"/>
        <w:rPr>
          <w:rFonts w:cs="Times New Roman"/>
          <w:b/>
          <w:bCs/>
          <w:u w:val="single"/>
          <w:lang w:val="en-GB"/>
        </w:rPr>
      </w:pPr>
      <w:r w:rsidRPr="00BC6C7E">
        <w:rPr>
          <w:rFonts w:cs="Times New Roman"/>
          <w:b/>
          <w:bCs/>
          <w:u w:val="single"/>
          <w:lang w:val="en-GB"/>
        </w:rPr>
        <w:t>For inter-band CA scenario:</w:t>
      </w:r>
    </w:p>
    <w:p w14:paraId="0B62738E" w14:textId="5A5AC433" w:rsidR="00212DA9" w:rsidRDefault="00212DA9" w:rsidP="003B659E">
      <w:pPr>
        <w:ind w:right="-22"/>
        <w:rPr>
          <w:rFonts w:cs="Times New Roman"/>
          <w:lang w:val="en-GB"/>
        </w:rPr>
      </w:pPr>
      <w:r>
        <w:rPr>
          <w:rFonts w:cs="Times New Roman"/>
          <w:lang w:val="en-GB"/>
        </w:rPr>
        <w:t xml:space="preserve">For </w:t>
      </w:r>
      <w:r w:rsidR="002E0621">
        <w:rPr>
          <w:rFonts w:cs="Times New Roman"/>
          <w:lang w:val="en-GB"/>
        </w:rPr>
        <w:t xml:space="preserve">inter-band CA scenario, </w:t>
      </w:r>
      <w:r w:rsidR="000E2B1A">
        <w:rPr>
          <w:rFonts w:cs="Times New Roman"/>
          <w:lang w:val="en-GB"/>
        </w:rPr>
        <w:t>RAN4</w:t>
      </w:r>
      <w:r w:rsidR="002E0621">
        <w:rPr>
          <w:rFonts w:cs="Times New Roman"/>
          <w:lang w:val="en-GB"/>
        </w:rPr>
        <w:t xml:space="preserve"> have </w:t>
      </w:r>
      <w:r w:rsidR="000E2B1A">
        <w:rPr>
          <w:rFonts w:cs="Times New Roman"/>
          <w:lang w:val="en-GB"/>
        </w:rPr>
        <w:t xml:space="preserve">defined </w:t>
      </w:r>
      <w:r w:rsidR="002E0621">
        <w:rPr>
          <w:rFonts w:cs="Times New Roman"/>
          <w:lang w:val="en-GB"/>
        </w:rPr>
        <w:t xml:space="preserve">CBM and IBM capable UEs. </w:t>
      </w:r>
      <w:r>
        <w:rPr>
          <w:rFonts w:cs="Times New Roman"/>
          <w:lang w:val="en-GB"/>
        </w:rPr>
        <w:t xml:space="preserve">UEs supporting IBM the serving cells </w:t>
      </w:r>
      <w:r w:rsidR="000225EE">
        <w:rPr>
          <w:rFonts w:cs="Times New Roman"/>
          <w:lang w:val="en-GB"/>
        </w:rPr>
        <w:t xml:space="preserve">in the different bands </w:t>
      </w:r>
      <w:r>
        <w:rPr>
          <w:rFonts w:cs="Times New Roman"/>
          <w:lang w:val="en-GB"/>
        </w:rPr>
        <w:t>in FR2</w:t>
      </w:r>
      <w:r w:rsidR="000225EE">
        <w:rPr>
          <w:rFonts w:cs="Times New Roman"/>
          <w:lang w:val="en-GB"/>
        </w:rPr>
        <w:t>,</w:t>
      </w:r>
      <w:r>
        <w:rPr>
          <w:rFonts w:cs="Times New Roman"/>
          <w:lang w:val="en-GB"/>
        </w:rPr>
        <w:t xml:space="preserve"> can be non-collocated if the UE supports IBM for the given band combination.</w:t>
      </w:r>
      <w:r w:rsidR="000E2B1A">
        <w:rPr>
          <w:rFonts w:cs="Times New Roman"/>
          <w:lang w:val="en-GB"/>
        </w:rPr>
        <w:t xml:space="preserve"> For CBM capable UE the collocation assumption of the serving cells between the 2 bands is still under discussion.</w:t>
      </w:r>
    </w:p>
    <w:p w14:paraId="18730C4B" w14:textId="4704346D" w:rsidR="00BC6C7E" w:rsidRDefault="00E32889" w:rsidP="00BC6C7E">
      <w:pPr>
        <w:ind w:right="-22"/>
        <w:rPr>
          <w:rFonts w:cs="Times New Roman"/>
          <w:lang w:val="en-GB"/>
        </w:rPr>
      </w:pPr>
      <w:r>
        <w:rPr>
          <w:rFonts w:cs="Times New Roman"/>
          <w:lang w:val="en-GB"/>
        </w:rPr>
        <w:t>In the last meeting it was agreed:</w:t>
      </w:r>
    </w:p>
    <w:p w14:paraId="55D630AF" w14:textId="77777777" w:rsidR="00E32889" w:rsidRPr="00773B08" w:rsidRDefault="00E32889" w:rsidP="00E32889">
      <w:pPr>
        <w:pStyle w:val="ListParagraph"/>
        <w:numPr>
          <w:ilvl w:val="0"/>
          <w:numId w:val="26"/>
        </w:numPr>
        <w:ind w:right="-22"/>
        <w:rPr>
          <w:rFonts w:cs="Times New Roman"/>
          <w:lang w:val="en-GB"/>
        </w:rPr>
      </w:pPr>
      <w:r w:rsidRPr="00773B08">
        <w:rPr>
          <w:rFonts w:cs="Times New Roman"/>
          <w:lang w:val="en-GB"/>
        </w:rPr>
        <w:t xml:space="preserve">IBM capable UE is assumed to be capable of receiving signals for FR2 inter-band CA with different beam directions at the same time. </w:t>
      </w:r>
    </w:p>
    <w:p w14:paraId="1D148655" w14:textId="77777777" w:rsidR="00E32889" w:rsidRPr="00773B08" w:rsidRDefault="00E32889" w:rsidP="00E32889">
      <w:pPr>
        <w:pStyle w:val="ListParagraph"/>
        <w:numPr>
          <w:ilvl w:val="0"/>
          <w:numId w:val="26"/>
        </w:numPr>
        <w:ind w:right="-22"/>
        <w:rPr>
          <w:rFonts w:cs="Times New Roman"/>
          <w:lang w:val="en-GB"/>
        </w:rPr>
      </w:pPr>
      <w:r w:rsidRPr="00773B08">
        <w:rPr>
          <w:rFonts w:cs="Times New Roman"/>
          <w:lang w:val="en-GB"/>
        </w:rPr>
        <w:t xml:space="preserve">A UE that supports inter-band CA with CBM selects its DL Rx beam(s) for all CCs in all configured bands based on DL measurements made in the only CC configured with the reference signal for beam management. </w:t>
      </w:r>
    </w:p>
    <w:p w14:paraId="37723D27" w14:textId="77777777" w:rsidR="00E32889" w:rsidRPr="00773B08" w:rsidRDefault="00E32889" w:rsidP="00E32889">
      <w:pPr>
        <w:pStyle w:val="ListParagraph"/>
        <w:numPr>
          <w:ilvl w:val="1"/>
          <w:numId w:val="26"/>
        </w:numPr>
        <w:ind w:right="-22"/>
        <w:rPr>
          <w:rFonts w:cs="Times New Roman"/>
          <w:lang w:val="en-GB"/>
        </w:rPr>
      </w:pPr>
      <w:r w:rsidRPr="00773B08">
        <w:rPr>
          <w:rFonts w:cs="Times New Roman"/>
          <w:lang w:val="en-GB"/>
        </w:rPr>
        <w:t>In FR2 CA cases, requirements apply when the BM RS is provided in a CC with a configured UL BWP.</w:t>
      </w:r>
    </w:p>
    <w:p w14:paraId="2EACB9FF" w14:textId="77777777" w:rsidR="00277C78" w:rsidRDefault="00D8689E" w:rsidP="00BC6C7E">
      <w:pPr>
        <w:ind w:right="-22"/>
        <w:rPr>
          <w:rFonts w:cs="Times New Roman"/>
          <w:lang w:val="en-GB"/>
        </w:rPr>
      </w:pPr>
      <w:r>
        <w:rPr>
          <w:rFonts w:cs="Times New Roman"/>
          <w:lang w:val="en-GB"/>
        </w:rPr>
        <w:t xml:space="preserve">It is worth noting that it is assumed that CBM capable UE use DL measurement performed in one CC for selecting the DL Rx beam(s). Hence, </w:t>
      </w:r>
      <w:r w:rsidR="00B12033">
        <w:rPr>
          <w:rFonts w:cs="Times New Roman"/>
          <w:lang w:val="en-GB"/>
        </w:rPr>
        <w:t xml:space="preserve">with the current </w:t>
      </w:r>
      <w:r w:rsidR="00DC5D85">
        <w:rPr>
          <w:rFonts w:cs="Times New Roman"/>
          <w:lang w:val="en-GB"/>
        </w:rPr>
        <w:t xml:space="preserve">agreement </w:t>
      </w:r>
      <w:r>
        <w:rPr>
          <w:rFonts w:cs="Times New Roman"/>
          <w:lang w:val="en-GB"/>
        </w:rPr>
        <w:t xml:space="preserve">it seems difficult to have separate control of the TCI state for the different bands </w:t>
      </w:r>
      <w:r w:rsidR="00DC5D85">
        <w:rPr>
          <w:rFonts w:cs="Times New Roman"/>
          <w:lang w:val="en-GB"/>
        </w:rPr>
        <w:t xml:space="preserve">for a CBM UE, </w:t>
      </w:r>
      <w:r>
        <w:rPr>
          <w:rFonts w:cs="Times New Roman"/>
          <w:lang w:val="en-GB"/>
        </w:rPr>
        <w:t xml:space="preserve">as the </w:t>
      </w:r>
      <w:r w:rsidR="00DC5D85">
        <w:rPr>
          <w:rFonts w:cs="Times New Roman"/>
          <w:lang w:val="en-GB"/>
        </w:rPr>
        <w:t xml:space="preserve">UE </w:t>
      </w:r>
      <w:r>
        <w:rPr>
          <w:rFonts w:cs="Times New Roman"/>
          <w:lang w:val="en-GB"/>
        </w:rPr>
        <w:t xml:space="preserve">selects the DL Rx beam based on the DL RS of potentially one CC. </w:t>
      </w:r>
    </w:p>
    <w:p w14:paraId="05C2B53E" w14:textId="10415128" w:rsidR="00D8689E" w:rsidRDefault="00C65C5E" w:rsidP="00BC6C7E">
      <w:pPr>
        <w:ind w:right="-22"/>
        <w:rPr>
          <w:rFonts w:cs="Times New Roman"/>
          <w:lang w:val="en-GB"/>
        </w:rPr>
      </w:pPr>
      <w:r>
        <w:rPr>
          <w:rFonts w:cs="Times New Roman"/>
          <w:lang w:val="en-GB"/>
        </w:rPr>
        <w:t xml:space="preserve">Hence, </w:t>
      </w:r>
      <w:r w:rsidR="006230FC">
        <w:rPr>
          <w:rFonts w:cs="Times New Roman"/>
          <w:lang w:val="en-GB"/>
        </w:rPr>
        <w:t>looking at ‘</w:t>
      </w:r>
      <w:r w:rsidR="006230FC" w:rsidRPr="005C5006">
        <w:rPr>
          <w:szCs w:val="20"/>
        </w:rPr>
        <w:t>L1/L2-centric inter-cell mobility</w:t>
      </w:r>
      <w:r w:rsidR="006230FC">
        <w:rPr>
          <w:rFonts w:cs="Times New Roman"/>
          <w:lang w:val="en-GB"/>
        </w:rPr>
        <w:t>’</w:t>
      </w:r>
      <w:r w:rsidR="009F583E">
        <w:rPr>
          <w:rFonts w:cs="Times New Roman"/>
          <w:lang w:val="en-GB"/>
        </w:rPr>
        <w:t xml:space="preserve"> the use </w:t>
      </w:r>
      <w:r w:rsidR="004A278F">
        <w:rPr>
          <w:rFonts w:cs="Times New Roman"/>
          <w:lang w:val="en-GB"/>
        </w:rPr>
        <w:t xml:space="preserve">case </w:t>
      </w:r>
      <w:r w:rsidR="009F583E">
        <w:rPr>
          <w:rFonts w:cs="Times New Roman"/>
          <w:lang w:val="en-GB"/>
        </w:rPr>
        <w:t>seems limited to collocated cells</w:t>
      </w:r>
      <w:r w:rsidR="00104B0A">
        <w:rPr>
          <w:rFonts w:cs="Times New Roman"/>
          <w:lang w:val="en-GB"/>
        </w:rPr>
        <w:t xml:space="preserve"> unless </w:t>
      </w:r>
      <w:r w:rsidR="004A278F">
        <w:rPr>
          <w:rFonts w:cs="Times New Roman"/>
          <w:lang w:val="en-GB"/>
        </w:rPr>
        <w:t xml:space="preserve">RAN1 is also considering </w:t>
      </w:r>
      <w:r w:rsidR="00104B0A">
        <w:rPr>
          <w:rFonts w:cs="Times New Roman"/>
          <w:lang w:val="en-GB"/>
        </w:rPr>
        <w:t>TDM operation</w:t>
      </w:r>
      <w:r w:rsidR="009F583E">
        <w:rPr>
          <w:rFonts w:cs="Times New Roman"/>
          <w:lang w:val="en-GB"/>
        </w:rPr>
        <w:t>.</w:t>
      </w:r>
      <w:r w:rsidR="00476F77">
        <w:rPr>
          <w:rFonts w:cs="Times New Roman"/>
          <w:lang w:val="en-GB"/>
        </w:rPr>
        <w:t xml:space="preserve"> However, RAN4 is still discussing the collocation assumptions and the CBM UE requirements related to MRTD. </w:t>
      </w:r>
      <w:r w:rsidR="00854762">
        <w:rPr>
          <w:rFonts w:cs="Times New Roman"/>
          <w:lang w:val="en-GB"/>
        </w:rPr>
        <w:t>Therefore</w:t>
      </w:r>
      <w:r w:rsidR="00476F77">
        <w:rPr>
          <w:rFonts w:cs="Times New Roman"/>
          <w:lang w:val="en-GB"/>
        </w:rPr>
        <w:t xml:space="preserve">, it is difficult to </w:t>
      </w:r>
      <w:r w:rsidR="00170615">
        <w:rPr>
          <w:rFonts w:cs="Times New Roman"/>
          <w:lang w:val="en-GB"/>
        </w:rPr>
        <w:t xml:space="preserve">finally conclude. </w:t>
      </w:r>
    </w:p>
    <w:p w14:paraId="3842C18C" w14:textId="258C595F" w:rsidR="002E2005" w:rsidRDefault="002E2005" w:rsidP="00BC6C7E">
      <w:pPr>
        <w:ind w:right="-22"/>
        <w:rPr>
          <w:rFonts w:cs="Times New Roman"/>
          <w:lang w:val="en-GB"/>
        </w:rPr>
      </w:pPr>
      <w:r>
        <w:rPr>
          <w:rFonts w:cs="Times New Roman"/>
          <w:lang w:val="en-GB"/>
        </w:rPr>
        <w:t>For inter-band CA scenario</w:t>
      </w:r>
      <w:r w:rsidR="00B73F6F">
        <w:rPr>
          <w:rFonts w:cs="Times New Roman"/>
          <w:lang w:val="en-GB"/>
        </w:rPr>
        <w:t>,</w:t>
      </w:r>
      <w:r>
        <w:rPr>
          <w:rFonts w:cs="Times New Roman"/>
          <w:lang w:val="en-GB"/>
        </w:rPr>
        <w:t xml:space="preserve"> for a UE supporting </w:t>
      </w:r>
      <w:r w:rsidR="00B73F6F">
        <w:rPr>
          <w:rFonts w:cs="Times New Roman"/>
          <w:lang w:val="en-GB"/>
        </w:rPr>
        <w:t xml:space="preserve">IBM, </w:t>
      </w:r>
      <w:r w:rsidR="00E14818">
        <w:rPr>
          <w:rFonts w:cs="Times New Roman"/>
          <w:lang w:val="en-GB"/>
        </w:rPr>
        <w:t xml:space="preserve">the beam management can be done independently. </w:t>
      </w:r>
      <w:r w:rsidR="000A0024">
        <w:rPr>
          <w:rFonts w:cs="Times New Roman"/>
          <w:lang w:val="en-GB"/>
        </w:rPr>
        <w:t xml:space="preserve">Such </w:t>
      </w:r>
      <w:r w:rsidR="00CA3D46" w:rsidRPr="00773B08">
        <w:rPr>
          <w:rFonts w:cs="Times New Roman"/>
          <w:lang w:val="en-GB"/>
        </w:rPr>
        <w:t>UE is assumed to be capable of receiving signals for FR2 inter-band CA with different beam directions at the same time</w:t>
      </w:r>
      <w:r w:rsidR="00CA3D46">
        <w:rPr>
          <w:rFonts w:cs="Times New Roman"/>
          <w:lang w:val="en-GB"/>
        </w:rPr>
        <w:t xml:space="preserve">. </w:t>
      </w:r>
      <w:r w:rsidR="00D66D25">
        <w:rPr>
          <w:rFonts w:cs="Times New Roman"/>
          <w:lang w:val="en-GB"/>
        </w:rPr>
        <w:t>This means that the</w:t>
      </w:r>
      <w:r w:rsidR="00E14818">
        <w:rPr>
          <w:rFonts w:cs="Times New Roman"/>
          <w:lang w:val="en-GB"/>
        </w:rPr>
        <w:t xml:space="preserve"> operations </w:t>
      </w:r>
      <w:r w:rsidR="00BD63DC">
        <w:rPr>
          <w:rFonts w:cs="Times New Roman"/>
          <w:lang w:val="en-GB"/>
        </w:rPr>
        <w:t xml:space="preserve">enquired by RAN1 should be </w:t>
      </w:r>
      <w:r w:rsidR="000158A2">
        <w:rPr>
          <w:rFonts w:cs="Times New Roman"/>
          <w:lang w:val="en-GB"/>
        </w:rPr>
        <w:t>feasible</w:t>
      </w:r>
      <w:r w:rsidR="005059F7">
        <w:rPr>
          <w:rFonts w:cs="Times New Roman"/>
          <w:lang w:val="en-GB"/>
        </w:rPr>
        <w:t xml:space="preserve"> for a UE supporting inter-band IBM</w:t>
      </w:r>
      <w:r w:rsidR="00D66D25">
        <w:rPr>
          <w:rFonts w:cs="Times New Roman"/>
          <w:lang w:val="en-GB"/>
        </w:rPr>
        <w:t xml:space="preserve">, if the UE support </w:t>
      </w:r>
      <w:r w:rsidR="00BB376E">
        <w:rPr>
          <w:rFonts w:cs="Times New Roman"/>
          <w:lang w:val="en-GB"/>
        </w:rPr>
        <w:t xml:space="preserve">IBM operation on </w:t>
      </w:r>
      <w:r w:rsidR="00D66D25">
        <w:rPr>
          <w:rFonts w:cs="Times New Roman"/>
          <w:lang w:val="en-GB"/>
        </w:rPr>
        <w:t>the band combination</w:t>
      </w:r>
      <w:r w:rsidR="00C119BD">
        <w:rPr>
          <w:rFonts w:cs="Times New Roman"/>
          <w:lang w:val="en-GB"/>
        </w:rPr>
        <w:t xml:space="preserve">. </w:t>
      </w:r>
    </w:p>
    <w:p w14:paraId="54750F6B" w14:textId="02F2F3B3" w:rsidR="00CA3D46" w:rsidRDefault="006A72B1" w:rsidP="00E26ECA">
      <w:pPr>
        <w:pStyle w:val="RAN4observation0"/>
      </w:pPr>
      <w:r>
        <w:t>For inter-band CA, the operations are currently feasible for a UE supporting IBM</w:t>
      </w:r>
      <w:r w:rsidR="00664286">
        <w:t xml:space="preserve"> for the band combination</w:t>
      </w:r>
      <w:r w:rsidR="00274005">
        <w:t xml:space="preserve"> under consideration</w:t>
      </w:r>
      <w:r w:rsidR="00664286">
        <w:t>.</w:t>
      </w:r>
    </w:p>
    <w:p w14:paraId="09F439DB" w14:textId="0D3CC817" w:rsidR="00664286" w:rsidRDefault="0042486F" w:rsidP="00E26ECA">
      <w:pPr>
        <w:pStyle w:val="RAN4observation0"/>
      </w:pPr>
      <w:r>
        <w:t xml:space="preserve">For inter-band CA, </w:t>
      </w:r>
      <w:r w:rsidR="008F3FF6">
        <w:t xml:space="preserve">whether </w:t>
      </w:r>
      <w:r>
        <w:t xml:space="preserve">the operations </w:t>
      </w:r>
      <w:r w:rsidR="008F3FF6">
        <w:t xml:space="preserve">are feasible </w:t>
      </w:r>
      <w:r w:rsidR="00170615">
        <w:t xml:space="preserve">for </w:t>
      </w:r>
      <w:r>
        <w:t>a UE supporting CBM</w:t>
      </w:r>
      <w:r w:rsidR="00045565">
        <w:t xml:space="preserve"> </w:t>
      </w:r>
      <w:r w:rsidR="00274005">
        <w:t>will</w:t>
      </w:r>
      <w:r w:rsidR="008F3FF6">
        <w:t xml:space="preserve"> depend on </w:t>
      </w:r>
      <w:r w:rsidR="00E26ECA">
        <w:t>the outcome of the collocation assumption discussion related to CBM capable UEs.</w:t>
      </w:r>
    </w:p>
    <w:p w14:paraId="3A96151C" w14:textId="00E16EA1" w:rsidR="00BC6C7E" w:rsidRDefault="00BC6C7E" w:rsidP="003B659E">
      <w:pPr>
        <w:ind w:right="-22"/>
        <w:rPr>
          <w:rFonts w:cs="Times New Roman"/>
          <w:lang w:val="en-GB"/>
        </w:rPr>
      </w:pPr>
    </w:p>
    <w:p w14:paraId="635DB73B" w14:textId="3F77E67D" w:rsidR="00C10A73" w:rsidRDefault="00C10A73" w:rsidP="003B659E">
      <w:pPr>
        <w:ind w:right="-22"/>
        <w:rPr>
          <w:rFonts w:cs="Times New Roman"/>
          <w:lang w:val="en-GB"/>
        </w:rPr>
      </w:pPr>
      <w:r w:rsidRPr="002F6FCC">
        <w:rPr>
          <w:rFonts w:cs="Times New Roman"/>
          <w:b/>
          <w:bCs/>
          <w:u w:val="single"/>
          <w:lang w:val="en-GB"/>
        </w:rPr>
        <w:t>Question 6</w:t>
      </w:r>
      <w:r w:rsidR="002F6FCC" w:rsidRPr="00A52F25">
        <w:rPr>
          <w:rFonts w:cs="Times New Roman"/>
          <w:lang w:val="en-GB"/>
        </w:rPr>
        <w:t xml:space="preserve"> </w:t>
      </w:r>
      <w:r w:rsidR="002F39C9" w:rsidRPr="00A52F25">
        <w:rPr>
          <w:rFonts w:cs="Times New Roman"/>
          <w:lang w:val="en-GB"/>
        </w:rPr>
        <w:t>relates to in</w:t>
      </w:r>
      <w:r w:rsidR="00A52F25" w:rsidRPr="00A52F25">
        <w:rPr>
          <w:rFonts w:cs="Times New Roman"/>
          <w:lang w:val="en-GB"/>
        </w:rPr>
        <w:t>ter-frequency support within a band.</w:t>
      </w:r>
      <w:r w:rsidR="00106CBF">
        <w:rPr>
          <w:rFonts w:cs="Times New Roman"/>
          <w:lang w:val="en-GB"/>
        </w:rPr>
        <w:t xml:space="preserve"> </w:t>
      </w:r>
      <w:r w:rsidR="007122FA">
        <w:rPr>
          <w:rFonts w:cs="Times New Roman"/>
          <w:lang w:val="en-GB"/>
        </w:rPr>
        <w:t xml:space="preserve">For FR1 (if </w:t>
      </w:r>
      <w:r w:rsidR="00F01A85">
        <w:rPr>
          <w:rFonts w:cs="Times New Roman"/>
          <w:lang w:val="en-GB"/>
        </w:rPr>
        <w:t>FR1</w:t>
      </w:r>
      <w:r w:rsidR="007122FA">
        <w:rPr>
          <w:rFonts w:cs="Times New Roman"/>
          <w:lang w:val="en-GB"/>
        </w:rPr>
        <w:t xml:space="preserve"> is within the RAN1 </w:t>
      </w:r>
      <w:r w:rsidR="001B7053">
        <w:rPr>
          <w:rFonts w:cs="Times New Roman"/>
          <w:lang w:val="en-GB"/>
        </w:rPr>
        <w:t xml:space="preserve">LS scope) </w:t>
      </w:r>
      <w:r w:rsidR="001051A9">
        <w:rPr>
          <w:rFonts w:cs="Times New Roman"/>
          <w:lang w:val="en-GB"/>
        </w:rPr>
        <w:t xml:space="preserve">it is assumed feasible </w:t>
      </w:r>
      <w:proofErr w:type="gramStart"/>
      <w:r w:rsidR="001051A9">
        <w:rPr>
          <w:rFonts w:cs="Times New Roman"/>
          <w:lang w:val="en-GB"/>
        </w:rPr>
        <w:t>based on the fact that</w:t>
      </w:r>
      <w:proofErr w:type="gramEnd"/>
      <w:r w:rsidR="001051A9">
        <w:rPr>
          <w:rFonts w:cs="Times New Roman"/>
          <w:lang w:val="en-GB"/>
        </w:rPr>
        <w:t xml:space="preserve"> RAN4 has already defined </w:t>
      </w:r>
      <w:r w:rsidR="001B7053">
        <w:rPr>
          <w:rFonts w:cs="Times New Roman"/>
          <w:lang w:val="en-GB"/>
        </w:rPr>
        <w:t xml:space="preserve">DAPS requirements </w:t>
      </w:r>
      <w:r w:rsidR="001051A9">
        <w:rPr>
          <w:rFonts w:cs="Times New Roman"/>
          <w:lang w:val="en-GB"/>
        </w:rPr>
        <w:t>for FR1</w:t>
      </w:r>
      <w:r w:rsidR="001B7053">
        <w:rPr>
          <w:rFonts w:cs="Times New Roman"/>
          <w:lang w:val="en-GB"/>
        </w:rPr>
        <w:t>.</w:t>
      </w:r>
    </w:p>
    <w:p w14:paraId="5F2BED42" w14:textId="1ED2D849" w:rsidR="00CB22E0" w:rsidRDefault="00CB22E0" w:rsidP="003B659E">
      <w:pPr>
        <w:ind w:right="-22"/>
        <w:rPr>
          <w:rFonts w:cs="Times New Roman"/>
          <w:lang w:val="en-GB"/>
        </w:rPr>
      </w:pPr>
      <w:r>
        <w:rPr>
          <w:rFonts w:cs="Times New Roman"/>
          <w:lang w:val="en-GB"/>
        </w:rPr>
        <w:t xml:space="preserve">Regarding FR2 the case is more complex and </w:t>
      </w:r>
      <w:r w:rsidR="004E5BCF">
        <w:rPr>
          <w:rFonts w:cs="Times New Roman"/>
          <w:lang w:val="en-GB"/>
        </w:rPr>
        <w:t xml:space="preserve">would depend on the UE ability to receive </w:t>
      </w:r>
      <w:r w:rsidR="00BB2C21">
        <w:rPr>
          <w:rFonts w:cs="Times New Roman"/>
          <w:lang w:val="en-GB"/>
        </w:rPr>
        <w:t xml:space="preserve">with common and independent beams within a band. Hence, support of non-collocated </w:t>
      </w:r>
      <w:r w:rsidR="004746A4">
        <w:rPr>
          <w:rFonts w:cs="Times New Roman"/>
          <w:lang w:val="en-GB"/>
        </w:rPr>
        <w:t>CA.</w:t>
      </w:r>
      <w:r w:rsidR="000C0EBA">
        <w:rPr>
          <w:rFonts w:cs="Times New Roman"/>
          <w:lang w:val="en-GB"/>
        </w:rPr>
        <w:t xml:space="preserve"> As discussed for question 5, RAN4 has not defined UE requirements </w:t>
      </w:r>
      <w:r w:rsidR="00EB318F">
        <w:rPr>
          <w:rFonts w:cs="Times New Roman"/>
          <w:lang w:val="en-GB"/>
        </w:rPr>
        <w:t>for intra-band non-collocated CA and such requirements would be needed</w:t>
      </w:r>
      <w:r w:rsidR="00875419">
        <w:rPr>
          <w:rFonts w:cs="Times New Roman"/>
          <w:lang w:val="en-GB"/>
        </w:rPr>
        <w:t xml:space="preserve"> for this scenario.</w:t>
      </w:r>
    </w:p>
    <w:p w14:paraId="1D5B5662" w14:textId="416637F7" w:rsidR="005B5F75" w:rsidRPr="002F6FCC" w:rsidRDefault="005B5F75" w:rsidP="00166FE0">
      <w:pPr>
        <w:pStyle w:val="RAN4observation0"/>
        <w:rPr>
          <w:b/>
          <w:bCs/>
          <w:u w:val="single"/>
        </w:rPr>
      </w:pPr>
      <w:r>
        <w:t>For inter-frequency</w:t>
      </w:r>
      <w:r w:rsidR="00FB2402">
        <w:t xml:space="preserve"> CA operation within a band,</w:t>
      </w:r>
      <w:r>
        <w:t xml:space="preserve"> only collocated</w:t>
      </w:r>
      <w:r w:rsidR="007D4344">
        <w:t xml:space="preserve"> scenario is supported</w:t>
      </w:r>
      <w:r w:rsidR="00FB2402">
        <w:t>. RAN4 would need to define UE requirements for intra-band CA for non-collocated scenario.</w:t>
      </w:r>
    </w:p>
    <w:p w14:paraId="6A191D9A" w14:textId="77777777" w:rsidR="00C10A73" w:rsidRDefault="00C10A73" w:rsidP="003B659E">
      <w:pPr>
        <w:ind w:right="-22"/>
        <w:rPr>
          <w:rFonts w:cs="Times New Roman"/>
          <w:lang w:val="en-GB"/>
        </w:rPr>
      </w:pPr>
    </w:p>
    <w:p w14:paraId="761516E1" w14:textId="645F6072" w:rsidR="00CD7492" w:rsidRPr="00EE41B3" w:rsidRDefault="00CD7492" w:rsidP="00A37002">
      <w:pPr>
        <w:pStyle w:val="RAN4H1"/>
      </w:pPr>
      <w:r w:rsidRPr="00EE41B3">
        <w:lastRenderedPageBreak/>
        <w:t>Conclusion</w:t>
      </w:r>
    </w:p>
    <w:p w14:paraId="4FE17397" w14:textId="1B10D7F8" w:rsidR="00815942" w:rsidRPr="00D62BA9" w:rsidRDefault="00815942" w:rsidP="00815942">
      <w:pPr>
        <w:ind w:right="-22"/>
        <w:rPr>
          <w:rFonts w:eastAsia="Calibri" w:cs="Times New Roman"/>
          <w:szCs w:val="20"/>
          <w:lang w:val="en-GB"/>
        </w:rPr>
      </w:pPr>
      <w:r w:rsidRPr="00D62BA9">
        <w:rPr>
          <w:rFonts w:eastAsia="Calibri" w:cs="Times New Roman"/>
          <w:szCs w:val="20"/>
          <w:lang w:val="en-GB"/>
        </w:rPr>
        <w:t xml:space="preserve">RAN1 has sent two LSs on the Rel-17 </w:t>
      </w:r>
      <w:proofErr w:type="spellStart"/>
      <w:r w:rsidRPr="00D62BA9">
        <w:rPr>
          <w:rFonts w:eastAsia="Calibri" w:cs="Times New Roman"/>
          <w:szCs w:val="20"/>
          <w:lang w:val="en-GB"/>
        </w:rPr>
        <w:t>FeMIMO</w:t>
      </w:r>
      <w:proofErr w:type="spellEnd"/>
      <w:r w:rsidRPr="00D62BA9">
        <w:rPr>
          <w:rFonts w:eastAsia="Calibri" w:cs="Times New Roman"/>
          <w:szCs w:val="20"/>
          <w:lang w:val="en-GB"/>
        </w:rPr>
        <w:t xml:space="preserve"> topic </w:t>
      </w:r>
      <w:r w:rsidR="00CC4D8E">
        <w:rPr>
          <w:rFonts w:eastAsia="Calibri" w:cs="Times New Roman"/>
          <w:szCs w:val="20"/>
          <w:lang w:val="en-GB"/>
        </w:rPr>
        <w:t>where</w:t>
      </w:r>
      <w:r w:rsidRPr="00D62BA9">
        <w:rPr>
          <w:rFonts w:eastAsia="Calibri" w:cs="Times New Roman"/>
          <w:szCs w:val="20"/>
          <w:lang w:val="en-GB"/>
        </w:rPr>
        <w:t xml:space="preserve"> the second LS in R1-2102248 requests RAN</w:t>
      </w:r>
      <w:r>
        <w:rPr>
          <w:rFonts w:eastAsia="Calibri" w:cs="Times New Roman"/>
          <w:szCs w:val="20"/>
          <w:lang w:val="en-GB"/>
        </w:rPr>
        <w:t>4</w:t>
      </w:r>
      <w:r w:rsidRPr="00D62BA9">
        <w:rPr>
          <w:rFonts w:eastAsia="Calibri" w:cs="Times New Roman"/>
          <w:szCs w:val="20"/>
          <w:lang w:val="en-GB"/>
        </w:rPr>
        <w:t xml:space="preserve"> (and RAN</w:t>
      </w:r>
      <w:r>
        <w:rPr>
          <w:rFonts w:eastAsia="Calibri" w:cs="Times New Roman"/>
          <w:szCs w:val="20"/>
          <w:lang w:val="en-GB"/>
        </w:rPr>
        <w:t>2</w:t>
      </w:r>
      <w:r w:rsidRPr="00D62BA9">
        <w:rPr>
          <w:rFonts w:eastAsia="Calibri" w:cs="Times New Roman"/>
          <w:szCs w:val="20"/>
          <w:lang w:val="en-GB"/>
        </w:rPr>
        <w:t>/</w:t>
      </w:r>
      <w:r>
        <w:rPr>
          <w:rFonts w:eastAsia="Calibri" w:cs="Times New Roman"/>
          <w:szCs w:val="20"/>
          <w:lang w:val="en-GB"/>
        </w:rPr>
        <w:t>3</w:t>
      </w:r>
      <w:r w:rsidRPr="00D62BA9">
        <w:rPr>
          <w:rFonts w:eastAsia="Calibri" w:cs="Times New Roman"/>
          <w:szCs w:val="20"/>
          <w:lang w:val="en-GB"/>
        </w:rPr>
        <w:t xml:space="preserve">) feedback on the L1/L2-centric mobility. </w:t>
      </w:r>
    </w:p>
    <w:p w14:paraId="68DBB5FC" w14:textId="1A6C2A97" w:rsidR="00815942" w:rsidRDefault="00815942" w:rsidP="00815942">
      <w:pPr>
        <w:rPr>
          <w:rFonts w:eastAsia="Calibri" w:cs="Times New Roman"/>
          <w:szCs w:val="20"/>
          <w:lang w:val="en-GB"/>
        </w:rPr>
      </w:pPr>
      <w:r w:rsidRPr="00D62BA9">
        <w:rPr>
          <w:rFonts w:eastAsia="Calibri" w:cs="Times New Roman"/>
          <w:szCs w:val="20"/>
          <w:lang w:val="en-GB"/>
        </w:rPr>
        <w:t xml:space="preserve">In this contribution, we </w:t>
      </w:r>
      <w:r w:rsidR="00CC4D8E">
        <w:rPr>
          <w:rFonts w:eastAsia="Calibri" w:cs="Times New Roman"/>
          <w:szCs w:val="20"/>
          <w:lang w:val="en-GB"/>
        </w:rPr>
        <w:t xml:space="preserve">have </w:t>
      </w:r>
      <w:r w:rsidRPr="00D62BA9">
        <w:rPr>
          <w:rFonts w:eastAsia="Calibri" w:cs="Times New Roman"/>
          <w:szCs w:val="20"/>
          <w:lang w:val="en-GB"/>
        </w:rPr>
        <w:t>discuss</w:t>
      </w:r>
      <w:r w:rsidR="00CC4D8E">
        <w:rPr>
          <w:rFonts w:eastAsia="Calibri" w:cs="Times New Roman"/>
          <w:szCs w:val="20"/>
          <w:lang w:val="en-GB"/>
        </w:rPr>
        <w:t>ed</w:t>
      </w:r>
      <w:r w:rsidRPr="00D62BA9">
        <w:rPr>
          <w:rFonts w:eastAsia="Calibri" w:cs="Times New Roman"/>
          <w:szCs w:val="20"/>
          <w:lang w:val="en-GB"/>
        </w:rPr>
        <w:t xml:space="preserve"> </w:t>
      </w:r>
      <w:r>
        <w:rPr>
          <w:rFonts w:eastAsia="Calibri" w:cs="Times New Roman"/>
          <w:szCs w:val="20"/>
          <w:lang w:val="en-GB"/>
        </w:rPr>
        <w:t xml:space="preserve">the </w:t>
      </w:r>
      <w:r w:rsidRPr="00D62BA9">
        <w:rPr>
          <w:rFonts w:eastAsia="Calibri" w:cs="Times New Roman"/>
          <w:szCs w:val="20"/>
          <w:lang w:val="en-GB"/>
        </w:rPr>
        <w:t>RAN</w:t>
      </w:r>
      <w:r>
        <w:rPr>
          <w:rFonts w:eastAsia="Calibri" w:cs="Times New Roman"/>
          <w:szCs w:val="20"/>
          <w:lang w:val="en-GB"/>
        </w:rPr>
        <w:t>4</w:t>
      </w:r>
      <w:r w:rsidRPr="00D62BA9">
        <w:rPr>
          <w:rFonts w:eastAsia="Calibri" w:cs="Times New Roman"/>
          <w:szCs w:val="20"/>
          <w:lang w:val="en-GB"/>
        </w:rPr>
        <w:t xml:space="preserve"> </w:t>
      </w:r>
      <w:r>
        <w:rPr>
          <w:rFonts w:eastAsia="Calibri" w:cs="Times New Roman"/>
          <w:szCs w:val="20"/>
          <w:lang w:val="en-GB"/>
        </w:rPr>
        <w:t>related questions in the incoming to facilitate the RAN4</w:t>
      </w:r>
      <w:r w:rsidRPr="00D62BA9">
        <w:rPr>
          <w:rFonts w:eastAsia="Calibri" w:cs="Times New Roman"/>
          <w:szCs w:val="20"/>
          <w:lang w:val="en-GB"/>
        </w:rPr>
        <w:t xml:space="preserve"> reply LS</w:t>
      </w:r>
      <w:r>
        <w:rPr>
          <w:rFonts w:eastAsia="Calibri" w:cs="Times New Roman"/>
          <w:szCs w:val="20"/>
          <w:lang w:val="en-GB"/>
        </w:rPr>
        <w:t xml:space="preserve"> discussion</w:t>
      </w:r>
      <w:r w:rsidR="00CC4D8E">
        <w:rPr>
          <w:rFonts w:eastAsia="Calibri" w:cs="Times New Roman"/>
          <w:szCs w:val="20"/>
          <w:lang w:val="en-GB"/>
        </w:rPr>
        <w:t xml:space="preserve">. From the discussion we make </w:t>
      </w:r>
      <w:proofErr w:type="gramStart"/>
      <w:r w:rsidR="00CC4D8E">
        <w:rPr>
          <w:rFonts w:eastAsia="Calibri" w:cs="Times New Roman"/>
          <w:szCs w:val="20"/>
          <w:lang w:val="en-GB"/>
        </w:rPr>
        <w:t>a number of</w:t>
      </w:r>
      <w:proofErr w:type="gramEnd"/>
      <w:r w:rsidR="00CC4D8E">
        <w:rPr>
          <w:rFonts w:eastAsia="Calibri" w:cs="Times New Roman"/>
          <w:szCs w:val="20"/>
          <w:lang w:val="en-GB"/>
        </w:rPr>
        <w:t xml:space="preserve"> observation</w:t>
      </w:r>
      <w:r w:rsidR="005C60A0">
        <w:rPr>
          <w:rFonts w:eastAsia="Calibri" w:cs="Times New Roman"/>
          <w:szCs w:val="20"/>
          <w:lang w:val="en-GB"/>
        </w:rPr>
        <w:t>s</w:t>
      </w:r>
      <w:r w:rsidR="00CC4D8E">
        <w:rPr>
          <w:rFonts w:eastAsia="Calibri" w:cs="Times New Roman"/>
          <w:szCs w:val="20"/>
          <w:lang w:val="en-GB"/>
        </w:rPr>
        <w:t>:</w:t>
      </w:r>
    </w:p>
    <w:p w14:paraId="6761AA1E" w14:textId="77777777" w:rsidR="007414AA" w:rsidRDefault="007414AA" w:rsidP="007414AA">
      <w:pPr>
        <w:pStyle w:val="RAN4Observation"/>
        <w:numPr>
          <w:ilvl w:val="0"/>
          <w:numId w:val="28"/>
        </w:numPr>
      </w:pPr>
      <w:r>
        <w:t>The agreements related to CBM and IBM capable UEs needs to be accounted in the LS reply discussion.</w:t>
      </w:r>
    </w:p>
    <w:p w14:paraId="4B2E5B3E" w14:textId="77777777" w:rsidR="007414AA" w:rsidRDefault="007414AA" w:rsidP="007414AA">
      <w:pPr>
        <w:pStyle w:val="RAN4Observation"/>
        <w:numPr>
          <w:ilvl w:val="0"/>
          <w:numId w:val="28"/>
        </w:numPr>
      </w:pPr>
      <w:r>
        <w:t>For intra-band CA, the operations are currently not feasible unless the cells under consideration are collocated. RAN4 would be required RAN4 to define UE requirements for intra-band CA for non-collocated scenario.</w:t>
      </w:r>
    </w:p>
    <w:p w14:paraId="342BD8B7" w14:textId="77777777" w:rsidR="007414AA" w:rsidRDefault="007414AA" w:rsidP="007414AA">
      <w:pPr>
        <w:pStyle w:val="RAN4Observation"/>
        <w:numPr>
          <w:ilvl w:val="0"/>
          <w:numId w:val="28"/>
        </w:numPr>
      </w:pPr>
      <w:r>
        <w:t>For inter-band CA, the operations are currently feasible for a UE supporting IBM for the band combination under consideration.</w:t>
      </w:r>
    </w:p>
    <w:p w14:paraId="180C0EE3" w14:textId="77777777" w:rsidR="007414AA" w:rsidRDefault="007414AA" w:rsidP="007414AA">
      <w:pPr>
        <w:pStyle w:val="RAN4Observation"/>
        <w:numPr>
          <w:ilvl w:val="0"/>
          <w:numId w:val="28"/>
        </w:numPr>
      </w:pPr>
      <w:r>
        <w:t>For inter-band CA, whether the operations are feasible for a UE supporting CBM will depend on the outcome of the collocation assumption discussion related to CBM capable UEs.</w:t>
      </w:r>
    </w:p>
    <w:p w14:paraId="3D11A4B3" w14:textId="77777777" w:rsidR="00EE41B3" w:rsidRPr="00EE41B3" w:rsidRDefault="00EE41B3" w:rsidP="00EE41B3">
      <w:pPr>
        <w:pStyle w:val="RAN4Observation"/>
        <w:numPr>
          <w:ilvl w:val="0"/>
          <w:numId w:val="28"/>
        </w:numPr>
        <w:rPr>
          <w:b/>
          <w:bCs/>
          <w:u w:val="single"/>
        </w:rPr>
      </w:pPr>
      <w:r>
        <w:t>For inter-frequency CA operation within a band, only collocated scenario is supported. RAN4 would need to define UE requirements for intra-band CA for non-collocated scenario.</w:t>
      </w:r>
    </w:p>
    <w:p w14:paraId="1E01843B" w14:textId="3B3A88F3" w:rsidR="00CC4D8E" w:rsidRDefault="00CC4D8E" w:rsidP="00815942">
      <w:pPr>
        <w:rPr>
          <w:rFonts w:eastAsia="Calibri" w:cs="Times New Roman"/>
          <w:szCs w:val="20"/>
          <w:lang w:val="en-GB"/>
        </w:rPr>
      </w:pPr>
    </w:p>
    <w:p w14:paraId="4FA4B0FC" w14:textId="3FB2FC9F" w:rsidR="00CC4D8E" w:rsidRDefault="00CC4D8E" w:rsidP="00815942">
      <w:pPr>
        <w:rPr>
          <w:rFonts w:eastAsia="Calibri" w:cs="Times New Roman"/>
          <w:szCs w:val="20"/>
          <w:lang w:val="en-GB"/>
        </w:rPr>
      </w:pPr>
      <w:r>
        <w:rPr>
          <w:rFonts w:eastAsia="Calibri" w:cs="Times New Roman"/>
          <w:szCs w:val="20"/>
          <w:lang w:val="en-GB"/>
        </w:rPr>
        <w:t>Based on which we propose:</w:t>
      </w:r>
    </w:p>
    <w:p w14:paraId="5FCAD274" w14:textId="77777777" w:rsidR="007414AA" w:rsidRPr="007414AA" w:rsidRDefault="007414AA" w:rsidP="007414AA">
      <w:pPr>
        <w:pStyle w:val="RAN4proposal"/>
        <w:numPr>
          <w:ilvl w:val="0"/>
          <w:numId w:val="29"/>
        </w:numPr>
        <w:rPr>
          <w:lang w:val="en-GB"/>
        </w:rPr>
      </w:pPr>
      <w:r w:rsidRPr="007414AA">
        <w:rPr>
          <w:lang w:val="en-GB"/>
        </w:rPr>
        <w:t>Clarify from RAN1 whether RAN1 is considering simultaneous operation of the cells under discussion or whether RAN1 is also considering TDM operation between the cells.</w:t>
      </w:r>
    </w:p>
    <w:p w14:paraId="78843868" w14:textId="77777777" w:rsidR="007414AA" w:rsidRPr="007414AA" w:rsidRDefault="007414AA" w:rsidP="007414AA">
      <w:pPr>
        <w:pStyle w:val="RAN4proposal"/>
        <w:numPr>
          <w:ilvl w:val="0"/>
          <w:numId w:val="29"/>
        </w:numPr>
        <w:rPr>
          <w:lang w:val="en-GB"/>
        </w:rPr>
      </w:pPr>
      <w:r w:rsidRPr="007414AA">
        <w:rPr>
          <w:lang w:val="en-GB"/>
        </w:rPr>
        <w:t>take the observation onto account in the RAN4 LS reply.</w:t>
      </w:r>
    </w:p>
    <w:p w14:paraId="3DAFBD41" w14:textId="77777777" w:rsidR="003B659E" w:rsidRPr="00D94A03" w:rsidRDefault="003B659E" w:rsidP="0008612A">
      <w:pPr>
        <w:pStyle w:val="RAN4H1"/>
      </w:pPr>
      <w:r w:rsidRPr="00D94A03">
        <w:t>References</w:t>
      </w:r>
    </w:p>
    <w:p w14:paraId="19FC2F12" w14:textId="15FF4D75" w:rsidR="003B659E" w:rsidRPr="00D94A03" w:rsidRDefault="00D94A0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D94A03">
        <w:rPr>
          <w:rFonts w:eastAsia="Calibri" w:cs="Times New Roman"/>
          <w:szCs w:val="20"/>
          <w:lang w:val="en-GB"/>
        </w:rPr>
        <w:t>R1-2102248</w:t>
      </w:r>
      <w:r w:rsidR="003B659E" w:rsidRPr="00D94A03" w:rsidDel="00C651B9">
        <w:rPr>
          <w:rFonts w:eastAsia="Times New Roman" w:cs="Times New Roman"/>
          <w:szCs w:val="20"/>
          <w:lang w:val="en-GB"/>
        </w:rPr>
        <w:t xml:space="preserve"> </w:t>
      </w:r>
      <w:bookmarkEnd w:id="4"/>
    </w:p>
    <w:p w14:paraId="7E4B435D" w14:textId="28643A07" w:rsidR="00D94A03" w:rsidRPr="00D94A03" w:rsidRDefault="00D94A0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94A03">
        <w:rPr>
          <w:rFonts w:eastAsia="Calibri" w:cs="Times New Roman"/>
          <w:szCs w:val="20"/>
          <w:lang w:val="en-GB"/>
        </w:rPr>
        <w:t>R1-2102209</w:t>
      </w:r>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CF156" w14:textId="77777777" w:rsidR="00CB4DB5" w:rsidRDefault="00CB4DB5" w:rsidP="00001C9B">
      <w:pPr>
        <w:spacing w:after="0" w:line="240" w:lineRule="auto"/>
      </w:pPr>
      <w:r>
        <w:separator/>
      </w:r>
    </w:p>
  </w:endnote>
  <w:endnote w:type="continuationSeparator" w:id="0">
    <w:p w14:paraId="765CA660" w14:textId="77777777" w:rsidR="00CB4DB5" w:rsidRDefault="00CB4DB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20007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B17EE" w14:textId="77777777" w:rsidR="00CB4DB5" w:rsidRDefault="00CB4DB5" w:rsidP="00001C9B">
      <w:pPr>
        <w:spacing w:after="0" w:line="240" w:lineRule="auto"/>
      </w:pPr>
      <w:r>
        <w:separator/>
      </w:r>
    </w:p>
  </w:footnote>
  <w:footnote w:type="continuationSeparator" w:id="0">
    <w:p w14:paraId="2BDE05A2" w14:textId="77777777" w:rsidR="00CB4DB5" w:rsidRDefault="00CB4DB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A10761"/>
    <w:multiLevelType w:val="hybridMultilevel"/>
    <w:tmpl w:val="99863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00F7D"/>
    <w:multiLevelType w:val="hybridMultilevel"/>
    <w:tmpl w:val="C06687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D733A4"/>
    <w:multiLevelType w:val="hybridMultilevel"/>
    <w:tmpl w:val="D37A8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93868"/>
    <w:multiLevelType w:val="hybridMultilevel"/>
    <w:tmpl w:val="746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95A2D62"/>
    <w:multiLevelType w:val="hybridMultilevel"/>
    <w:tmpl w:val="A86A8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1"/>
  </w:num>
  <w:num w:numId="4">
    <w:abstractNumId w:val="5"/>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4"/>
  </w:num>
  <w:num w:numId="25">
    <w:abstractNumId w:val="2"/>
  </w:num>
  <w:num w:numId="26">
    <w:abstractNumId w:val="14"/>
  </w:num>
  <w:num w:numId="27">
    <w:abstractNumId w:val="1"/>
  </w:num>
  <w:num w:numId="28">
    <w:abstractNumId w:val="9"/>
    <w:lvlOverride w:ilvl="0">
      <w:startOverride w:val="1"/>
    </w:lvlOverride>
  </w:num>
  <w:num w:numId="2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312"/>
    <w:rsid w:val="000132EC"/>
    <w:rsid w:val="000158A2"/>
    <w:rsid w:val="000225EE"/>
    <w:rsid w:val="000251A4"/>
    <w:rsid w:val="00026CAD"/>
    <w:rsid w:val="00045565"/>
    <w:rsid w:val="0006059E"/>
    <w:rsid w:val="00066DCA"/>
    <w:rsid w:val="00082C86"/>
    <w:rsid w:val="0008612A"/>
    <w:rsid w:val="000A0024"/>
    <w:rsid w:val="000A576C"/>
    <w:rsid w:val="000B0056"/>
    <w:rsid w:val="000C0EBA"/>
    <w:rsid w:val="000D215B"/>
    <w:rsid w:val="000E2B1A"/>
    <w:rsid w:val="000F655F"/>
    <w:rsid w:val="00104B0A"/>
    <w:rsid w:val="001051A9"/>
    <w:rsid w:val="0010671C"/>
    <w:rsid w:val="00106CBF"/>
    <w:rsid w:val="001142D2"/>
    <w:rsid w:val="0013297E"/>
    <w:rsid w:val="00141D43"/>
    <w:rsid w:val="00166FE0"/>
    <w:rsid w:val="00170615"/>
    <w:rsid w:val="001745F8"/>
    <w:rsid w:val="00176671"/>
    <w:rsid w:val="001838CF"/>
    <w:rsid w:val="00195BE4"/>
    <w:rsid w:val="001B7053"/>
    <w:rsid w:val="001C2F6D"/>
    <w:rsid w:val="001E30F6"/>
    <w:rsid w:val="00202C59"/>
    <w:rsid w:val="00212DA9"/>
    <w:rsid w:val="002272A9"/>
    <w:rsid w:val="00235F5C"/>
    <w:rsid w:val="002469B0"/>
    <w:rsid w:val="00253C90"/>
    <w:rsid w:val="00266DFD"/>
    <w:rsid w:val="00274005"/>
    <w:rsid w:val="00277C78"/>
    <w:rsid w:val="002824EC"/>
    <w:rsid w:val="00295EAF"/>
    <w:rsid w:val="002B4922"/>
    <w:rsid w:val="002B5C89"/>
    <w:rsid w:val="002C2C78"/>
    <w:rsid w:val="002C2D19"/>
    <w:rsid w:val="002D10FA"/>
    <w:rsid w:val="002D4C55"/>
    <w:rsid w:val="002E0621"/>
    <w:rsid w:val="002E2005"/>
    <w:rsid w:val="002F290B"/>
    <w:rsid w:val="002F39C9"/>
    <w:rsid w:val="002F6FCC"/>
    <w:rsid w:val="00363CF1"/>
    <w:rsid w:val="003A7027"/>
    <w:rsid w:val="003B659E"/>
    <w:rsid w:val="003C3709"/>
    <w:rsid w:val="003F3524"/>
    <w:rsid w:val="00417AA0"/>
    <w:rsid w:val="0042486F"/>
    <w:rsid w:val="0043750A"/>
    <w:rsid w:val="00445154"/>
    <w:rsid w:val="004746A4"/>
    <w:rsid w:val="00476F77"/>
    <w:rsid w:val="004A278F"/>
    <w:rsid w:val="004A7601"/>
    <w:rsid w:val="004B7B4A"/>
    <w:rsid w:val="004E5BCF"/>
    <w:rsid w:val="004E5E66"/>
    <w:rsid w:val="00503B4D"/>
    <w:rsid w:val="00504EE9"/>
    <w:rsid w:val="005059F7"/>
    <w:rsid w:val="0054126A"/>
    <w:rsid w:val="005433E0"/>
    <w:rsid w:val="0054442C"/>
    <w:rsid w:val="00550285"/>
    <w:rsid w:val="00553D08"/>
    <w:rsid w:val="00560384"/>
    <w:rsid w:val="00563476"/>
    <w:rsid w:val="00577E81"/>
    <w:rsid w:val="005836F8"/>
    <w:rsid w:val="005918FA"/>
    <w:rsid w:val="005B39A5"/>
    <w:rsid w:val="005B5A8F"/>
    <w:rsid w:val="005B5F75"/>
    <w:rsid w:val="005C5006"/>
    <w:rsid w:val="005C60A0"/>
    <w:rsid w:val="005E0920"/>
    <w:rsid w:val="005E3125"/>
    <w:rsid w:val="005E54CF"/>
    <w:rsid w:val="005E61A8"/>
    <w:rsid w:val="005F6419"/>
    <w:rsid w:val="00617400"/>
    <w:rsid w:val="006230FC"/>
    <w:rsid w:val="006465BB"/>
    <w:rsid w:val="00664286"/>
    <w:rsid w:val="00664950"/>
    <w:rsid w:val="00683220"/>
    <w:rsid w:val="00687FA0"/>
    <w:rsid w:val="006A72B1"/>
    <w:rsid w:val="006B7010"/>
    <w:rsid w:val="006E1467"/>
    <w:rsid w:val="007122FA"/>
    <w:rsid w:val="007145FF"/>
    <w:rsid w:val="007414AA"/>
    <w:rsid w:val="00751515"/>
    <w:rsid w:val="007615CF"/>
    <w:rsid w:val="00762F28"/>
    <w:rsid w:val="00773B08"/>
    <w:rsid w:val="00781E1D"/>
    <w:rsid w:val="00785232"/>
    <w:rsid w:val="007C3ED0"/>
    <w:rsid w:val="007D4344"/>
    <w:rsid w:val="007D702C"/>
    <w:rsid w:val="00806A76"/>
    <w:rsid w:val="00811C9D"/>
    <w:rsid w:val="00815942"/>
    <w:rsid w:val="00816C80"/>
    <w:rsid w:val="00821A7B"/>
    <w:rsid w:val="00830A3D"/>
    <w:rsid w:val="00837434"/>
    <w:rsid w:val="00841BCD"/>
    <w:rsid w:val="00854762"/>
    <w:rsid w:val="00875419"/>
    <w:rsid w:val="008826C1"/>
    <w:rsid w:val="008F3FF6"/>
    <w:rsid w:val="009042BD"/>
    <w:rsid w:val="009557A8"/>
    <w:rsid w:val="00971F52"/>
    <w:rsid w:val="00977E1D"/>
    <w:rsid w:val="009A20F0"/>
    <w:rsid w:val="009C003D"/>
    <w:rsid w:val="009D1A4A"/>
    <w:rsid w:val="009F583E"/>
    <w:rsid w:val="00A17EE7"/>
    <w:rsid w:val="00A22B78"/>
    <w:rsid w:val="00A25AE5"/>
    <w:rsid w:val="00A37002"/>
    <w:rsid w:val="00A52F25"/>
    <w:rsid w:val="00A702B9"/>
    <w:rsid w:val="00A704F9"/>
    <w:rsid w:val="00AA1B0E"/>
    <w:rsid w:val="00AC5CA7"/>
    <w:rsid w:val="00AD58AB"/>
    <w:rsid w:val="00AE56B1"/>
    <w:rsid w:val="00B10828"/>
    <w:rsid w:val="00B10CFB"/>
    <w:rsid w:val="00B12033"/>
    <w:rsid w:val="00B21469"/>
    <w:rsid w:val="00B40E2A"/>
    <w:rsid w:val="00B53808"/>
    <w:rsid w:val="00B73862"/>
    <w:rsid w:val="00B73F6F"/>
    <w:rsid w:val="00BA6900"/>
    <w:rsid w:val="00BA6E48"/>
    <w:rsid w:val="00BA724E"/>
    <w:rsid w:val="00BB2C21"/>
    <w:rsid w:val="00BB376E"/>
    <w:rsid w:val="00BC6C7E"/>
    <w:rsid w:val="00BD63DC"/>
    <w:rsid w:val="00BF2218"/>
    <w:rsid w:val="00C10A73"/>
    <w:rsid w:val="00C119BD"/>
    <w:rsid w:val="00C2435F"/>
    <w:rsid w:val="00C65C5E"/>
    <w:rsid w:val="00C94120"/>
    <w:rsid w:val="00CA3D46"/>
    <w:rsid w:val="00CB22E0"/>
    <w:rsid w:val="00CB4DB5"/>
    <w:rsid w:val="00CC4D8E"/>
    <w:rsid w:val="00CD0F56"/>
    <w:rsid w:val="00CD7492"/>
    <w:rsid w:val="00CE3A6B"/>
    <w:rsid w:val="00D00211"/>
    <w:rsid w:val="00D06309"/>
    <w:rsid w:val="00D07DF7"/>
    <w:rsid w:val="00D27872"/>
    <w:rsid w:val="00D351EA"/>
    <w:rsid w:val="00D43403"/>
    <w:rsid w:val="00D62BA9"/>
    <w:rsid w:val="00D62E71"/>
    <w:rsid w:val="00D66D25"/>
    <w:rsid w:val="00D740CA"/>
    <w:rsid w:val="00D85728"/>
    <w:rsid w:val="00D8689E"/>
    <w:rsid w:val="00D94A03"/>
    <w:rsid w:val="00D97F4E"/>
    <w:rsid w:val="00DA2EF9"/>
    <w:rsid w:val="00DA421D"/>
    <w:rsid w:val="00DA5E32"/>
    <w:rsid w:val="00DC5D85"/>
    <w:rsid w:val="00DD39FE"/>
    <w:rsid w:val="00DD555A"/>
    <w:rsid w:val="00DF2997"/>
    <w:rsid w:val="00DF5DA9"/>
    <w:rsid w:val="00E124E9"/>
    <w:rsid w:val="00E14818"/>
    <w:rsid w:val="00E20584"/>
    <w:rsid w:val="00E26700"/>
    <w:rsid w:val="00E26ECA"/>
    <w:rsid w:val="00E32889"/>
    <w:rsid w:val="00E440D5"/>
    <w:rsid w:val="00E747E7"/>
    <w:rsid w:val="00EA17AC"/>
    <w:rsid w:val="00EB318F"/>
    <w:rsid w:val="00EC7BC3"/>
    <w:rsid w:val="00ED7600"/>
    <w:rsid w:val="00EE41B3"/>
    <w:rsid w:val="00EF2A70"/>
    <w:rsid w:val="00F01A85"/>
    <w:rsid w:val="00F1362C"/>
    <w:rsid w:val="00F17AE9"/>
    <w:rsid w:val="00F25F93"/>
    <w:rsid w:val="00F76908"/>
    <w:rsid w:val="00F824F5"/>
    <w:rsid w:val="00FA3FA5"/>
    <w:rsid w:val="00FB2402"/>
    <w:rsid w:val="00FC29B9"/>
    <w:rsid w:val="00FC6FD3"/>
    <w:rsid w:val="00FD0140"/>
    <w:rsid w:val="00FD5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normaltextrun">
    <w:name w:val="normaltextrun"/>
    <w:basedOn w:val="DefaultParagraphFont"/>
    <w:rsid w:val="007615CF"/>
  </w:style>
  <w:style w:type="character" w:styleId="CommentReference">
    <w:name w:val="annotation reference"/>
    <w:basedOn w:val="DefaultParagraphFont"/>
    <w:uiPriority w:val="99"/>
    <w:semiHidden/>
    <w:unhideWhenUsed/>
    <w:rsid w:val="001142D2"/>
    <w:rPr>
      <w:sz w:val="16"/>
      <w:szCs w:val="16"/>
    </w:rPr>
  </w:style>
  <w:style w:type="paragraph" w:styleId="CommentText">
    <w:name w:val="annotation text"/>
    <w:basedOn w:val="Normal"/>
    <w:link w:val="CommentTextChar"/>
    <w:uiPriority w:val="99"/>
    <w:semiHidden/>
    <w:unhideWhenUsed/>
    <w:rsid w:val="001142D2"/>
    <w:pPr>
      <w:spacing w:line="240" w:lineRule="auto"/>
    </w:pPr>
    <w:rPr>
      <w:szCs w:val="20"/>
    </w:rPr>
  </w:style>
  <w:style w:type="character" w:customStyle="1" w:styleId="CommentTextChar">
    <w:name w:val="Comment Text Char"/>
    <w:basedOn w:val="DefaultParagraphFont"/>
    <w:link w:val="CommentText"/>
    <w:uiPriority w:val="99"/>
    <w:semiHidden/>
    <w:rsid w:val="001142D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142D2"/>
    <w:rPr>
      <w:b/>
      <w:bCs/>
    </w:rPr>
  </w:style>
  <w:style w:type="character" w:customStyle="1" w:styleId="CommentSubjectChar">
    <w:name w:val="Comment Subject Char"/>
    <w:basedOn w:val="CommentTextChar"/>
    <w:link w:val="CommentSubject"/>
    <w:uiPriority w:val="99"/>
    <w:semiHidden/>
    <w:rsid w:val="001142D2"/>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818645">
      <w:bodyDiv w:val="1"/>
      <w:marLeft w:val="0"/>
      <w:marRight w:val="0"/>
      <w:marTop w:val="0"/>
      <w:marBottom w:val="0"/>
      <w:divBdr>
        <w:top w:val="none" w:sz="0" w:space="0" w:color="auto"/>
        <w:left w:val="none" w:sz="0" w:space="0" w:color="auto"/>
        <w:bottom w:val="none" w:sz="0" w:space="0" w:color="auto"/>
        <w:right w:val="none" w:sz="0" w:space="0" w:color="auto"/>
      </w:divBdr>
      <w:divsChild>
        <w:div w:id="30418998">
          <w:marLeft w:val="0"/>
          <w:marRight w:val="0"/>
          <w:marTop w:val="0"/>
          <w:marBottom w:val="0"/>
          <w:divBdr>
            <w:top w:val="none" w:sz="0" w:space="0" w:color="auto"/>
            <w:left w:val="none" w:sz="0" w:space="0" w:color="auto"/>
            <w:bottom w:val="none" w:sz="0" w:space="0" w:color="auto"/>
            <w:right w:val="none" w:sz="0" w:space="0" w:color="auto"/>
          </w:divBdr>
        </w:div>
        <w:div w:id="211617459">
          <w:marLeft w:val="0"/>
          <w:marRight w:val="0"/>
          <w:marTop w:val="0"/>
          <w:marBottom w:val="0"/>
          <w:divBdr>
            <w:top w:val="none" w:sz="0" w:space="0" w:color="auto"/>
            <w:left w:val="none" w:sz="0" w:space="0" w:color="auto"/>
            <w:bottom w:val="none" w:sz="0" w:space="0" w:color="auto"/>
            <w:right w:val="none" w:sz="0" w:space="0" w:color="auto"/>
          </w:divBdr>
        </w:div>
        <w:div w:id="1962615137">
          <w:marLeft w:val="0"/>
          <w:marRight w:val="0"/>
          <w:marTop w:val="0"/>
          <w:marBottom w:val="0"/>
          <w:divBdr>
            <w:top w:val="none" w:sz="0" w:space="0" w:color="auto"/>
            <w:left w:val="none" w:sz="0" w:space="0" w:color="auto"/>
            <w:bottom w:val="none" w:sz="0" w:space="0" w:color="auto"/>
            <w:right w:val="none" w:sz="0" w:space="0" w:color="auto"/>
          </w:divBdr>
        </w:div>
      </w:divsChild>
    </w:div>
    <w:div w:id="1105344427">
      <w:bodyDiv w:val="1"/>
      <w:marLeft w:val="0"/>
      <w:marRight w:val="0"/>
      <w:marTop w:val="0"/>
      <w:marBottom w:val="0"/>
      <w:divBdr>
        <w:top w:val="none" w:sz="0" w:space="0" w:color="auto"/>
        <w:left w:val="none" w:sz="0" w:space="0" w:color="auto"/>
        <w:bottom w:val="none" w:sz="0" w:space="0" w:color="auto"/>
        <w:right w:val="none" w:sz="0" w:space="0" w:color="auto"/>
      </w:divBdr>
      <w:divsChild>
        <w:div w:id="20058336">
          <w:marLeft w:val="0"/>
          <w:marRight w:val="0"/>
          <w:marTop w:val="0"/>
          <w:marBottom w:val="0"/>
          <w:divBdr>
            <w:top w:val="none" w:sz="0" w:space="0" w:color="auto"/>
            <w:left w:val="none" w:sz="0" w:space="0" w:color="auto"/>
            <w:bottom w:val="none" w:sz="0" w:space="0" w:color="auto"/>
            <w:right w:val="none" w:sz="0" w:space="0" w:color="auto"/>
          </w:divBdr>
        </w:div>
        <w:div w:id="1938514055">
          <w:marLeft w:val="0"/>
          <w:marRight w:val="0"/>
          <w:marTop w:val="0"/>
          <w:marBottom w:val="0"/>
          <w:divBdr>
            <w:top w:val="none" w:sz="0" w:space="0" w:color="auto"/>
            <w:left w:val="none" w:sz="0" w:space="0" w:color="auto"/>
            <w:bottom w:val="none" w:sz="0" w:space="0" w:color="auto"/>
            <w:right w:val="none" w:sz="0" w:space="0" w:color="auto"/>
          </w:divBdr>
        </w:div>
      </w:divsChild>
    </w:div>
    <w:div w:id="1389113551">
      <w:bodyDiv w:val="1"/>
      <w:marLeft w:val="0"/>
      <w:marRight w:val="0"/>
      <w:marTop w:val="0"/>
      <w:marBottom w:val="0"/>
      <w:divBdr>
        <w:top w:val="none" w:sz="0" w:space="0" w:color="auto"/>
        <w:left w:val="none" w:sz="0" w:space="0" w:color="auto"/>
        <w:bottom w:val="none" w:sz="0" w:space="0" w:color="auto"/>
        <w:right w:val="none" w:sz="0" w:space="0" w:color="auto"/>
      </w:divBdr>
    </w:div>
    <w:div w:id="1471943781">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5AIRPNAIUNRU-1328258698-2915</_dlc_DocId>
    <_dlc_DocIdUrl xmlns="71c5aaf6-e6ce-465b-b873-5148d2a4c105">
      <Url>https://nokia.sharepoint.com/sites/c5g/5gradio/_layouts/15/DocIdRedir.aspx?ID=5AIRPNAIUNRU-1328258698-2915</Url>
      <Description>5AIRPNAIUNRU-1328258698-2915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CF2B7F8-328A-4B02-BB1D-6773C921D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9FC52-0741-49FB-9849-5EBE4E09D61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92E53DD-588A-4B93-9FBB-067A46682735}">
  <ds:schemaRefs>
    <ds:schemaRef ds:uri="http://schemas.microsoft.com/sharepoint/v3/contenttype/forms"/>
  </ds:schemaRefs>
</ds:datastoreItem>
</file>

<file path=customXml/itemProps4.xml><?xml version="1.0" encoding="utf-8"?>
<ds:datastoreItem xmlns:ds="http://schemas.openxmlformats.org/officeDocument/2006/customXml" ds:itemID="{257956DC-77BB-429C-ACC8-A966C740EAF6}">
  <ds:schemaRefs>
    <ds:schemaRef ds:uri="http://schemas.microsoft.com/sharepoint/events"/>
  </ds:schemaRefs>
</ds:datastoreItem>
</file>

<file path=customXml/itemProps5.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6.xml><?xml version="1.0" encoding="utf-8"?>
<ds:datastoreItem xmlns:ds="http://schemas.openxmlformats.org/officeDocument/2006/customXml" ds:itemID="{4B099450-B2FD-4971-8640-B068AEAE0A5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2021-04-02T19:53:00Z</dcterms:created>
  <dcterms:modified xsi:type="dcterms:W3CDTF">2021-04-02T19:53:00Z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24bc3312-9776-49fd-9ea5-ae49ddf311db</vt:lpwstr>
  </property>
</Properties>
</file>