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CB5B9E" w:rsidRPr="00CB5B9E">
        <w:rPr>
          <w:rFonts w:ascii="Arial" w:hAnsi="Arial" w:cs="Arial"/>
          <w:b/>
          <w:sz w:val="24"/>
          <w:lang w:val="en-US" w:eastAsia="zh-CN"/>
        </w:rPr>
        <w:t>R4-2102779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00FC6" w:rsidRPr="00000FC6">
        <w:rPr>
          <w:rFonts w:ascii="Arial" w:eastAsia="宋体" w:hAnsi="Arial"/>
          <w:b/>
          <w:sz w:val="24"/>
          <w:lang w:val="en-US" w:eastAsia="zh-CN"/>
        </w:rPr>
        <w:t>Discussion on general issues for gNB positioning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w:t>
      </w:r>
      <w:r w:rsidR="00000FC6">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DC1B70">
        <w:rPr>
          <w:rFonts w:eastAsia="宋体"/>
          <w:lang w:eastAsia="zh-CN"/>
        </w:rPr>
        <w:t xml:space="preserve">RRM </w:t>
      </w:r>
      <w:r w:rsidR="00000FC6">
        <w:rPr>
          <w:rFonts w:eastAsia="宋体"/>
          <w:lang w:eastAsia="zh-CN"/>
        </w:rPr>
        <w:t>requirements</w:t>
      </w:r>
      <w:r w:rsidR="00DC1B70">
        <w:rPr>
          <w:rFonts w:eastAsia="宋体"/>
          <w:lang w:eastAsia="zh-CN"/>
        </w:rPr>
        <w:t xml:space="preserve"> for </w:t>
      </w:r>
      <w:r w:rsidR="00000FC6">
        <w:rPr>
          <w:rFonts w:eastAsia="宋体"/>
          <w:lang w:eastAsia="zh-CN"/>
        </w:rPr>
        <w:t xml:space="preserve">gNB </w:t>
      </w:r>
      <w:r w:rsidR="00DC1B70">
        <w:rPr>
          <w:rFonts w:eastAsia="宋体"/>
          <w:lang w:eastAsia="zh-CN"/>
        </w:rPr>
        <w:t xml:space="preserve">positioning </w:t>
      </w:r>
      <w:r>
        <w:rPr>
          <w:rFonts w:eastAsia="宋体"/>
          <w:lang w:eastAsia="zh-CN"/>
        </w:rPr>
        <w:t xml:space="preserve">are discussed, and the outcomes are captured in [1]. </w:t>
      </w:r>
      <w:r w:rsidR="0080299A">
        <w:rPr>
          <w:rFonts w:eastAsia="宋体"/>
          <w:lang w:eastAsia="zh-CN"/>
        </w:rPr>
        <w:t>There are several issues to be further discussed</w:t>
      </w:r>
      <w:r w:rsidR="00000FC6">
        <w:rPr>
          <w:rFonts w:eastAsia="宋体"/>
          <w:lang w:eastAsia="zh-CN"/>
        </w:rPr>
        <w:t xml:space="preserve"> that are generic to all gNB positioning measurement</w:t>
      </w:r>
      <w:r w:rsidR="0080299A">
        <w:rPr>
          <w:rFonts w:eastAsia="宋体"/>
          <w:lang w:eastAsia="zh-CN"/>
        </w:rPr>
        <w:t>:</w:t>
      </w:r>
    </w:p>
    <w:p w:rsidR="00511BD3" w:rsidRPr="0080299A" w:rsidRDefault="00000FC6" w:rsidP="00000F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I</w:t>
      </w:r>
      <w:r w:rsidRPr="00000FC6">
        <w:rPr>
          <w:rFonts w:eastAsia="宋体"/>
          <w:lang w:val="en-GB" w:eastAsia="zh-CN"/>
        </w:rPr>
        <w:t>mpact from non-guaranteed SRS transmission</w:t>
      </w:r>
    </w:p>
    <w:p w:rsidR="0080299A" w:rsidRDefault="00000FC6"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000FC6">
        <w:rPr>
          <w:rFonts w:eastAsia="宋体"/>
          <w:lang w:val="en-GB" w:eastAsia="zh-CN"/>
        </w:rPr>
        <w:t>Es/Iot</w:t>
      </w:r>
      <w:r>
        <w:rPr>
          <w:rFonts w:eastAsia="宋体"/>
          <w:lang w:val="en-GB" w:eastAsia="zh-CN"/>
        </w:rPr>
        <w:t xml:space="preserve"> side condition</w:t>
      </w:r>
    </w:p>
    <w:p w:rsidR="00DC1B70" w:rsidRPr="00DC1B70" w:rsidRDefault="00000FC6"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Beam configuration</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CB7C36" w:rsidRPr="00CB7C36">
        <w:rPr>
          <w:rFonts w:eastAsia="宋体"/>
          <w:lang w:eastAsia="zh-CN"/>
        </w:rPr>
        <w:t>general issues for gNB positioning measurement requirements</w:t>
      </w:r>
      <w:r>
        <w:rPr>
          <w:rFonts w:eastAsia="宋体"/>
          <w:lang w:eastAsia="zh-CN"/>
        </w:rPr>
        <w:t>.</w:t>
      </w:r>
    </w:p>
    <w:p w:rsidR="00754DE9" w:rsidRDefault="00B06084" w:rsidP="00754DE9">
      <w:pPr>
        <w:pStyle w:val="1"/>
        <w:jc w:val="both"/>
        <w:rPr>
          <w:lang w:val="en-US"/>
        </w:rPr>
      </w:pPr>
      <w:r>
        <w:rPr>
          <w:lang w:val="en-US"/>
        </w:rPr>
        <w:t>Discussion</w:t>
      </w:r>
    </w:p>
    <w:p w:rsidR="00000FC6" w:rsidRPr="00000FC6" w:rsidRDefault="00000FC6" w:rsidP="00000FC6">
      <w:pPr>
        <w:pStyle w:val="2"/>
        <w:rPr>
          <w:lang w:val="en-US" w:eastAsia="zh-CN"/>
        </w:rPr>
      </w:pPr>
      <w:r>
        <w:rPr>
          <w:lang w:eastAsia="zh-CN"/>
        </w:rPr>
        <w:t>I</w:t>
      </w:r>
      <w:r w:rsidRPr="00000FC6">
        <w:rPr>
          <w:lang w:eastAsia="zh-CN"/>
        </w:rPr>
        <w:t>mpact from non-guaranteed SRS transmission</w:t>
      </w:r>
    </w:p>
    <w:tbl>
      <w:tblPr>
        <w:tblStyle w:val="af4"/>
        <w:tblW w:w="0" w:type="auto"/>
        <w:tblLook w:val="04A0" w:firstRow="1" w:lastRow="0" w:firstColumn="1" w:lastColumn="0" w:noHBand="0" w:noVBand="1"/>
      </w:tblPr>
      <w:tblGrid>
        <w:gridCol w:w="9621"/>
      </w:tblGrid>
      <w:tr w:rsidR="00000FC6" w:rsidTr="00000FC6">
        <w:tc>
          <w:tcPr>
            <w:tcW w:w="9621" w:type="dxa"/>
          </w:tcPr>
          <w:p w:rsidR="00000FC6" w:rsidRPr="00000FC6" w:rsidRDefault="002E3E47" w:rsidP="00000FC6">
            <w:pPr>
              <w:numPr>
                <w:ilvl w:val="0"/>
                <w:numId w:val="25"/>
              </w:numPr>
              <w:overflowPunct w:val="0"/>
              <w:autoSpaceDE w:val="0"/>
              <w:autoSpaceDN w:val="0"/>
              <w:adjustRightInd w:val="0"/>
              <w:spacing w:beforeLines="0" w:before="120" w:afterLines="0" w:after="120"/>
              <w:textAlignment w:val="baseline"/>
              <w:rPr>
                <w:rFonts w:eastAsia="宋体"/>
                <w:lang w:val="en-US" w:eastAsia="zh-CN"/>
              </w:rPr>
            </w:pPr>
            <w:r w:rsidRPr="00000FC6">
              <w:rPr>
                <w:rFonts w:eastAsia="宋体"/>
                <w:lang w:eastAsia="zh-CN"/>
              </w:rPr>
              <w:t>Further study the impact from non-guaranteed SRS transmission for different methods</w:t>
            </w:r>
          </w:p>
        </w:tc>
      </w:tr>
    </w:tbl>
    <w:p w:rsidR="002E3E47" w:rsidRDefault="00000FC6" w:rsidP="00000F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discussion, some company raised the issue of </w:t>
      </w:r>
      <w:r w:rsidRPr="00000FC6">
        <w:rPr>
          <w:rFonts w:eastAsia="宋体"/>
          <w:lang w:eastAsia="zh-CN"/>
        </w:rPr>
        <w:t>non-guaranteed SRS transmission</w:t>
      </w:r>
      <w:r>
        <w:rPr>
          <w:rFonts w:eastAsia="宋体"/>
          <w:lang w:eastAsia="zh-CN"/>
        </w:rPr>
        <w:t xml:space="preserve">. Based on </w:t>
      </w:r>
      <w:r w:rsidR="002E3E47">
        <w:rPr>
          <w:rFonts w:eastAsia="宋体"/>
          <w:lang w:eastAsia="zh-CN"/>
        </w:rPr>
        <w:t xml:space="preserve">RAN1 specification, UE SRS transmission, including both legacy SRS and positioning SRS, may be dropped due to collision with UE’s other UL transmissions. This causes issues to gNB positioning measurement, especially for neighbour gNB who does not know if the SRS transmission is dropped or not. </w:t>
      </w:r>
    </w:p>
    <w:p w:rsidR="002E3E47" w:rsidRDefault="002E3E47" w:rsidP="00000F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issue is common for all positioning methods that rely on gNB measurements, and in our view it needs to be handled by NW implementation, e.g. gNB may detect the presence and absence of the SRS transmission before measuring TOA or RSRP from the SRS resource.</w:t>
      </w:r>
    </w:p>
    <w:p w:rsidR="002E3E47" w:rsidRDefault="002E3E47" w:rsidP="00000F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RAN4 requirements, we suggest to define the accuracy numbers based on measurement of a single SRS resource, and obviously the requirements apply provided that the SRS transmission is not dropped. It is noted that defining the requirements based on single shot measurement assumption does not preclude gNB to obtain TOA or RSRP estimation by combining multiple occasions of an SRS resource.</w:t>
      </w:r>
    </w:p>
    <w:p w:rsidR="002E3E47" w:rsidRPr="002E3E47" w:rsidRDefault="002E3E47" w:rsidP="00000FC6">
      <w:pPr>
        <w:overflowPunct w:val="0"/>
        <w:autoSpaceDE w:val="0"/>
        <w:autoSpaceDN w:val="0"/>
        <w:adjustRightInd w:val="0"/>
        <w:spacing w:beforeLines="0" w:before="120" w:afterLines="0" w:after="120"/>
        <w:textAlignment w:val="baseline"/>
        <w:rPr>
          <w:rFonts w:eastAsia="宋体"/>
          <w:b/>
          <w:lang w:eastAsia="zh-CN"/>
        </w:rPr>
      </w:pPr>
      <w:r w:rsidRPr="002E3E47">
        <w:rPr>
          <w:rFonts w:eastAsia="宋体"/>
          <w:b/>
          <w:lang w:eastAsia="zh-CN"/>
        </w:rPr>
        <w:t>Proposal 1: Define the gNB accuracy requirements based on single shot measurement assumption, and requirements apply provided that the SRS transmission occasion is not dropped.</w:t>
      </w:r>
    </w:p>
    <w:p w:rsidR="00000FC6" w:rsidRPr="00000FC6" w:rsidRDefault="00000FC6" w:rsidP="002E3E47">
      <w:pPr>
        <w:pStyle w:val="2"/>
        <w:rPr>
          <w:lang w:val="en-US" w:eastAsia="zh-CN"/>
        </w:rPr>
      </w:pPr>
      <w:r w:rsidRPr="00000FC6">
        <w:rPr>
          <w:lang w:eastAsia="zh-CN"/>
        </w:rPr>
        <w:t>Es/Iot</w:t>
      </w:r>
      <w:r>
        <w:rPr>
          <w:lang w:eastAsia="zh-CN"/>
        </w:rPr>
        <w:t xml:space="preserve"> side condition</w:t>
      </w:r>
    </w:p>
    <w:tbl>
      <w:tblPr>
        <w:tblStyle w:val="af4"/>
        <w:tblW w:w="0" w:type="auto"/>
        <w:tblLook w:val="04A0" w:firstRow="1" w:lastRow="0" w:firstColumn="1" w:lastColumn="0" w:noHBand="0" w:noVBand="1"/>
      </w:tblPr>
      <w:tblGrid>
        <w:gridCol w:w="9621"/>
      </w:tblGrid>
      <w:tr w:rsidR="002E3E47" w:rsidTr="002E3E47">
        <w:tc>
          <w:tcPr>
            <w:tcW w:w="9621" w:type="dxa"/>
          </w:tcPr>
          <w:p w:rsidR="002E3E47" w:rsidRPr="002E3E47" w:rsidRDefault="002E3E47" w:rsidP="002E3E47">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2E3E47">
              <w:rPr>
                <w:rFonts w:eastAsia="宋体"/>
                <w:lang w:eastAsia="zh-CN"/>
              </w:rPr>
              <w:t>Accuracy is defined for two different side conditions (two sets of Es/Iot)</w:t>
            </w:r>
          </w:p>
          <w:p w:rsidR="002E3E47" w:rsidRPr="002E3E47" w:rsidRDefault="002E3E47" w:rsidP="002E3E47">
            <w:pPr>
              <w:numPr>
                <w:ilvl w:val="1"/>
                <w:numId w:val="26"/>
              </w:numPr>
              <w:overflowPunct w:val="0"/>
              <w:autoSpaceDE w:val="0"/>
              <w:autoSpaceDN w:val="0"/>
              <w:adjustRightInd w:val="0"/>
              <w:spacing w:beforeLines="0" w:before="120" w:afterLines="0" w:after="120"/>
              <w:textAlignment w:val="baseline"/>
              <w:rPr>
                <w:rFonts w:eastAsia="宋体"/>
                <w:lang w:val="en-US" w:eastAsia="zh-CN"/>
              </w:rPr>
            </w:pPr>
            <w:r w:rsidRPr="002E3E47">
              <w:rPr>
                <w:rFonts w:eastAsia="宋体"/>
                <w:lang w:val="en-US" w:eastAsia="zh-CN"/>
              </w:rPr>
              <w:t>High SNR side condition (Es/Iot1) which corresponds to for example typical serving cell conditions or low interference neighbor cell conditions</w:t>
            </w:r>
            <w:r w:rsidRPr="002E3E47">
              <w:rPr>
                <w:rFonts w:eastAsia="宋体"/>
                <w:lang w:val="en-US" w:eastAsia="zh-CN"/>
              </w:rPr>
              <w:tab/>
            </w:r>
            <w:r w:rsidRPr="002E3E47">
              <w:rPr>
                <w:rFonts w:eastAsia="宋体"/>
                <w:lang w:val="en-US" w:eastAsia="zh-CN"/>
              </w:rPr>
              <w:tab/>
            </w:r>
          </w:p>
          <w:p w:rsidR="002E3E47" w:rsidRPr="002E3E47" w:rsidRDefault="002E3E47" w:rsidP="002E3E47">
            <w:pPr>
              <w:numPr>
                <w:ilvl w:val="1"/>
                <w:numId w:val="26"/>
              </w:numPr>
              <w:overflowPunct w:val="0"/>
              <w:autoSpaceDE w:val="0"/>
              <w:autoSpaceDN w:val="0"/>
              <w:adjustRightInd w:val="0"/>
              <w:spacing w:beforeLines="0" w:before="120" w:afterLines="0" w:after="120"/>
              <w:textAlignment w:val="baseline"/>
              <w:rPr>
                <w:rFonts w:eastAsia="宋体"/>
                <w:lang w:val="en-US" w:eastAsia="zh-CN"/>
              </w:rPr>
            </w:pPr>
            <w:r w:rsidRPr="002E3E47">
              <w:rPr>
                <w:rFonts w:eastAsia="宋体"/>
                <w:lang w:val="en-US" w:eastAsia="zh-CN"/>
              </w:rPr>
              <w:t>Low SNR side condition (Es/Iot2) which corresponds to for example typical neighbor cell conditions</w:t>
            </w:r>
          </w:p>
          <w:p w:rsidR="002E3E47" w:rsidRPr="002E3E47" w:rsidRDefault="002E3E47" w:rsidP="002E3E47">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2E3E47">
              <w:rPr>
                <w:rFonts w:eastAsia="宋体"/>
                <w:lang w:val="en-US" w:eastAsia="zh-CN"/>
              </w:rPr>
              <w:t>Es/Iot1 and Es/Iot2 are to be derived based on system simulations</w:t>
            </w:r>
          </w:p>
          <w:p w:rsidR="002E3E47" w:rsidRPr="002E3E47" w:rsidRDefault="002E3E47" w:rsidP="00000FC6">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2E3E47">
              <w:rPr>
                <w:rFonts w:eastAsia="宋体"/>
                <w:lang w:val="sv-SE" w:eastAsia="zh-CN"/>
              </w:rPr>
              <w:lastRenderedPageBreak/>
              <w:t xml:space="preserve">Values of </w:t>
            </w:r>
            <w:r w:rsidRPr="002E3E47">
              <w:rPr>
                <w:rFonts w:eastAsia="宋体"/>
                <w:lang w:val="en-US" w:eastAsia="zh-CN"/>
              </w:rPr>
              <w:t xml:space="preserve">Es/Iot1 and Es/Iot2 are FFS. </w:t>
            </w:r>
          </w:p>
        </w:tc>
      </w:tr>
    </w:tbl>
    <w:p w:rsidR="00F7630A" w:rsidRDefault="00F7630A" w:rsidP="00F7630A">
      <w:pPr>
        <w:spacing w:before="120" w:after="120"/>
        <w:rPr>
          <w:rFonts w:eastAsiaTheme="minorEastAsia"/>
          <w:lang w:eastAsia="zh-CN"/>
        </w:rPr>
      </w:pPr>
      <w:r>
        <w:rPr>
          <w:rFonts w:eastAsiaTheme="minorEastAsia"/>
          <w:lang w:eastAsia="zh-CN"/>
        </w:rPr>
        <w:lastRenderedPageBreak/>
        <w:t xml:space="preserve">In RAN4#97, the updated </w:t>
      </w:r>
      <w:r w:rsidR="00F2323A">
        <w:rPr>
          <w:rFonts w:eastAsiaTheme="minorEastAsia"/>
          <w:lang w:eastAsia="zh-CN"/>
        </w:rPr>
        <w:t xml:space="preserve">system level </w:t>
      </w:r>
      <w:r>
        <w:rPr>
          <w:rFonts w:eastAsiaTheme="minorEastAsia"/>
          <w:lang w:eastAsia="zh-CN"/>
        </w:rPr>
        <w:t>simulation assumption is agreed in [2]. Next we provide our updated simulation results based on [2] and the following setup and modelling. The main change compared to our results submitted to RAN4#97 is the interference modelling and power control.</w:t>
      </w:r>
    </w:p>
    <w:p w:rsidR="00F7630A" w:rsidRDefault="00F7630A" w:rsidP="00F7630A">
      <w:pPr>
        <w:pStyle w:val="af8"/>
        <w:numPr>
          <w:ilvl w:val="0"/>
          <w:numId w:val="27"/>
        </w:numPr>
        <w:spacing w:before="120" w:after="120"/>
        <w:rPr>
          <w:rFonts w:eastAsiaTheme="minorEastAsia"/>
          <w:lang w:eastAsia="zh-CN"/>
        </w:rPr>
      </w:pPr>
      <w:r w:rsidRPr="003D69FD">
        <w:rPr>
          <w:rFonts w:eastAsiaTheme="minorEastAsia"/>
          <w:lang w:eastAsia="zh-CN"/>
        </w:rPr>
        <w:t>Frequency dependent parameters: FR1, 4GHz carrier, 30kHz SCS, 100MHz BW</w:t>
      </w:r>
    </w:p>
    <w:p w:rsidR="00F7630A" w:rsidRDefault="00F7630A" w:rsidP="00F7630A">
      <w:pPr>
        <w:pStyle w:val="af8"/>
        <w:numPr>
          <w:ilvl w:val="0"/>
          <w:numId w:val="27"/>
        </w:numPr>
        <w:spacing w:before="120" w:after="120"/>
        <w:rPr>
          <w:rFonts w:eastAsiaTheme="minorEastAsia"/>
          <w:lang w:eastAsia="zh-CN"/>
        </w:rPr>
      </w:pPr>
      <w:r>
        <w:rPr>
          <w:rFonts w:eastAsiaTheme="minorEastAsia"/>
          <w:lang w:eastAsia="zh-CN"/>
        </w:rPr>
        <w:t>Scenarios: UMa, UMi and InH, as defined in clause 6 of 38.855</w:t>
      </w:r>
    </w:p>
    <w:p w:rsidR="00F7630A" w:rsidRDefault="00F7630A" w:rsidP="00F7630A">
      <w:pPr>
        <w:pStyle w:val="af8"/>
        <w:numPr>
          <w:ilvl w:val="0"/>
          <w:numId w:val="27"/>
        </w:numPr>
        <w:spacing w:before="120" w:after="120"/>
        <w:rPr>
          <w:rFonts w:eastAsiaTheme="minorEastAsia"/>
          <w:lang w:eastAsia="zh-CN"/>
        </w:rPr>
      </w:pPr>
      <w:r>
        <w:rPr>
          <w:rFonts w:eastAsiaTheme="minorEastAsia"/>
          <w:lang w:eastAsia="zh-CN"/>
        </w:rPr>
        <w:t>Number of UEs per cell: 1 and 5</w:t>
      </w:r>
    </w:p>
    <w:p w:rsidR="00F7630A" w:rsidRPr="000E2734" w:rsidRDefault="00F7630A" w:rsidP="00F7630A">
      <w:pPr>
        <w:pStyle w:val="af8"/>
        <w:numPr>
          <w:ilvl w:val="0"/>
          <w:numId w:val="27"/>
        </w:numPr>
        <w:spacing w:before="120" w:after="120"/>
        <w:rPr>
          <w:rFonts w:eastAsiaTheme="minorEastAsia"/>
          <w:color w:val="FF0000"/>
          <w:lang w:eastAsia="zh-CN"/>
        </w:rPr>
      </w:pPr>
      <w:r w:rsidRPr="000E2734">
        <w:rPr>
          <w:rFonts w:eastAsiaTheme="minorEastAsia"/>
          <w:color w:val="FF0000"/>
          <w:lang w:eastAsia="zh-CN"/>
        </w:rPr>
        <w:t xml:space="preserve">Power control: </w:t>
      </w:r>
    </w:p>
    <w:p w:rsidR="00F7630A" w:rsidRDefault="00F7630A" w:rsidP="00F7630A">
      <w:pPr>
        <w:pStyle w:val="af8"/>
        <w:numPr>
          <w:ilvl w:val="1"/>
          <w:numId w:val="27"/>
        </w:numPr>
        <w:spacing w:before="120" w:after="120"/>
        <w:rPr>
          <w:rFonts w:eastAsiaTheme="minorEastAsia"/>
          <w:lang w:eastAsia="zh-CN"/>
        </w:rPr>
      </w:pPr>
      <w:r>
        <w:rPr>
          <w:rFonts w:eastAsiaTheme="minorEastAsia"/>
          <w:lang w:eastAsia="zh-CN"/>
        </w:rPr>
        <w:t>There are some details on power control, e.g. the setting of parameter p0 and alpha, that are not specified in [2]. More importantly, if the pathloss RS is the neighbor cell SSB or PRS, it is very likely that UE will</w:t>
      </w:r>
      <w:r w:rsidR="00FB5EAE">
        <w:rPr>
          <w:rFonts w:eastAsiaTheme="minorEastAsia"/>
          <w:lang w:eastAsia="zh-CN"/>
        </w:rPr>
        <w:t xml:space="preserve"> use</w:t>
      </w:r>
      <w:r>
        <w:rPr>
          <w:rFonts w:eastAsiaTheme="minorEastAsia"/>
          <w:lang w:eastAsia="zh-CN"/>
        </w:rPr>
        <w:t xml:space="preserve"> the max power so that the SRS can be received by a neighbor gNB. Therefore we only simulated the case where UE tran</w:t>
      </w:r>
      <w:r w:rsidR="00FB5EAE">
        <w:rPr>
          <w:rFonts w:eastAsiaTheme="minorEastAsia"/>
          <w:lang w:eastAsia="zh-CN"/>
        </w:rPr>
        <w:t>smits with max power i.e. 23dBm, except for InH interference-free scenario</w:t>
      </w:r>
      <w:r w:rsidR="000E2734">
        <w:rPr>
          <w:rFonts w:eastAsiaTheme="minorEastAsia"/>
          <w:lang w:eastAsia="zh-CN"/>
        </w:rPr>
        <w:t xml:space="preserve">. </w:t>
      </w:r>
    </w:p>
    <w:p w:rsidR="00F7630A" w:rsidRPr="00FB7D5D" w:rsidRDefault="00F7630A" w:rsidP="00F7630A">
      <w:pPr>
        <w:pStyle w:val="af8"/>
        <w:numPr>
          <w:ilvl w:val="0"/>
          <w:numId w:val="27"/>
        </w:numPr>
        <w:spacing w:before="120" w:after="120"/>
        <w:rPr>
          <w:rFonts w:eastAsiaTheme="minorEastAsia"/>
          <w:color w:val="FF0000"/>
          <w:lang w:eastAsia="zh-CN"/>
        </w:rPr>
      </w:pPr>
      <w:r w:rsidRPr="00FB7D5D">
        <w:rPr>
          <w:rFonts w:eastAsiaTheme="minorEastAsia"/>
          <w:color w:val="FF0000"/>
          <w:lang w:eastAsia="zh-CN"/>
        </w:rPr>
        <w:t xml:space="preserve">Interference modeling: </w:t>
      </w:r>
    </w:p>
    <w:p w:rsidR="00F7630A" w:rsidRDefault="00F7630A" w:rsidP="00F7630A">
      <w:pPr>
        <w:pStyle w:val="af8"/>
        <w:numPr>
          <w:ilvl w:val="1"/>
          <w:numId w:val="27"/>
        </w:numPr>
        <w:spacing w:before="120" w:after="120"/>
        <w:rPr>
          <w:rFonts w:eastAsiaTheme="minorEastAsia"/>
          <w:lang w:eastAsia="zh-CN"/>
        </w:rPr>
      </w:pPr>
      <w:r>
        <w:rPr>
          <w:rFonts w:eastAsiaTheme="minorEastAsia"/>
          <w:lang w:eastAsia="zh-CN"/>
        </w:rPr>
        <w:t>Intra-cell UEs: as assumed in [2] the comb and/or cyclic shift for UE served by the same cell are planned to be orthogonal, so in the simulation UE #j will cause no interference to any gNB for the  reception of UE #i, if UE #j is served by the same cell as UE #i</w:t>
      </w:r>
    </w:p>
    <w:p w:rsidR="00F7630A" w:rsidRDefault="00F7630A" w:rsidP="00F7630A">
      <w:pPr>
        <w:pStyle w:val="af8"/>
        <w:numPr>
          <w:ilvl w:val="1"/>
          <w:numId w:val="27"/>
        </w:numPr>
        <w:spacing w:before="120" w:after="120"/>
        <w:rPr>
          <w:rFonts w:eastAsiaTheme="minorEastAsia"/>
          <w:lang w:eastAsia="zh-CN"/>
        </w:rPr>
      </w:pPr>
      <w:r>
        <w:rPr>
          <w:rFonts w:eastAsiaTheme="minorEastAsia"/>
          <w:lang w:eastAsia="zh-CN"/>
        </w:rPr>
        <w:t>Inter-cell UEs: as assumed in [2] the comb and/or cyclic shift are randomly allocated in each cell, meaning there is no inter-cell coordination, and time offset of SRS transmissions in all cells are same. Therefore, there is a 25% probability (with comb size 4) for UE #j to cause interference to all gNBs for the reception of UE #i, if UE #j is served by a different cell than UE #i. The interference power is counted same as noise power.</w:t>
      </w:r>
    </w:p>
    <w:p w:rsidR="00FB5EAE" w:rsidRPr="00FB7D5D" w:rsidRDefault="00FB5EAE" w:rsidP="00F7630A">
      <w:pPr>
        <w:pStyle w:val="af8"/>
        <w:numPr>
          <w:ilvl w:val="1"/>
          <w:numId w:val="27"/>
        </w:numPr>
        <w:spacing w:before="120" w:after="120"/>
        <w:rPr>
          <w:rFonts w:eastAsiaTheme="minorEastAsia"/>
          <w:lang w:eastAsia="zh-CN"/>
        </w:rPr>
      </w:pPr>
      <w:r>
        <w:rPr>
          <w:rFonts w:eastAsiaTheme="minorEastAsia"/>
          <w:lang w:eastAsia="zh-CN"/>
        </w:rPr>
        <w:t xml:space="preserve">In addition to the 1 or 5 UE per cell scenarios as listed in [2], we also simulated </w:t>
      </w:r>
      <w:r w:rsidR="008D2FE1">
        <w:rPr>
          <w:rFonts w:eastAsiaTheme="minorEastAsia"/>
          <w:lang w:eastAsia="zh-CN"/>
        </w:rPr>
        <w:t xml:space="preserve">the interference free scenario, meaning when gNB is receiving SRS from a </w:t>
      </w:r>
      <w:r w:rsidR="000E2734">
        <w:rPr>
          <w:rFonts w:eastAsiaTheme="minorEastAsia"/>
          <w:lang w:eastAsia="zh-CN"/>
        </w:rPr>
        <w:t>target UE, there is no interference from other UEs. This is the most optimistic case for each deployment scenario.</w:t>
      </w:r>
    </w:p>
    <w:p w:rsidR="00F7630A" w:rsidRDefault="00F7630A" w:rsidP="00F7630A">
      <w:pPr>
        <w:pStyle w:val="af8"/>
        <w:numPr>
          <w:ilvl w:val="0"/>
          <w:numId w:val="27"/>
        </w:numPr>
        <w:spacing w:before="120" w:after="120"/>
        <w:rPr>
          <w:rFonts w:eastAsiaTheme="minorEastAsia"/>
          <w:lang w:eastAsia="zh-CN"/>
        </w:rPr>
      </w:pPr>
      <w:r>
        <w:rPr>
          <w:rFonts w:eastAsiaTheme="minorEastAsia"/>
          <w:lang w:eastAsia="zh-CN"/>
        </w:rPr>
        <w:t>BS Rx antenna: 2Rx</w:t>
      </w:r>
    </w:p>
    <w:p w:rsidR="00F7630A" w:rsidRDefault="00F7630A" w:rsidP="00F7630A">
      <w:pPr>
        <w:spacing w:before="120" w:after="120"/>
        <w:rPr>
          <w:rFonts w:eastAsiaTheme="minorEastAsia"/>
          <w:lang w:eastAsia="zh-CN"/>
        </w:rPr>
      </w:pPr>
      <w:r>
        <w:rPr>
          <w:rFonts w:eastAsiaTheme="minorEastAsia"/>
          <w:lang w:eastAsia="zh-CN"/>
        </w:rPr>
        <w:t xml:space="preserve">In Table 1 we show the Es/Iot of a UE’s 4 seen by the strongest cells sorted by SINR. </w:t>
      </w:r>
    </w:p>
    <w:p w:rsidR="00F7630A" w:rsidRDefault="00F7630A" w:rsidP="00F7630A">
      <w:pPr>
        <w:spacing w:before="120" w:after="120"/>
        <w:jc w:val="center"/>
        <w:rPr>
          <w:rFonts w:eastAsiaTheme="minorEastAsia"/>
          <w:b/>
          <w:lang w:eastAsia="zh-CN"/>
        </w:rPr>
      </w:pPr>
      <w:r>
        <w:rPr>
          <w:rFonts w:eastAsiaTheme="minorEastAsia"/>
          <w:b/>
          <w:lang w:eastAsia="zh-CN"/>
        </w:rPr>
        <w:t>Table 1: 5% and mean Es/Iot</w:t>
      </w:r>
      <w:r>
        <w:t xml:space="preserve"> </w:t>
      </w:r>
      <w:r>
        <w:rPr>
          <w:rFonts w:eastAsiaTheme="minorEastAsia"/>
          <w:b/>
          <w:lang w:eastAsia="zh-CN"/>
        </w:rPr>
        <w:t>seen by the strongest cells</w:t>
      </w:r>
    </w:p>
    <w:tbl>
      <w:tblPr>
        <w:tblStyle w:val="af4"/>
        <w:tblW w:w="0" w:type="auto"/>
        <w:jc w:val="center"/>
        <w:tblLook w:val="04A0" w:firstRow="1" w:lastRow="0" w:firstColumn="1" w:lastColumn="0" w:noHBand="0" w:noVBand="1"/>
      </w:tblPr>
      <w:tblGrid>
        <w:gridCol w:w="669"/>
        <w:gridCol w:w="2037"/>
        <w:gridCol w:w="681"/>
        <w:gridCol w:w="693"/>
        <w:gridCol w:w="681"/>
        <w:gridCol w:w="693"/>
        <w:gridCol w:w="681"/>
        <w:gridCol w:w="693"/>
        <w:gridCol w:w="681"/>
        <w:gridCol w:w="693"/>
      </w:tblGrid>
      <w:tr w:rsidR="00F7630A" w:rsidTr="008D2FE1">
        <w:trPr>
          <w:trHeight w:val="437"/>
          <w:jc w:val="center"/>
        </w:trPr>
        <w:tc>
          <w:tcPr>
            <w:tcW w:w="0" w:type="auto"/>
            <w:vMerge w:val="restart"/>
            <w:tcBorders>
              <w:top w:val="single" w:sz="4" w:space="0" w:color="auto"/>
              <w:left w:val="single" w:sz="4" w:space="0" w:color="auto"/>
              <w:bottom w:val="single" w:sz="4" w:space="0" w:color="auto"/>
              <w:right w:val="single" w:sz="4" w:space="0" w:color="auto"/>
            </w:tcBorders>
          </w:tcPr>
          <w:p w:rsidR="00F7630A" w:rsidRDefault="00F7630A" w:rsidP="008D2FE1">
            <w:pPr>
              <w:spacing w:before="120" w:after="120"/>
              <w:rPr>
                <w:rFonts w:eastAsiaTheme="minorEastAsia"/>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Num of UEs per cell</w:t>
            </w:r>
          </w:p>
        </w:tc>
        <w:tc>
          <w:tcPr>
            <w:tcW w:w="0" w:type="auto"/>
            <w:gridSpan w:val="2"/>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w:t>
            </w:r>
          </w:p>
        </w:tc>
        <w:tc>
          <w:tcPr>
            <w:tcW w:w="0" w:type="auto"/>
            <w:gridSpan w:val="2"/>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w:t>
            </w:r>
          </w:p>
        </w:tc>
        <w:tc>
          <w:tcPr>
            <w:tcW w:w="0" w:type="auto"/>
            <w:gridSpan w:val="2"/>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w:t>
            </w:r>
          </w:p>
        </w:tc>
        <w:tc>
          <w:tcPr>
            <w:tcW w:w="0" w:type="auto"/>
            <w:gridSpan w:val="2"/>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4</w:t>
            </w:r>
            <w:r>
              <w:rPr>
                <w:rFonts w:eastAsiaTheme="minorEastAsia"/>
                <w:vertAlign w:val="superscript"/>
                <w:lang w:eastAsia="zh-CN"/>
              </w:rPr>
              <w:t>th</w:t>
            </w:r>
            <w:r>
              <w:rPr>
                <w:rFonts w:eastAsiaTheme="minorEastAsia"/>
                <w:lang w:eastAsia="zh-CN"/>
              </w:rPr>
              <w:t xml:space="preserve"> </w:t>
            </w:r>
          </w:p>
        </w:tc>
      </w:tr>
      <w:tr w:rsidR="00F7630A" w:rsidTr="008D2FE1">
        <w:trPr>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630A" w:rsidRDefault="00F7630A" w:rsidP="008D2FE1">
            <w:pPr>
              <w:spacing w:beforeLines="0" w:afterLines="0" w:after="0"/>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630A" w:rsidRDefault="00F7630A" w:rsidP="008D2FE1">
            <w:pPr>
              <w:spacing w:beforeLines="0" w:afterLines="0" w:after="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mean</w:t>
            </w: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mean</w:t>
            </w: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mean</w:t>
            </w: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F7630A" w:rsidRDefault="00F7630A" w:rsidP="008D2FE1">
            <w:pPr>
              <w:spacing w:before="120" w:after="120"/>
              <w:rPr>
                <w:rFonts w:eastAsiaTheme="minorEastAsia"/>
                <w:lang w:eastAsia="zh-CN"/>
              </w:rPr>
            </w:pPr>
            <w:r>
              <w:rPr>
                <w:rFonts w:eastAsiaTheme="minorEastAsia"/>
                <w:lang w:eastAsia="zh-CN"/>
              </w:rPr>
              <w:t>mean</w:t>
            </w:r>
          </w:p>
        </w:tc>
      </w:tr>
      <w:tr w:rsidR="00F2323A" w:rsidTr="008D2FE1">
        <w:trPr>
          <w:trHeight w:val="310"/>
          <w:jc w:val="center"/>
        </w:trPr>
        <w:tc>
          <w:tcPr>
            <w:tcW w:w="0" w:type="auto"/>
            <w:vMerge w:val="restart"/>
            <w:tcBorders>
              <w:top w:val="single" w:sz="4" w:space="0" w:color="auto"/>
              <w:left w:val="single" w:sz="4" w:space="0" w:color="auto"/>
              <w:right w:val="single" w:sz="4" w:space="0" w:color="auto"/>
            </w:tcBorders>
            <w:vAlign w:val="center"/>
          </w:tcPr>
          <w:p w:rsidR="00F2323A" w:rsidRDefault="00F2323A" w:rsidP="008D2FE1">
            <w:pPr>
              <w:spacing w:before="120" w:after="120"/>
              <w:rPr>
                <w:rFonts w:eastAsiaTheme="minorEastAsia"/>
                <w:lang w:eastAsia="zh-CN"/>
              </w:rPr>
            </w:pPr>
            <w:r>
              <w:rPr>
                <w:rFonts w:eastAsiaTheme="minorEastAsia"/>
                <w:lang w:eastAsia="zh-CN"/>
              </w:rPr>
              <w:t>UMa</w:t>
            </w:r>
          </w:p>
        </w:tc>
        <w:tc>
          <w:tcPr>
            <w:tcW w:w="0" w:type="auto"/>
            <w:tcBorders>
              <w:top w:val="single" w:sz="4" w:space="0" w:color="auto"/>
              <w:left w:val="single" w:sz="4" w:space="0" w:color="auto"/>
              <w:bottom w:val="single" w:sz="4" w:space="0" w:color="auto"/>
              <w:right w:val="single" w:sz="4" w:space="0" w:color="auto"/>
            </w:tcBorders>
            <w:vAlign w:val="center"/>
          </w:tcPr>
          <w:p w:rsidR="00F2323A" w:rsidRPr="009635D2" w:rsidRDefault="00F2323A" w:rsidP="009635D2">
            <w:pPr>
              <w:spacing w:before="120" w:after="120"/>
              <w:rPr>
                <w:rFonts w:eastAsiaTheme="minorEastAsia"/>
                <w:sz w:val="20"/>
                <w:lang w:eastAsia="zh-CN"/>
              </w:rPr>
            </w:pPr>
            <w:r w:rsidRPr="009635D2">
              <w:rPr>
                <w:rFonts w:eastAsiaTheme="minorEastAsia" w:hint="eastAsia"/>
                <w:sz w:val="20"/>
                <w:lang w:eastAsia="zh-CN"/>
              </w:rPr>
              <w:t>0</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w:t>
            </w:r>
            <w:r w:rsidRPr="009635D2">
              <w:rPr>
                <w:rFonts w:eastAsiaTheme="minorEastAsia"/>
                <w:sz w:val="18"/>
                <w:szCs w:val="18"/>
                <w:lang w:eastAsia="zh-CN"/>
              </w:rPr>
              <w:t>21.39</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3</w:t>
            </w:r>
            <w:r w:rsidRPr="009635D2">
              <w:rPr>
                <w:rFonts w:eastAsiaTheme="minorEastAsia"/>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w:t>
            </w:r>
            <w:r w:rsidRPr="009635D2">
              <w:rPr>
                <w:rFonts w:eastAsiaTheme="minorEastAsia"/>
                <w:sz w:val="18"/>
                <w:szCs w:val="18"/>
                <w:lang w:eastAsia="zh-CN"/>
              </w:rPr>
              <w:t>27.00</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w:t>
            </w:r>
            <w:r w:rsidRPr="009635D2">
              <w:rPr>
                <w:rFonts w:eastAsiaTheme="minorEastAsia"/>
                <w:sz w:val="18"/>
                <w:szCs w:val="18"/>
                <w:lang w:eastAsia="zh-CN"/>
              </w:rPr>
              <w:t>4.37</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-30</w:t>
            </w:r>
            <w:r w:rsidRPr="009635D2">
              <w:rPr>
                <w:rFonts w:eastAsiaTheme="minorEastAsia"/>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w:t>
            </w:r>
            <w:r w:rsidRPr="009635D2">
              <w:rPr>
                <w:rFonts w:eastAsiaTheme="minorEastAsia"/>
                <w:sz w:val="18"/>
                <w:szCs w:val="18"/>
                <w:lang w:eastAsia="zh-CN"/>
              </w:rPr>
              <w:t>10.82</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w:t>
            </w:r>
            <w:r w:rsidRPr="009635D2">
              <w:rPr>
                <w:rFonts w:eastAsiaTheme="minorEastAsia"/>
                <w:sz w:val="18"/>
                <w:szCs w:val="18"/>
                <w:lang w:eastAsia="zh-CN"/>
              </w:rPr>
              <w:t>33.04</w:t>
            </w:r>
          </w:p>
        </w:tc>
        <w:tc>
          <w:tcPr>
            <w:tcW w:w="0" w:type="auto"/>
            <w:tcBorders>
              <w:top w:val="single" w:sz="4" w:space="0" w:color="auto"/>
              <w:left w:val="single" w:sz="4" w:space="0" w:color="auto"/>
              <w:bottom w:val="single" w:sz="4" w:space="0" w:color="auto"/>
              <w:right w:val="single" w:sz="4" w:space="0" w:color="auto"/>
            </w:tcBorders>
          </w:tcPr>
          <w:p w:rsidR="00F2323A" w:rsidRPr="009635D2" w:rsidRDefault="009635D2" w:rsidP="009635D2">
            <w:pPr>
              <w:spacing w:before="120" w:after="120"/>
              <w:jc w:val="center"/>
              <w:rPr>
                <w:rFonts w:eastAsiaTheme="minorEastAsia"/>
                <w:sz w:val="18"/>
                <w:szCs w:val="18"/>
                <w:lang w:eastAsia="zh-CN"/>
              </w:rPr>
            </w:pPr>
            <w:r w:rsidRPr="009635D2">
              <w:rPr>
                <w:rFonts w:eastAsiaTheme="minorEastAsia" w:hint="eastAsia"/>
                <w:sz w:val="18"/>
                <w:szCs w:val="18"/>
                <w:lang w:eastAsia="zh-CN"/>
              </w:rPr>
              <w:t>-</w:t>
            </w:r>
            <w:r w:rsidRPr="009635D2">
              <w:rPr>
                <w:rFonts w:eastAsiaTheme="minorEastAsia"/>
                <w:sz w:val="18"/>
                <w:szCs w:val="18"/>
                <w:lang w:eastAsia="zh-CN"/>
              </w:rPr>
              <w:t>14.02</w:t>
            </w:r>
          </w:p>
        </w:tc>
      </w:tr>
      <w:tr w:rsidR="00F2323A" w:rsidTr="008D2FE1">
        <w:trPr>
          <w:jc w:val="center"/>
        </w:trPr>
        <w:tc>
          <w:tcPr>
            <w:tcW w:w="0" w:type="auto"/>
            <w:vMerge/>
            <w:tcBorders>
              <w:left w:val="single" w:sz="4" w:space="0" w:color="auto"/>
              <w:right w:val="single" w:sz="4" w:space="0" w:color="auto"/>
            </w:tcBorders>
            <w:hideMark/>
          </w:tcPr>
          <w:p w:rsidR="00F2323A" w:rsidRDefault="00F2323A" w:rsidP="008D2FE1">
            <w:pPr>
              <w:spacing w:before="120"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2323A" w:rsidRPr="009635D2" w:rsidRDefault="00F2323A" w:rsidP="008D2FE1">
            <w:pPr>
              <w:spacing w:before="120" w:after="120"/>
              <w:rPr>
                <w:rFonts w:eastAsiaTheme="minorEastAsia"/>
                <w:sz w:val="20"/>
                <w:lang w:eastAsia="zh-CN"/>
              </w:rPr>
            </w:pPr>
            <w:r w:rsidRPr="009635D2">
              <w:rPr>
                <w:rFonts w:eastAsiaTheme="minorEastAsia"/>
                <w:sz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26.83</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8D2FE1">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8D2FE1">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35.03</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8D2FE1">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12.01</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8D2FE1">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40.49</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8D2FE1">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18.12</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8D2FE1">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40.51</w:t>
            </w:r>
          </w:p>
        </w:tc>
        <w:tc>
          <w:tcPr>
            <w:tcW w:w="0" w:type="auto"/>
            <w:tcBorders>
              <w:top w:val="single" w:sz="4" w:space="0" w:color="auto"/>
              <w:left w:val="single" w:sz="4" w:space="0" w:color="auto"/>
              <w:bottom w:val="single" w:sz="4" w:space="0" w:color="auto"/>
              <w:right w:val="single" w:sz="4" w:space="0" w:color="auto"/>
            </w:tcBorders>
            <w:vAlign w:val="center"/>
          </w:tcPr>
          <w:p w:rsidR="00F2323A" w:rsidRDefault="009635D2" w:rsidP="008D2FE1">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23.24</w:t>
            </w:r>
          </w:p>
        </w:tc>
      </w:tr>
      <w:tr w:rsidR="009635D2" w:rsidTr="008D2FE1">
        <w:trPr>
          <w:jc w:val="center"/>
        </w:trPr>
        <w:tc>
          <w:tcPr>
            <w:tcW w:w="0" w:type="auto"/>
            <w:vMerge/>
            <w:tcBorders>
              <w:left w:val="single" w:sz="4" w:space="0" w:color="auto"/>
              <w:right w:val="single" w:sz="4" w:space="0" w:color="auto"/>
            </w:tcBorders>
          </w:tcPr>
          <w:p w:rsidR="009635D2" w:rsidRDefault="009635D2" w:rsidP="009635D2">
            <w:pPr>
              <w:spacing w:before="120"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rsidR="009635D2" w:rsidRPr="009635D2" w:rsidRDefault="009635D2" w:rsidP="009635D2">
            <w:pPr>
              <w:spacing w:before="120" w:after="120"/>
              <w:rPr>
                <w:rFonts w:eastAsiaTheme="minorEastAsia"/>
                <w:sz w:val="20"/>
                <w:lang w:eastAsia="zh-CN"/>
              </w:rPr>
            </w:pPr>
            <w:r w:rsidRPr="009635D2">
              <w:rPr>
                <w:rFonts w:eastAsiaTheme="minorEastAsia" w:hint="eastAsia"/>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33.62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8.18</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44.23</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20.70</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48.09</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27.46</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50.19</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31.79</w:t>
            </w:r>
          </w:p>
        </w:tc>
      </w:tr>
      <w:tr w:rsidR="009635D2" w:rsidTr="008D2FE1">
        <w:trPr>
          <w:jc w:val="center"/>
        </w:trPr>
        <w:tc>
          <w:tcPr>
            <w:tcW w:w="0" w:type="auto"/>
            <w:vMerge w:val="restart"/>
            <w:tcBorders>
              <w:left w:val="single" w:sz="4" w:space="0" w:color="auto"/>
              <w:right w:val="single" w:sz="4" w:space="0" w:color="auto"/>
            </w:tcBorders>
          </w:tcPr>
          <w:p w:rsidR="009635D2" w:rsidRDefault="009635D2" w:rsidP="009635D2">
            <w:pPr>
              <w:spacing w:before="120" w:after="120"/>
              <w:rPr>
                <w:rFonts w:eastAsiaTheme="minorEastAsia"/>
                <w:lang w:eastAsia="zh-CN"/>
              </w:rPr>
            </w:pPr>
            <w:r>
              <w:rPr>
                <w:rFonts w:eastAsiaTheme="minorEastAsia" w:hint="eastAsia"/>
                <w:lang w:eastAsia="zh-CN"/>
              </w:rPr>
              <w:t>U</w:t>
            </w:r>
            <w:r>
              <w:rPr>
                <w:rFonts w:eastAsiaTheme="minorEastAsia"/>
                <w:lang w:eastAsia="zh-CN"/>
              </w:rPr>
              <w:t>Mi</w:t>
            </w:r>
          </w:p>
        </w:tc>
        <w:tc>
          <w:tcPr>
            <w:tcW w:w="0" w:type="auto"/>
            <w:tcBorders>
              <w:top w:val="single" w:sz="4" w:space="0" w:color="auto"/>
              <w:left w:val="single" w:sz="4" w:space="0" w:color="auto"/>
              <w:bottom w:val="single" w:sz="4" w:space="0" w:color="auto"/>
              <w:right w:val="single" w:sz="4" w:space="0" w:color="auto"/>
            </w:tcBorders>
          </w:tcPr>
          <w:p w:rsidR="009635D2" w:rsidRPr="009635D2" w:rsidRDefault="009635D2" w:rsidP="009635D2">
            <w:pPr>
              <w:spacing w:before="120" w:after="120"/>
              <w:rPr>
                <w:rFonts w:eastAsiaTheme="minorEastAsia"/>
                <w:sz w:val="20"/>
                <w:lang w:eastAsia="zh-CN"/>
              </w:rPr>
            </w:pPr>
            <w:r>
              <w:rPr>
                <w:rFonts w:eastAsiaTheme="minorEastAsia"/>
                <w:sz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5.60</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2.86</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7.42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7</w:t>
            </w:r>
            <w:r>
              <w:rPr>
                <w:rFonts w:eastAsiaTheme="minorEastAsia"/>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.28</w:t>
            </w:r>
          </w:p>
        </w:tc>
      </w:tr>
      <w:tr w:rsidR="009635D2" w:rsidTr="008D2FE1">
        <w:trPr>
          <w:jc w:val="center"/>
        </w:trPr>
        <w:tc>
          <w:tcPr>
            <w:tcW w:w="0" w:type="auto"/>
            <w:vMerge/>
            <w:tcBorders>
              <w:left w:val="single" w:sz="4" w:space="0" w:color="auto"/>
              <w:right w:val="single" w:sz="4" w:space="0" w:color="auto"/>
            </w:tcBorders>
          </w:tcPr>
          <w:p w:rsidR="009635D2" w:rsidRDefault="009635D2" w:rsidP="009635D2">
            <w:pPr>
              <w:spacing w:before="120"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rsidR="009635D2" w:rsidRPr="009635D2" w:rsidRDefault="009635D2" w:rsidP="009635D2">
            <w:pPr>
              <w:spacing w:before="120" w:after="120"/>
              <w:rPr>
                <w:rFonts w:eastAsiaTheme="minorEastAsia"/>
                <w:sz w:val="20"/>
                <w:lang w:eastAsia="zh-CN"/>
              </w:rPr>
            </w:pPr>
            <w:r>
              <w:rPr>
                <w:rFonts w:eastAsiaTheme="minorEastAsia" w:hint="eastAsia"/>
                <w:sz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13.33</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sz w:val="18"/>
                <w:szCs w:val="18"/>
                <w:lang w:eastAsia="zh-CN"/>
              </w:rPr>
              <w:t>-22.10</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4.62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sz w:val="18"/>
                <w:szCs w:val="18"/>
                <w:lang w:eastAsia="zh-CN"/>
              </w:rPr>
              <w:t>-27.64</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11.62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sz w:val="18"/>
                <w:szCs w:val="18"/>
                <w:lang w:eastAsia="zh-CN"/>
              </w:rPr>
              <w:t>-29.00</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17.97</w:t>
            </w:r>
          </w:p>
        </w:tc>
      </w:tr>
      <w:tr w:rsidR="009635D2" w:rsidTr="008D2FE1">
        <w:trPr>
          <w:jc w:val="center"/>
        </w:trPr>
        <w:tc>
          <w:tcPr>
            <w:tcW w:w="0" w:type="auto"/>
            <w:vMerge/>
            <w:tcBorders>
              <w:left w:val="single" w:sz="4" w:space="0" w:color="auto"/>
              <w:right w:val="single" w:sz="4" w:space="0" w:color="auto"/>
            </w:tcBorders>
          </w:tcPr>
          <w:p w:rsidR="009635D2" w:rsidRDefault="009635D2" w:rsidP="009635D2">
            <w:pPr>
              <w:spacing w:before="120"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rsidR="009635D2" w:rsidRPr="009635D2" w:rsidRDefault="009635D2" w:rsidP="009635D2">
            <w:pPr>
              <w:spacing w:before="120" w:after="120"/>
              <w:rPr>
                <w:rFonts w:eastAsiaTheme="minorEastAsia"/>
                <w:sz w:val="20"/>
                <w:lang w:eastAsia="zh-CN"/>
              </w:rPr>
            </w:pPr>
            <w:r w:rsidRPr="009635D2">
              <w:rPr>
                <w:rFonts w:eastAsiaTheme="minorEastAsia" w:hint="eastAsia"/>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22.05</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0.31</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37.92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19.12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39.27</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25.23</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43.78</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9635D2"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30.35</w:t>
            </w:r>
          </w:p>
        </w:tc>
      </w:tr>
      <w:tr w:rsidR="009635D2" w:rsidTr="008D2FE1">
        <w:trPr>
          <w:jc w:val="center"/>
        </w:trPr>
        <w:tc>
          <w:tcPr>
            <w:tcW w:w="0" w:type="auto"/>
            <w:vMerge w:val="restart"/>
            <w:tcBorders>
              <w:left w:val="single" w:sz="4" w:space="0" w:color="auto"/>
              <w:right w:val="single" w:sz="4" w:space="0" w:color="auto"/>
            </w:tcBorders>
          </w:tcPr>
          <w:p w:rsidR="009635D2" w:rsidRDefault="009635D2" w:rsidP="009635D2">
            <w:pPr>
              <w:spacing w:before="120" w:after="120"/>
              <w:rPr>
                <w:rFonts w:eastAsiaTheme="minorEastAsia"/>
                <w:lang w:eastAsia="zh-CN"/>
              </w:rPr>
            </w:pPr>
            <w:r>
              <w:rPr>
                <w:rFonts w:eastAsiaTheme="minorEastAsia"/>
                <w:lang w:eastAsia="zh-CN"/>
              </w:rPr>
              <w:t>InH</w:t>
            </w:r>
          </w:p>
        </w:tc>
        <w:tc>
          <w:tcPr>
            <w:tcW w:w="0" w:type="auto"/>
            <w:tcBorders>
              <w:top w:val="single" w:sz="4" w:space="0" w:color="auto"/>
              <w:left w:val="single" w:sz="4" w:space="0" w:color="auto"/>
              <w:bottom w:val="single" w:sz="4" w:space="0" w:color="auto"/>
              <w:right w:val="single" w:sz="4" w:space="0" w:color="auto"/>
            </w:tcBorders>
          </w:tcPr>
          <w:p w:rsidR="009635D2" w:rsidRPr="009635D2" w:rsidRDefault="000E224E" w:rsidP="009635D2">
            <w:pPr>
              <w:spacing w:before="120" w:after="120"/>
              <w:rPr>
                <w:rFonts w:eastAsiaTheme="minorEastAsia"/>
                <w:sz w:val="20"/>
                <w:lang w:eastAsia="zh-CN"/>
              </w:rPr>
            </w:pPr>
            <w:r>
              <w:rPr>
                <w:rFonts w:eastAsiaTheme="minorEastAsia" w:hint="eastAsia"/>
                <w:sz w:val="20"/>
                <w:lang w:eastAsia="zh-CN"/>
              </w:rPr>
              <w:t>0</w:t>
            </w:r>
            <w:r>
              <w:rPr>
                <w:rFonts w:eastAsiaTheme="minorEastAsia"/>
                <w:sz w:val="20"/>
                <w:lang w:eastAsia="zh-CN"/>
              </w:rPr>
              <w:t xml:space="preserve"> (with power control)</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9.84</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5.42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5.02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9.59</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1.64</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6.91</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8</w:t>
            </w:r>
            <w:r>
              <w:rPr>
                <w:rFonts w:eastAsiaTheme="minorEastAsia"/>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sz w:val="18"/>
                <w:szCs w:val="18"/>
                <w:lang w:eastAsia="zh-CN"/>
              </w:rPr>
              <w:t>14.84</w:t>
            </w:r>
          </w:p>
        </w:tc>
      </w:tr>
      <w:tr w:rsidR="000E224E" w:rsidTr="008D2FE1">
        <w:trPr>
          <w:jc w:val="center"/>
        </w:trPr>
        <w:tc>
          <w:tcPr>
            <w:tcW w:w="0" w:type="auto"/>
            <w:vMerge/>
            <w:tcBorders>
              <w:left w:val="single" w:sz="4" w:space="0" w:color="auto"/>
              <w:right w:val="single" w:sz="4" w:space="0" w:color="auto"/>
            </w:tcBorders>
          </w:tcPr>
          <w:p w:rsidR="000E224E" w:rsidRDefault="000E224E" w:rsidP="009635D2">
            <w:pPr>
              <w:spacing w:before="120"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rsidR="000E224E" w:rsidRPr="009635D2" w:rsidRDefault="000E224E" w:rsidP="009635D2">
            <w:pPr>
              <w:spacing w:before="120" w:after="120"/>
              <w:rPr>
                <w:rFonts w:eastAsiaTheme="minorEastAsia"/>
                <w:sz w:val="20"/>
                <w:lang w:eastAsia="zh-CN"/>
              </w:rPr>
            </w:pPr>
            <w:r>
              <w:rPr>
                <w:rFonts w:eastAsiaTheme="minorEastAsia" w:hint="eastAsia"/>
                <w:sz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5.64</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1.27</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9.00</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4.48</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11.20</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5.65</w:t>
            </w:r>
          </w:p>
        </w:tc>
      </w:tr>
      <w:tr w:rsidR="009635D2" w:rsidTr="008D2FE1">
        <w:trPr>
          <w:jc w:val="center"/>
        </w:trPr>
        <w:tc>
          <w:tcPr>
            <w:tcW w:w="0" w:type="auto"/>
            <w:vMerge/>
            <w:tcBorders>
              <w:left w:val="single" w:sz="4" w:space="0" w:color="auto"/>
              <w:bottom w:val="single" w:sz="4" w:space="0" w:color="auto"/>
              <w:right w:val="single" w:sz="4" w:space="0" w:color="auto"/>
            </w:tcBorders>
          </w:tcPr>
          <w:p w:rsidR="009635D2" w:rsidRDefault="009635D2" w:rsidP="009635D2">
            <w:pPr>
              <w:spacing w:before="120" w:after="12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rsidR="009635D2" w:rsidRPr="009635D2" w:rsidRDefault="000E224E" w:rsidP="009635D2">
            <w:pPr>
              <w:spacing w:before="120" w:after="120"/>
              <w:rPr>
                <w:rFonts w:eastAsiaTheme="minorEastAsia"/>
                <w:sz w:val="20"/>
                <w:lang w:eastAsia="zh-CN"/>
              </w:rPr>
            </w:pPr>
            <w:r>
              <w:rPr>
                <w:rFonts w:eastAsiaTheme="minorEastAsia" w:hint="eastAsia"/>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0E224E" w:rsidRDefault="000E224E" w:rsidP="000E224E">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6.62</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sz w:val="18"/>
                <w:szCs w:val="18"/>
                <w:lang w:eastAsia="zh-CN"/>
              </w:rPr>
              <w:t>0.61</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13.90</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10.56</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18.44</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13.08</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20.94</w:t>
            </w:r>
          </w:p>
        </w:tc>
        <w:tc>
          <w:tcPr>
            <w:tcW w:w="0" w:type="auto"/>
            <w:tcBorders>
              <w:top w:val="single" w:sz="4" w:space="0" w:color="auto"/>
              <w:left w:val="single" w:sz="4" w:space="0" w:color="auto"/>
              <w:bottom w:val="single" w:sz="4" w:space="0" w:color="auto"/>
              <w:right w:val="single" w:sz="4" w:space="0" w:color="auto"/>
            </w:tcBorders>
            <w:vAlign w:val="center"/>
          </w:tcPr>
          <w:p w:rsidR="009635D2" w:rsidRDefault="000E224E" w:rsidP="009635D2">
            <w:pPr>
              <w:spacing w:before="120" w:after="12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15.21</w:t>
            </w:r>
          </w:p>
        </w:tc>
      </w:tr>
    </w:tbl>
    <w:p w:rsidR="00F7630A" w:rsidRDefault="00F7630A" w:rsidP="00F7630A">
      <w:pPr>
        <w:spacing w:before="120" w:after="120"/>
        <w:rPr>
          <w:rFonts w:eastAsiaTheme="minorEastAsia"/>
          <w:lang w:eastAsia="zh-CN"/>
        </w:rPr>
      </w:pPr>
      <w:r>
        <w:rPr>
          <w:rFonts w:eastAsiaTheme="minorEastAsia"/>
          <w:lang w:eastAsia="zh-CN"/>
        </w:rPr>
        <w:lastRenderedPageBreak/>
        <w:t xml:space="preserve">Although the results are changed somehow, the observations are still similar as we made in our paper for RAN4#97 [3]. </w:t>
      </w:r>
    </w:p>
    <w:p w:rsidR="00F7630A" w:rsidRDefault="00F7630A" w:rsidP="00F7630A">
      <w:pPr>
        <w:spacing w:before="120" w:after="120"/>
        <w:rPr>
          <w:rFonts w:eastAsiaTheme="minorEastAsia"/>
          <w:b/>
          <w:lang w:eastAsia="zh-CN"/>
        </w:rPr>
      </w:pPr>
      <w:r>
        <w:rPr>
          <w:rFonts w:eastAsiaTheme="minorEastAsia"/>
          <w:b/>
          <w:lang w:eastAsia="zh-CN"/>
        </w:rPr>
        <w:t>Observation 1: the Es/Iot condition is quite dependent on the deployment scenario</w:t>
      </w:r>
    </w:p>
    <w:p w:rsidR="00F7630A" w:rsidRDefault="00F7630A" w:rsidP="00F7630A">
      <w:pPr>
        <w:spacing w:before="120" w:after="120"/>
        <w:rPr>
          <w:rFonts w:eastAsiaTheme="minorEastAsia"/>
          <w:lang w:eastAsia="zh-CN"/>
        </w:rPr>
      </w:pPr>
      <w:r>
        <w:rPr>
          <w:rFonts w:eastAsiaTheme="minorEastAsia"/>
          <w:lang w:eastAsia="zh-CN"/>
        </w:rPr>
        <w:t>For example, for UMa, the Es/Iot condition is quite low even in the interference-free scenario. This is due to the large distance between UE and gNB and small Tx power of the UE compared to gNB. While for InH the Es/Iot is quite high if there is no interference from other positioning UEs.</w:t>
      </w:r>
    </w:p>
    <w:p w:rsidR="00F7630A" w:rsidRDefault="00F7630A" w:rsidP="00F7630A">
      <w:pPr>
        <w:spacing w:before="120" w:after="120"/>
        <w:rPr>
          <w:rFonts w:eastAsiaTheme="minorEastAsia"/>
          <w:b/>
          <w:lang w:eastAsia="zh-CN"/>
        </w:rPr>
      </w:pPr>
      <w:r>
        <w:rPr>
          <w:rFonts w:eastAsiaTheme="minorEastAsia"/>
          <w:b/>
          <w:lang w:eastAsia="zh-CN"/>
        </w:rPr>
        <w:t xml:space="preserve">Observation 2: the Es/Iot condition is quite dependent on the interference </w:t>
      </w:r>
    </w:p>
    <w:p w:rsidR="00F7630A" w:rsidRDefault="00F7630A" w:rsidP="00F7630A">
      <w:pPr>
        <w:spacing w:before="120" w:after="120"/>
        <w:rPr>
          <w:rFonts w:eastAsiaTheme="minorEastAsia"/>
          <w:lang w:eastAsia="zh-CN"/>
        </w:rPr>
      </w:pPr>
      <w:r>
        <w:rPr>
          <w:rFonts w:eastAsiaTheme="minorEastAsia"/>
          <w:lang w:eastAsia="zh-CN"/>
        </w:rPr>
        <w:t>For example, for UMi and InH, Es/Iot is high if inter-cell interference is not present (this could happen if positioning gNBs coordinate with each other on the SRS configuration), but in case inter-cell interference is there, the Es/Iot condition degrades a lot (can be up to 30dB).</w:t>
      </w:r>
    </w:p>
    <w:p w:rsidR="00F7630A" w:rsidRDefault="00F7630A" w:rsidP="00F7630A">
      <w:pPr>
        <w:spacing w:before="120" w:after="120"/>
        <w:rPr>
          <w:rFonts w:eastAsiaTheme="minorEastAsia"/>
          <w:b/>
          <w:lang w:eastAsia="zh-CN"/>
        </w:rPr>
      </w:pPr>
      <w:r>
        <w:rPr>
          <w:rFonts w:eastAsiaTheme="minorEastAsia"/>
          <w:b/>
          <w:lang w:eastAsia="zh-CN"/>
        </w:rPr>
        <w:t>Observation 3: the Es/Iot condition is also different for different cells</w:t>
      </w:r>
    </w:p>
    <w:p w:rsidR="000E2734" w:rsidRPr="000E2734" w:rsidRDefault="00F7630A" w:rsidP="00F7630A">
      <w:pPr>
        <w:spacing w:before="120" w:after="120"/>
        <w:rPr>
          <w:rFonts w:eastAsiaTheme="minorEastAsia"/>
          <w:lang w:eastAsia="zh-CN"/>
        </w:rPr>
      </w:pPr>
      <w:r>
        <w:rPr>
          <w:rFonts w:eastAsiaTheme="minorEastAsia"/>
          <w:lang w:eastAsia="zh-CN"/>
        </w:rPr>
        <w:t>The difference between the 1</w:t>
      </w:r>
      <w:r>
        <w:rPr>
          <w:rFonts w:eastAsiaTheme="minorEastAsia"/>
          <w:vertAlign w:val="superscript"/>
          <w:lang w:eastAsia="zh-CN"/>
        </w:rPr>
        <w:t>st</w:t>
      </w:r>
      <w:r>
        <w:rPr>
          <w:rFonts w:eastAsiaTheme="minorEastAsia"/>
          <w:lang w:eastAsia="zh-CN"/>
        </w:rPr>
        <w:t xml:space="preserve"> strongest and 4</w:t>
      </w:r>
      <w:r>
        <w:rPr>
          <w:rFonts w:eastAsiaTheme="minorEastAsia"/>
          <w:vertAlign w:val="superscript"/>
          <w:lang w:eastAsia="zh-CN"/>
        </w:rPr>
        <w:t>th</w:t>
      </w:r>
      <w:r>
        <w:rPr>
          <w:rFonts w:eastAsiaTheme="minorEastAsia"/>
          <w:lang w:eastAsia="zh-CN"/>
        </w:rPr>
        <w:t xml:space="preserve"> strongest cell can be more than 15dB.</w:t>
      </w:r>
    </w:p>
    <w:p w:rsidR="000E2734" w:rsidRPr="000E2734" w:rsidRDefault="000E2734" w:rsidP="00F7630A">
      <w:pPr>
        <w:spacing w:before="120" w:after="120"/>
        <w:rPr>
          <w:rFonts w:eastAsiaTheme="minorEastAsia"/>
          <w:lang w:val="en-US" w:eastAsia="zh-CN"/>
        </w:rPr>
      </w:pPr>
      <w:r>
        <w:rPr>
          <w:rFonts w:eastAsiaTheme="minorEastAsia"/>
          <w:lang w:val="en-US" w:eastAsia="zh-CN"/>
        </w:rPr>
        <w:t>It is noted that w</w:t>
      </w:r>
      <w:r w:rsidRPr="000E2734">
        <w:rPr>
          <w:rFonts w:eastAsiaTheme="minorEastAsia"/>
          <w:lang w:val="en-US" w:eastAsia="zh-CN"/>
        </w:rPr>
        <w:t>e only simulated 100MHz BW, and it can be expected that the Es/Iot will improve with small BW, especially for power limited scenarios like UMa. Assuming UE is already transmitting at max power, halving the BW can give roughly a 3dB increase in Es/Iot due to reduced noise power.</w:t>
      </w:r>
    </w:p>
    <w:p w:rsidR="00F7630A" w:rsidRDefault="00F7630A" w:rsidP="00F7630A">
      <w:pPr>
        <w:spacing w:before="120" w:after="120"/>
        <w:rPr>
          <w:rFonts w:eastAsiaTheme="minorEastAsia"/>
          <w:lang w:eastAsia="zh-CN"/>
        </w:rPr>
      </w:pPr>
      <w:r>
        <w:rPr>
          <w:rFonts w:eastAsiaTheme="minorEastAsia"/>
          <w:lang w:eastAsia="zh-CN"/>
        </w:rPr>
        <w:t>Based on Table 1, we suggest to define more than one Es/Iot conditions for gNB positioning requirements. One set of condition corresponds to low Es/Iot scenarios, e.g. -15dB or -16.9dB as in LTE, and another set corresponds to high Es/Iot scenarios, e.g. 3dB.</w:t>
      </w:r>
    </w:p>
    <w:p w:rsidR="00F7630A" w:rsidRDefault="00F7630A" w:rsidP="00F7630A">
      <w:pPr>
        <w:spacing w:before="120" w:after="120"/>
        <w:rPr>
          <w:rFonts w:eastAsiaTheme="minorEastAsia"/>
          <w:b/>
          <w:lang w:eastAsia="zh-CN"/>
        </w:rPr>
      </w:pPr>
      <w:r>
        <w:rPr>
          <w:rFonts w:eastAsiaTheme="minorEastAsia"/>
          <w:b/>
          <w:lang w:eastAsia="zh-CN"/>
        </w:rPr>
        <w:t xml:space="preserve">Proposal </w:t>
      </w:r>
      <w:r w:rsidR="000E2734">
        <w:rPr>
          <w:rFonts w:eastAsiaTheme="minorEastAsia"/>
          <w:b/>
          <w:lang w:eastAsia="zh-CN"/>
        </w:rPr>
        <w:t>2</w:t>
      </w:r>
      <w:r>
        <w:rPr>
          <w:rFonts w:eastAsiaTheme="minorEastAsia"/>
          <w:b/>
          <w:lang w:eastAsia="zh-CN"/>
        </w:rPr>
        <w:t xml:space="preserve">: Define two sets of Es/Iot conditions for gNB positioning requirements at -15dB and 3dB, respectively. </w:t>
      </w:r>
    </w:p>
    <w:p w:rsidR="00000FC6" w:rsidRDefault="00000FC6" w:rsidP="00350DA5">
      <w:pPr>
        <w:pStyle w:val="2"/>
        <w:rPr>
          <w:lang w:eastAsia="zh-CN"/>
        </w:rPr>
      </w:pPr>
      <w:r>
        <w:rPr>
          <w:lang w:eastAsia="zh-CN"/>
        </w:rPr>
        <w:t>Beam configuration</w:t>
      </w:r>
    </w:p>
    <w:tbl>
      <w:tblPr>
        <w:tblStyle w:val="af4"/>
        <w:tblW w:w="0" w:type="auto"/>
        <w:tblLook w:val="04A0" w:firstRow="1" w:lastRow="0" w:firstColumn="1" w:lastColumn="0" w:noHBand="0" w:noVBand="1"/>
      </w:tblPr>
      <w:tblGrid>
        <w:gridCol w:w="9621"/>
      </w:tblGrid>
      <w:tr w:rsidR="00350DA5" w:rsidTr="00350DA5">
        <w:tc>
          <w:tcPr>
            <w:tcW w:w="9621" w:type="dxa"/>
          </w:tcPr>
          <w:p w:rsidR="00CE1E1B" w:rsidRPr="00350DA5" w:rsidRDefault="00CE1E1B" w:rsidP="00350DA5">
            <w:pPr>
              <w:numPr>
                <w:ilvl w:val="0"/>
                <w:numId w:val="28"/>
              </w:numPr>
              <w:spacing w:before="120" w:after="120"/>
              <w:rPr>
                <w:rFonts w:eastAsia="宋体"/>
                <w:lang w:val="en-US" w:eastAsia="zh-CN"/>
              </w:rPr>
            </w:pPr>
            <w:r w:rsidRPr="00350DA5">
              <w:rPr>
                <w:rFonts w:eastAsia="宋体"/>
                <w:lang w:val="en-US" w:eastAsia="zh-CN"/>
              </w:rPr>
              <w:t>Antenna beam configuration assumption for gNB positioning measurement accuracy follows the approach used in BS specifications: TS 38.104 and TS 38.141-1/2.</w:t>
            </w:r>
          </w:p>
          <w:p w:rsidR="00CE1E1B" w:rsidRPr="00350DA5" w:rsidRDefault="00CE1E1B" w:rsidP="00350DA5">
            <w:pPr>
              <w:numPr>
                <w:ilvl w:val="0"/>
                <w:numId w:val="28"/>
              </w:numPr>
              <w:spacing w:before="120" w:after="120"/>
              <w:rPr>
                <w:rFonts w:eastAsia="宋体"/>
                <w:lang w:val="en-US" w:eastAsia="zh-CN"/>
              </w:rPr>
            </w:pPr>
            <w:r w:rsidRPr="00350DA5">
              <w:rPr>
                <w:rFonts w:eastAsia="宋体"/>
                <w:lang w:val="en-US" w:eastAsia="zh-CN"/>
              </w:rPr>
              <w:t>FFS: which of following options correspond to antenna beam configuration assumption in BS specifications for defining gNB positioning measurement accuracy:</w:t>
            </w:r>
          </w:p>
          <w:p w:rsidR="00CE1E1B" w:rsidRPr="00350DA5" w:rsidRDefault="00CE1E1B" w:rsidP="00350DA5">
            <w:pPr>
              <w:numPr>
                <w:ilvl w:val="1"/>
                <w:numId w:val="28"/>
              </w:numPr>
              <w:spacing w:before="120" w:after="120"/>
              <w:rPr>
                <w:rFonts w:eastAsia="宋体"/>
                <w:lang w:val="en-US" w:eastAsia="zh-CN"/>
              </w:rPr>
            </w:pPr>
            <w:r w:rsidRPr="00350DA5">
              <w:rPr>
                <w:rFonts w:eastAsia="宋体"/>
                <w:lang w:val="en-US" w:eastAsia="zh-CN"/>
              </w:rPr>
              <w:t xml:space="preserve">Option 1: </w:t>
            </w:r>
          </w:p>
          <w:p w:rsidR="00CE1E1B" w:rsidRPr="00350DA5" w:rsidRDefault="00CE1E1B" w:rsidP="00350DA5">
            <w:pPr>
              <w:numPr>
                <w:ilvl w:val="2"/>
                <w:numId w:val="28"/>
              </w:numPr>
              <w:spacing w:before="120" w:after="120"/>
              <w:rPr>
                <w:rFonts w:eastAsia="宋体"/>
                <w:lang w:val="en-US" w:eastAsia="zh-CN"/>
              </w:rPr>
            </w:pPr>
            <w:r w:rsidRPr="00350DA5">
              <w:rPr>
                <w:rFonts w:eastAsia="宋体"/>
                <w:lang w:val="en-US" w:eastAsia="zh-CN"/>
              </w:rPr>
              <w:t>Fixed antenna beams are assumed in gNB for deriving accuracy</w:t>
            </w:r>
          </w:p>
          <w:p w:rsidR="00CE1E1B" w:rsidRPr="00350DA5" w:rsidRDefault="00CE1E1B" w:rsidP="00350DA5">
            <w:pPr>
              <w:numPr>
                <w:ilvl w:val="1"/>
                <w:numId w:val="28"/>
              </w:numPr>
              <w:spacing w:before="120" w:after="120"/>
              <w:rPr>
                <w:rFonts w:eastAsia="宋体"/>
                <w:lang w:val="en-US" w:eastAsia="zh-CN"/>
              </w:rPr>
            </w:pPr>
            <w:r w:rsidRPr="00350DA5">
              <w:rPr>
                <w:rFonts w:eastAsia="宋体"/>
                <w:lang w:val="en-US" w:eastAsia="zh-CN"/>
              </w:rPr>
              <w:t xml:space="preserve">Option 2: </w:t>
            </w:r>
          </w:p>
          <w:p w:rsidR="00CE1E1B" w:rsidRPr="00350DA5" w:rsidRDefault="00CE1E1B" w:rsidP="00350DA5">
            <w:pPr>
              <w:numPr>
                <w:ilvl w:val="2"/>
                <w:numId w:val="28"/>
              </w:numPr>
              <w:spacing w:before="120" w:after="120"/>
              <w:rPr>
                <w:rFonts w:eastAsia="宋体"/>
                <w:lang w:val="en-US" w:eastAsia="zh-CN"/>
              </w:rPr>
            </w:pPr>
            <w:r w:rsidRPr="00350DA5">
              <w:rPr>
                <w:rFonts w:eastAsia="宋体"/>
                <w:lang w:val="en-US" w:eastAsia="zh-CN"/>
              </w:rPr>
              <w:t xml:space="preserve">Accuracy does not depend on antenna beam configuration in gNB i.e. do not assume fixed gNB antenna beams </w:t>
            </w:r>
          </w:p>
          <w:p w:rsidR="00CE1E1B" w:rsidRPr="00350DA5" w:rsidRDefault="00CE1E1B" w:rsidP="00350DA5">
            <w:pPr>
              <w:numPr>
                <w:ilvl w:val="1"/>
                <w:numId w:val="28"/>
              </w:numPr>
              <w:spacing w:before="120" w:after="120"/>
              <w:rPr>
                <w:rFonts w:eastAsia="宋体"/>
                <w:lang w:val="en-US" w:eastAsia="zh-CN"/>
              </w:rPr>
            </w:pPr>
            <w:r w:rsidRPr="00350DA5">
              <w:rPr>
                <w:rFonts w:eastAsia="宋体"/>
                <w:lang w:eastAsia="zh-CN"/>
              </w:rPr>
              <w:t xml:space="preserve">Option 3: </w:t>
            </w:r>
          </w:p>
          <w:p w:rsidR="00CE1E1B" w:rsidRPr="00350DA5" w:rsidRDefault="00CE1E1B" w:rsidP="00350DA5">
            <w:pPr>
              <w:numPr>
                <w:ilvl w:val="2"/>
                <w:numId w:val="28"/>
              </w:numPr>
              <w:spacing w:before="120" w:after="120"/>
              <w:rPr>
                <w:rFonts w:eastAsia="宋体"/>
                <w:lang w:val="en-US" w:eastAsia="zh-CN"/>
              </w:rPr>
            </w:pPr>
            <w:r w:rsidRPr="00350DA5">
              <w:rPr>
                <w:rFonts w:eastAsia="宋体"/>
                <w:lang w:eastAsia="zh-CN"/>
              </w:rPr>
              <w:t>gNB antenna beam configuration is not needed in the requirement definition</w:t>
            </w:r>
          </w:p>
          <w:p w:rsidR="00CE1E1B" w:rsidRPr="00350DA5" w:rsidRDefault="00CE1E1B" w:rsidP="00350DA5">
            <w:pPr>
              <w:numPr>
                <w:ilvl w:val="0"/>
                <w:numId w:val="28"/>
              </w:numPr>
              <w:spacing w:before="120" w:after="120"/>
              <w:rPr>
                <w:rFonts w:eastAsia="宋体"/>
                <w:lang w:val="en-US" w:eastAsia="zh-CN"/>
              </w:rPr>
            </w:pPr>
            <w:r w:rsidRPr="00350DA5">
              <w:rPr>
                <w:rFonts w:eastAsia="宋体"/>
                <w:lang w:eastAsia="zh-CN"/>
              </w:rPr>
              <w:t>Candidate options if the above option 1 is adopted:</w:t>
            </w:r>
          </w:p>
          <w:p w:rsidR="00CE1E1B" w:rsidRPr="00350DA5" w:rsidRDefault="00CE1E1B" w:rsidP="00350DA5">
            <w:pPr>
              <w:numPr>
                <w:ilvl w:val="1"/>
                <w:numId w:val="28"/>
              </w:numPr>
              <w:spacing w:before="120" w:after="120"/>
              <w:rPr>
                <w:rFonts w:eastAsia="宋体"/>
                <w:lang w:val="en-US" w:eastAsia="zh-CN"/>
              </w:rPr>
            </w:pPr>
            <w:r w:rsidRPr="00350DA5">
              <w:rPr>
                <w:rFonts w:eastAsia="宋体"/>
                <w:lang w:val="en-US" w:eastAsia="zh-CN"/>
              </w:rPr>
              <w:t xml:space="preserve">Option 1: </w:t>
            </w:r>
          </w:p>
          <w:p w:rsidR="00CE1E1B" w:rsidRPr="00350DA5" w:rsidRDefault="00CE1E1B" w:rsidP="00350DA5">
            <w:pPr>
              <w:numPr>
                <w:ilvl w:val="2"/>
                <w:numId w:val="28"/>
              </w:numPr>
              <w:spacing w:before="120" w:after="120"/>
              <w:rPr>
                <w:rFonts w:eastAsia="宋体"/>
                <w:lang w:val="en-US" w:eastAsia="zh-CN"/>
              </w:rPr>
            </w:pPr>
            <w:r w:rsidRPr="00350DA5">
              <w:rPr>
                <w:rFonts w:eastAsia="宋体"/>
                <w:lang w:val="en-US" w:eastAsia="zh-CN"/>
              </w:rPr>
              <w:t>Accuracy applies provided beam peak/main beam lobe is directed towards the UE in FR1 and FR2.</w:t>
            </w:r>
          </w:p>
          <w:p w:rsidR="00350DA5" w:rsidRPr="00350DA5" w:rsidRDefault="00CE1E1B" w:rsidP="00350DA5">
            <w:pPr>
              <w:numPr>
                <w:ilvl w:val="1"/>
                <w:numId w:val="28"/>
              </w:numPr>
              <w:spacing w:before="120" w:after="120"/>
              <w:rPr>
                <w:rFonts w:eastAsia="宋体"/>
                <w:lang w:val="en-US" w:eastAsia="zh-CN"/>
              </w:rPr>
            </w:pPr>
            <w:r w:rsidRPr="00350DA5">
              <w:rPr>
                <w:rFonts w:eastAsia="宋体"/>
                <w:lang w:val="en-US" w:eastAsia="zh-CN"/>
              </w:rPr>
              <w:t>Other options not precluded</w:t>
            </w:r>
          </w:p>
        </w:tc>
      </w:tr>
    </w:tbl>
    <w:p w:rsidR="00000FC6" w:rsidRDefault="00C20322" w:rsidP="00350DA5">
      <w:pPr>
        <w:spacing w:before="120" w:after="120"/>
        <w:rPr>
          <w:rFonts w:eastAsia="宋体"/>
          <w:lang w:eastAsia="zh-CN"/>
        </w:rPr>
      </w:pPr>
      <w:r>
        <w:rPr>
          <w:rFonts w:eastAsia="宋体"/>
          <w:lang w:eastAsia="zh-CN"/>
        </w:rPr>
        <w:t>In our view, for type 1-O and 2-O BS, the applicability of positioning measurement requirements in terms of spatial directions should follow the same approach as Refsens requirements in 38.104. In 38.104 we have the following requirements.</w:t>
      </w:r>
    </w:p>
    <w:tbl>
      <w:tblPr>
        <w:tblStyle w:val="af4"/>
        <w:tblW w:w="0" w:type="auto"/>
        <w:tblLook w:val="04A0" w:firstRow="1" w:lastRow="0" w:firstColumn="1" w:lastColumn="0" w:noHBand="0" w:noVBand="1"/>
      </w:tblPr>
      <w:tblGrid>
        <w:gridCol w:w="9621"/>
      </w:tblGrid>
      <w:tr w:rsidR="00C20322" w:rsidTr="00C20322">
        <w:tc>
          <w:tcPr>
            <w:tcW w:w="9621" w:type="dxa"/>
          </w:tcPr>
          <w:p w:rsidR="00C20322" w:rsidRPr="00C20322" w:rsidRDefault="00C20322" w:rsidP="00C20322">
            <w:pPr>
              <w:keepNext/>
              <w:keepLines/>
              <w:spacing w:beforeLines="0" w:before="180" w:afterLines="0" w:after="180"/>
              <w:outlineLvl w:val="1"/>
              <w:rPr>
                <w:rFonts w:ascii="Arial" w:eastAsia="等线" w:hAnsi="Arial"/>
                <w:sz w:val="32"/>
              </w:rPr>
            </w:pPr>
            <w:bookmarkStart w:id="1" w:name="_Toc21127705"/>
            <w:bookmarkStart w:id="2" w:name="_Toc29811914"/>
            <w:bookmarkStart w:id="3" w:name="_Toc36817466"/>
            <w:bookmarkStart w:id="4" w:name="_Toc37260388"/>
            <w:bookmarkStart w:id="5" w:name="_Toc37267776"/>
            <w:bookmarkStart w:id="6" w:name="_Toc44712382"/>
            <w:bookmarkStart w:id="7" w:name="_Toc45893694"/>
            <w:bookmarkStart w:id="8" w:name="_Toc53178408"/>
            <w:bookmarkStart w:id="9" w:name="_Toc53178859"/>
            <w:bookmarkStart w:id="10" w:name="_Toc61178110"/>
            <w:bookmarkStart w:id="11" w:name="_Toc61178582"/>
            <w:r w:rsidRPr="00C20322">
              <w:rPr>
                <w:rFonts w:ascii="Arial" w:eastAsia="等线" w:hAnsi="Arial"/>
                <w:sz w:val="32"/>
              </w:rPr>
              <w:lastRenderedPageBreak/>
              <w:t>10.3</w:t>
            </w:r>
            <w:r w:rsidRPr="00C20322">
              <w:rPr>
                <w:rFonts w:ascii="Arial" w:eastAsia="等线" w:hAnsi="Arial"/>
                <w:sz w:val="32"/>
              </w:rPr>
              <w:tab/>
              <w:t>OTA reference sensitivity level</w:t>
            </w:r>
            <w:bookmarkEnd w:id="1"/>
            <w:bookmarkEnd w:id="2"/>
            <w:bookmarkEnd w:id="3"/>
            <w:bookmarkEnd w:id="4"/>
            <w:bookmarkEnd w:id="5"/>
            <w:bookmarkEnd w:id="6"/>
            <w:bookmarkEnd w:id="7"/>
            <w:bookmarkEnd w:id="8"/>
            <w:bookmarkEnd w:id="9"/>
            <w:bookmarkEnd w:id="10"/>
            <w:bookmarkEnd w:id="11"/>
          </w:p>
          <w:p w:rsidR="00C20322" w:rsidRPr="00C20322" w:rsidRDefault="00C20322" w:rsidP="00C20322">
            <w:pPr>
              <w:keepNext/>
              <w:keepLines/>
              <w:spacing w:beforeLines="0" w:before="120" w:afterLines="0" w:after="180"/>
              <w:outlineLvl w:val="2"/>
              <w:rPr>
                <w:rFonts w:ascii="Arial" w:eastAsia="等线" w:hAnsi="Arial"/>
                <w:sz w:val="28"/>
              </w:rPr>
            </w:pPr>
            <w:bookmarkStart w:id="12" w:name="_Toc21127706"/>
            <w:bookmarkStart w:id="13" w:name="_Toc29811915"/>
            <w:bookmarkStart w:id="14" w:name="_Toc36817467"/>
            <w:bookmarkStart w:id="15" w:name="_Toc37260389"/>
            <w:bookmarkStart w:id="16" w:name="_Toc37267777"/>
            <w:bookmarkStart w:id="17" w:name="_Toc44712383"/>
            <w:bookmarkStart w:id="18" w:name="_Toc45893695"/>
            <w:bookmarkStart w:id="19" w:name="_Toc53178409"/>
            <w:bookmarkStart w:id="20" w:name="_Toc53178860"/>
            <w:bookmarkStart w:id="21" w:name="_Toc61178111"/>
            <w:bookmarkStart w:id="22" w:name="_Toc61178583"/>
            <w:bookmarkStart w:id="23" w:name="_Hlk500365921"/>
            <w:r w:rsidRPr="00C20322">
              <w:rPr>
                <w:rFonts w:ascii="Arial" w:eastAsia="等线" w:hAnsi="Arial"/>
                <w:sz w:val="28"/>
              </w:rPr>
              <w:t>10.3.1</w:t>
            </w:r>
            <w:r w:rsidRPr="00C20322">
              <w:rPr>
                <w:rFonts w:ascii="Arial" w:eastAsia="等线" w:hAnsi="Arial"/>
                <w:sz w:val="28"/>
              </w:rPr>
              <w:tab/>
              <w:t>General</w:t>
            </w:r>
            <w:bookmarkEnd w:id="12"/>
            <w:bookmarkEnd w:id="13"/>
            <w:bookmarkEnd w:id="14"/>
            <w:bookmarkEnd w:id="15"/>
            <w:bookmarkEnd w:id="16"/>
            <w:bookmarkEnd w:id="17"/>
            <w:bookmarkEnd w:id="18"/>
            <w:bookmarkEnd w:id="19"/>
            <w:bookmarkEnd w:id="20"/>
            <w:bookmarkEnd w:id="21"/>
            <w:bookmarkEnd w:id="22"/>
          </w:p>
          <w:p w:rsidR="00C20322" w:rsidRPr="00C20322" w:rsidRDefault="00C20322" w:rsidP="00C20322">
            <w:pPr>
              <w:spacing w:beforeLines="0" w:before="0" w:afterLines="0" w:after="180"/>
              <w:rPr>
                <w:rFonts w:eastAsia="等线"/>
                <w:sz w:val="20"/>
              </w:rPr>
            </w:pPr>
            <w:r w:rsidRPr="00C20322">
              <w:rPr>
                <w:rFonts w:eastAsia="等线"/>
                <w:sz w:val="20"/>
              </w:rPr>
              <w:t xml:space="preserve">The OTA REFSENS requirement is a </w:t>
            </w:r>
            <w:r w:rsidRPr="00C20322">
              <w:rPr>
                <w:rFonts w:eastAsia="等线"/>
                <w:i/>
                <w:sz w:val="20"/>
              </w:rPr>
              <w:t>directional requirement</w:t>
            </w:r>
            <w:r w:rsidRPr="00C20322">
              <w:rPr>
                <w:rFonts w:eastAsia="等线"/>
                <w:sz w:val="20"/>
              </w:rPr>
              <w:t xml:space="preserve"> and is intended to ensure the minimum OTA reference sensitivity level for a declared </w:t>
            </w:r>
            <w:r w:rsidRPr="00C20322">
              <w:rPr>
                <w:rFonts w:eastAsia="等线"/>
                <w:i/>
                <w:sz w:val="20"/>
              </w:rPr>
              <w:t>OTA REFSENS RoAoA</w:t>
            </w:r>
            <w:r w:rsidRPr="00C20322">
              <w:rPr>
                <w:rFonts w:eastAsia="等线"/>
                <w:sz w:val="20"/>
              </w:rPr>
              <w:t>. The OTA reference sensitivity power level EIS</w:t>
            </w:r>
            <w:r w:rsidRPr="00C20322">
              <w:rPr>
                <w:rFonts w:eastAsia="等线"/>
                <w:sz w:val="20"/>
                <w:vertAlign w:val="subscript"/>
              </w:rPr>
              <w:t>REFSENS</w:t>
            </w:r>
            <w:r w:rsidRPr="00C20322">
              <w:rPr>
                <w:rFonts w:eastAsia="等线"/>
                <w:sz w:val="20"/>
              </w:rPr>
              <w:t xml:space="preserve"> is the minimum mean power received at the RIB at which a reference performance requirement shall be met for a specified reference measurement channel.</w:t>
            </w:r>
          </w:p>
          <w:p w:rsidR="00C20322" w:rsidRPr="00C20322" w:rsidRDefault="00C20322" w:rsidP="00C20322">
            <w:pPr>
              <w:spacing w:beforeLines="0" w:before="0" w:afterLines="0" w:after="180"/>
              <w:rPr>
                <w:rFonts w:eastAsia="等线"/>
                <w:sz w:val="20"/>
              </w:rPr>
            </w:pPr>
            <w:r w:rsidRPr="00C20322">
              <w:rPr>
                <w:rFonts w:eastAsia="等线"/>
                <w:sz w:val="20"/>
              </w:rPr>
              <w:t xml:space="preserve">The OTA REFSENS requirement shall apply to each supported polarization, under the assumption of </w:t>
            </w:r>
            <w:r w:rsidRPr="00C20322">
              <w:rPr>
                <w:rFonts w:eastAsia="等线"/>
                <w:i/>
                <w:sz w:val="20"/>
              </w:rPr>
              <w:t>polarization match</w:t>
            </w:r>
            <w:r w:rsidRPr="00C20322">
              <w:rPr>
                <w:rFonts w:eastAsia="等线"/>
                <w:sz w:val="20"/>
              </w:rPr>
              <w:t>.</w:t>
            </w:r>
            <w:bookmarkEnd w:id="23"/>
          </w:p>
        </w:tc>
      </w:tr>
    </w:tbl>
    <w:p w:rsidR="00CE1E1B" w:rsidRDefault="00C20322" w:rsidP="00350DA5">
      <w:pPr>
        <w:spacing w:before="120" w:after="120"/>
        <w:rPr>
          <w:rFonts w:eastAsia="宋体"/>
          <w:lang w:eastAsia="zh-CN"/>
        </w:rPr>
      </w:pPr>
      <w:r>
        <w:rPr>
          <w:rFonts w:eastAsia="宋体"/>
          <w:lang w:eastAsia="zh-CN"/>
        </w:rPr>
        <w:t xml:space="preserve">It can be seen that the Refsens requirements are directional requirements, and are applicable for </w:t>
      </w:r>
      <w:r w:rsidRPr="00C20322">
        <w:rPr>
          <w:rFonts w:eastAsia="宋体"/>
          <w:lang w:eastAsia="zh-CN"/>
        </w:rPr>
        <w:t xml:space="preserve">a declared </w:t>
      </w:r>
      <w:r w:rsidRPr="00C20322">
        <w:rPr>
          <w:rFonts w:eastAsia="宋体"/>
          <w:i/>
          <w:lang w:eastAsia="zh-CN"/>
        </w:rPr>
        <w:t>OTA REFSENS RoAoA</w:t>
      </w:r>
      <w:r w:rsidRPr="00CE1E1B">
        <w:rPr>
          <w:rFonts w:eastAsia="宋体"/>
          <w:lang w:eastAsia="zh-CN"/>
        </w:rPr>
        <w:t xml:space="preserve">. It is </w:t>
      </w:r>
      <w:r w:rsidR="00CE1E1B" w:rsidRPr="00CE1E1B">
        <w:rPr>
          <w:rFonts w:eastAsia="宋体"/>
          <w:lang w:eastAsia="zh-CN"/>
        </w:rPr>
        <w:t>reasonable</w:t>
      </w:r>
      <w:r w:rsidRPr="00CE1E1B">
        <w:rPr>
          <w:rFonts w:eastAsia="宋体"/>
          <w:lang w:eastAsia="zh-CN"/>
        </w:rPr>
        <w:t xml:space="preserve"> that</w:t>
      </w:r>
      <w:r w:rsidR="00CE1E1B" w:rsidRPr="00CE1E1B">
        <w:rPr>
          <w:rFonts w:eastAsia="宋体"/>
          <w:lang w:eastAsia="zh-CN"/>
        </w:rPr>
        <w:t xml:space="preserve"> the</w:t>
      </w:r>
      <w:r w:rsidRPr="00CE1E1B">
        <w:rPr>
          <w:rFonts w:eastAsia="宋体"/>
          <w:lang w:eastAsia="zh-CN"/>
        </w:rPr>
        <w:t xml:space="preserve"> positioning measurement requirements apply for the same RoAoA. </w:t>
      </w:r>
    </w:p>
    <w:p w:rsidR="00C20322" w:rsidRDefault="00CE1E1B" w:rsidP="00350DA5">
      <w:pPr>
        <w:spacing w:before="120" w:after="120"/>
        <w:rPr>
          <w:rFonts w:eastAsia="宋体"/>
          <w:lang w:eastAsia="zh-CN"/>
        </w:rPr>
      </w:pPr>
      <w:r w:rsidRPr="00CE1E1B">
        <w:rPr>
          <w:rFonts w:eastAsia="宋体"/>
          <w:lang w:eastAsia="zh-CN"/>
        </w:rPr>
        <w:t>However, option 1 in [1] is still unclear to us</w:t>
      </w:r>
      <w:r>
        <w:rPr>
          <w:rFonts w:eastAsia="宋体"/>
          <w:lang w:eastAsia="zh-CN"/>
        </w:rPr>
        <w:t xml:space="preserve">. The positioning measurement requirements are defined based on certain side conditions, and if a UE is not the direction of the applicable RoAoA, it is likely that the side condition cannot be met, so the requirements do not apply. We still do not see how the beam assumption would impact the side condition or the requirements.  </w:t>
      </w:r>
    </w:p>
    <w:p w:rsidR="00CE1E1B" w:rsidRPr="00C20322" w:rsidRDefault="00CE1E1B" w:rsidP="00350DA5">
      <w:pPr>
        <w:spacing w:before="120" w:after="120"/>
        <w:rPr>
          <w:rFonts w:eastAsia="宋体"/>
          <w:lang w:eastAsia="zh-CN"/>
        </w:rPr>
      </w:pPr>
      <w:r>
        <w:rPr>
          <w:rFonts w:eastAsia="宋体"/>
          <w:lang w:eastAsia="zh-CN"/>
        </w:rPr>
        <w:t xml:space="preserve">It is also noted that the </w:t>
      </w:r>
      <w:r w:rsidRPr="00C20322">
        <w:rPr>
          <w:rFonts w:eastAsia="宋体"/>
          <w:i/>
          <w:lang w:eastAsia="zh-CN"/>
        </w:rPr>
        <w:t>OTA REFSENS RoAoA</w:t>
      </w:r>
      <w:r>
        <w:rPr>
          <w:rFonts w:eastAsia="宋体"/>
          <w:lang w:eastAsia="zh-CN"/>
        </w:rPr>
        <w:t xml:space="preserve"> is not necessarily the </w:t>
      </w:r>
      <w:r w:rsidRPr="00350DA5">
        <w:rPr>
          <w:rFonts w:eastAsia="宋体"/>
          <w:lang w:val="en-US" w:eastAsia="zh-CN"/>
        </w:rPr>
        <w:t>beam peak/main beam lobe</w:t>
      </w:r>
      <w:r>
        <w:rPr>
          <w:rFonts w:eastAsia="宋体"/>
          <w:lang w:val="en-US" w:eastAsia="zh-CN"/>
        </w:rPr>
        <w:t xml:space="preserve"> direction, so we not see the need to limit the applicable direction to the </w:t>
      </w:r>
      <w:r w:rsidRPr="00350DA5">
        <w:rPr>
          <w:rFonts w:eastAsia="宋体"/>
          <w:lang w:val="en-US" w:eastAsia="zh-CN"/>
        </w:rPr>
        <w:t>beam peak/main beam lobe</w:t>
      </w:r>
      <w:r>
        <w:rPr>
          <w:rFonts w:eastAsia="宋体"/>
          <w:lang w:val="en-US" w:eastAsia="zh-CN"/>
        </w:rPr>
        <w:t xml:space="preserve">. For positioning measurement, a gNB will measure SRS from neighbor cell UEs, and it is unrealistic that all the UEs are in the </w:t>
      </w:r>
      <w:r w:rsidRPr="00350DA5">
        <w:rPr>
          <w:rFonts w:eastAsia="宋体"/>
          <w:lang w:val="en-US" w:eastAsia="zh-CN"/>
        </w:rPr>
        <w:t>beam peak/main beam lobe</w:t>
      </w:r>
      <w:r>
        <w:rPr>
          <w:rFonts w:eastAsia="宋体"/>
          <w:lang w:val="en-US" w:eastAsia="zh-CN"/>
        </w:rPr>
        <w:t xml:space="preserve"> direction of a gNB. </w:t>
      </w:r>
    </w:p>
    <w:p w:rsidR="00000FC6" w:rsidRPr="00CB7C36" w:rsidRDefault="00CE1E1B" w:rsidP="00000FC6">
      <w:pPr>
        <w:overflowPunct w:val="0"/>
        <w:autoSpaceDE w:val="0"/>
        <w:autoSpaceDN w:val="0"/>
        <w:adjustRightInd w:val="0"/>
        <w:spacing w:beforeLines="0" w:before="120" w:afterLines="0" w:after="120"/>
        <w:textAlignment w:val="baseline"/>
        <w:rPr>
          <w:rFonts w:eastAsia="宋体"/>
          <w:b/>
          <w:lang w:eastAsia="zh-CN"/>
        </w:rPr>
      </w:pPr>
      <w:r w:rsidRPr="00CB7C36">
        <w:rPr>
          <w:rFonts w:eastAsia="宋体" w:hint="eastAsia"/>
          <w:b/>
          <w:lang w:eastAsia="zh-CN"/>
        </w:rPr>
        <w:t>P</w:t>
      </w:r>
      <w:r w:rsidRPr="00CB7C36">
        <w:rPr>
          <w:rFonts w:eastAsia="宋体"/>
          <w:b/>
          <w:lang w:eastAsia="zh-CN"/>
        </w:rPr>
        <w:t xml:space="preserve">roposal 3: </w:t>
      </w:r>
      <w:r w:rsidR="00CB7C36" w:rsidRPr="00CB7C36">
        <w:rPr>
          <w:rFonts w:eastAsia="宋体"/>
          <w:b/>
          <w:lang w:eastAsia="zh-CN"/>
        </w:rPr>
        <w:t>The</w:t>
      </w:r>
      <w:r w:rsidRPr="00CB7C36">
        <w:rPr>
          <w:rFonts w:eastAsia="宋体"/>
          <w:b/>
          <w:lang w:eastAsia="zh-CN"/>
        </w:rPr>
        <w:t xml:space="preserve"> positioning measurement requirements apply for the same RoAoA</w:t>
      </w:r>
      <w:r w:rsidR="00CB7C36" w:rsidRPr="00CB7C36">
        <w:rPr>
          <w:rFonts w:eastAsia="宋体"/>
          <w:b/>
          <w:lang w:eastAsia="zh-CN"/>
        </w:rPr>
        <w:t xml:space="preserve"> as OTA reference sensitivity requirements for 1-O and 2-O BS.</w:t>
      </w:r>
      <w:r w:rsidR="00CB7C36" w:rsidRPr="00CB7C36">
        <w:t xml:space="preserve"> </w:t>
      </w:r>
      <w:r w:rsidR="00CB7C36" w:rsidRPr="00CB7C36">
        <w:rPr>
          <w:rFonts w:eastAsia="宋体"/>
          <w:b/>
          <w:lang w:eastAsia="zh-CN"/>
        </w:rPr>
        <w:t xml:space="preserve">Accuracy </w:t>
      </w:r>
      <w:r w:rsidR="00CB7C36">
        <w:rPr>
          <w:rFonts w:eastAsia="宋体"/>
          <w:b/>
          <w:lang w:eastAsia="zh-CN"/>
        </w:rPr>
        <w:t xml:space="preserve">requirements do </w:t>
      </w:r>
      <w:r w:rsidR="00CB7C36" w:rsidRPr="00CB7C36">
        <w:rPr>
          <w:rFonts w:eastAsia="宋体"/>
          <w:b/>
          <w:lang w:eastAsia="zh-CN"/>
        </w:rPr>
        <w:t>not depend on antenna beam configuration in gNB</w:t>
      </w:r>
      <w:r w:rsidR="00CB7C36">
        <w:rPr>
          <w:rFonts w:eastAsia="宋体"/>
          <w:b/>
          <w:lang w:eastAsia="zh-CN"/>
        </w:rPr>
        <w:t>.</w:t>
      </w:r>
    </w:p>
    <w:p w:rsidR="00C3788F" w:rsidRDefault="00C3788F" w:rsidP="00C3788F">
      <w:pPr>
        <w:pStyle w:val="1"/>
        <w:jc w:val="both"/>
        <w:rPr>
          <w:lang w:val="en-US"/>
        </w:rPr>
      </w:pPr>
      <w:r>
        <w:rPr>
          <w:lang w:val="en-US"/>
        </w:rPr>
        <w:t>Conclusions</w:t>
      </w:r>
    </w:p>
    <w:p w:rsidR="00CB7C36" w:rsidRPr="0004342E" w:rsidRDefault="00CB7C36" w:rsidP="00CB7C3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provided our views on </w:t>
      </w:r>
      <w:r w:rsidRPr="00CB7C36">
        <w:rPr>
          <w:rFonts w:eastAsia="宋体"/>
          <w:lang w:eastAsia="zh-CN"/>
        </w:rPr>
        <w:t>general issues for gNB positioning measurement requirements</w:t>
      </w:r>
      <w:r>
        <w:rPr>
          <w:rFonts w:eastAsia="宋体"/>
          <w:lang w:eastAsia="zh-CN"/>
        </w:rPr>
        <w:t>.</w:t>
      </w:r>
    </w:p>
    <w:p w:rsidR="00CB7C36" w:rsidRPr="002E3E47" w:rsidRDefault="00CB7C36" w:rsidP="00CB7C36">
      <w:pPr>
        <w:overflowPunct w:val="0"/>
        <w:autoSpaceDE w:val="0"/>
        <w:autoSpaceDN w:val="0"/>
        <w:adjustRightInd w:val="0"/>
        <w:spacing w:beforeLines="0" w:before="120" w:afterLines="0" w:after="120"/>
        <w:textAlignment w:val="baseline"/>
        <w:rPr>
          <w:rFonts w:eastAsia="宋体"/>
          <w:b/>
          <w:lang w:eastAsia="zh-CN"/>
        </w:rPr>
      </w:pPr>
      <w:r w:rsidRPr="002E3E47">
        <w:rPr>
          <w:rFonts w:eastAsia="宋体"/>
          <w:b/>
          <w:lang w:eastAsia="zh-CN"/>
        </w:rPr>
        <w:t>Proposal 1: Define the gNB accuracy requirements based on single shot measurement assumption, and requirements apply provided that the SRS transmission occasion is not dropped.</w:t>
      </w:r>
    </w:p>
    <w:p w:rsidR="00CB7C36" w:rsidRDefault="00CB7C36" w:rsidP="00CB7C36">
      <w:pPr>
        <w:spacing w:before="120" w:after="120"/>
        <w:rPr>
          <w:rFonts w:eastAsiaTheme="minorEastAsia"/>
          <w:b/>
          <w:lang w:eastAsia="zh-CN"/>
        </w:rPr>
      </w:pPr>
      <w:r>
        <w:rPr>
          <w:rFonts w:eastAsiaTheme="minorEastAsia"/>
          <w:b/>
          <w:lang w:eastAsia="zh-CN"/>
        </w:rPr>
        <w:t xml:space="preserve">Proposal 2: Define two sets of Es/Iot conditions for gNB positioning requirements at -15dB and 3dB, respectively. </w:t>
      </w:r>
    </w:p>
    <w:p w:rsidR="00CB7C36" w:rsidRPr="00CB7C36" w:rsidRDefault="00CB7C36" w:rsidP="00CB7C36">
      <w:pPr>
        <w:overflowPunct w:val="0"/>
        <w:autoSpaceDE w:val="0"/>
        <w:autoSpaceDN w:val="0"/>
        <w:adjustRightInd w:val="0"/>
        <w:spacing w:beforeLines="0" w:before="120" w:afterLines="0" w:after="120"/>
        <w:textAlignment w:val="baseline"/>
        <w:rPr>
          <w:rFonts w:eastAsia="宋体"/>
          <w:b/>
          <w:lang w:eastAsia="zh-CN"/>
        </w:rPr>
      </w:pPr>
      <w:r w:rsidRPr="00CB7C36">
        <w:rPr>
          <w:rFonts w:eastAsia="宋体" w:hint="eastAsia"/>
          <w:b/>
          <w:lang w:eastAsia="zh-CN"/>
        </w:rPr>
        <w:t>P</w:t>
      </w:r>
      <w:r w:rsidRPr="00CB7C36">
        <w:rPr>
          <w:rFonts w:eastAsia="宋体"/>
          <w:b/>
          <w:lang w:eastAsia="zh-CN"/>
        </w:rPr>
        <w:t>roposal 3: The positioning measurement requirements apply for the same RoAoA as OTA reference sensitivity requirements for 1-O and 2-O BS.</w:t>
      </w:r>
      <w:r w:rsidRPr="00CB7C36">
        <w:t xml:space="preserve"> </w:t>
      </w:r>
      <w:r w:rsidRPr="00CB7C36">
        <w:rPr>
          <w:rFonts w:eastAsia="宋体"/>
          <w:b/>
          <w:lang w:eastAsia="zh-CN"/>
        </w:rPr>
        <w:t xml:space="preserve">Accuracy </w:t>
      </w:r>
      <w:r>
        <w:rPr>
          <w:rFonts w:eastAsia="宋体"/>
          <w:b/>
          <w:lang w:eastAsia="zh-CN"/>
        </w:rPr>
        <w:t xml:space="preserve">requirements do </w:t>
      </w:r>
      <w:r w:rsidRPr="00CB7C36">
        <w:rPr>
          <w:rFonts w:eastAsia="宋体"/>
          <w:b/>
          <w:lang w:eastAsia="zh-CN"/>
        </w:rPr>
        <w:t>not depend on antenna beam configuration in gNB</w:t>
      </w:r>
      <w:r>
        <w:rPr>
          <w:rFonts w:eastAsia="宋体"/>
          <w:b/>
          <w:lang w:eastAsia="zh-CN"/>
        </w:rPr>
        <w:t>.</w:t>
      </w:r>
    </w:p>
    <w:p w:rsidR="00C0754F" w:rsidRDefault="00C0754F" w:rsidP="00C0754F">
      <w:pPr>
        <w:pStyle w:val="1"/>
        <w:jc w:val="both"/>
        <w:rPr>
          <w:lang w:val="en-US"/>
        </w:rPr>
      </w:pPr>
      <w:r w:rsidRPr="00C0754F">
        <w:rPr>
          <w:lang w:val="en-US"/>
        </w:rPr>
        <w:t>Reference</w:t>
      </w:r>
    </w:p>
    <w:p w:rsidR="00511BD3" w:rsidRPr="00F7630A" w:rsidRDefault="006931DF" w:rsidP="00000FC6">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w:t>
      </w:r>
      <w:r w:rsidR="00000FC6">
        <w:rPr>
          <w:rFonts w:eastAsia="宋体"/>
          <w:lang w:eastAsia="zh-CN"/>
        </w:rPr>
        <w:t>159</w:t>
      </w:r>
      <w:r w:rsidR="00D57591">
        <w:rPr>
          <w:rFonts w:eastAsia="宋体"/>
          <w:lang w:eastAsia="zh-CN"/>
        </w:rPr>
        <w:t xml:space="preserve">, </w:t>
      </w:r>
      <w:r w:rsidR="00000FC6" w:rsidRPr="00000FC6">
        <w:rPr>
          <w:rFonts w:eastAsia="宋体"/>
          <w:lang w:val="en-US" w:eastAsia="zh-CN"/>
        </w:rPr>
        <w:t>WF on gNB positioning measurement requirements</w:t>
      </w:r>
      <w:r w:rsidR="007E7A02" w:rsidRPr="0080299A">
        <w:rPr>
          <w:rFonts w:eastAsia="宋体"/>
          <w:lang w:eastAsia="zh-CN"/>
        </w:rPr>
        <w:t xml:space="preserve">, </w:t>
      </w:r>
      <w:r w:rsidR="00000FC6" w:rsidRPr="00000FC6">
        <w:rPr>
          <w:rFonts w:eastAsia="宋体"/>
          <w:lang w:eastAsia="zh-CN"/>
        </w:rPr>
        <w:t>Ericsson</w:t>
      </w:r>
    </w:p>
    <w:p w:rsidR="00F2323A" w:rsidRPr="00CB7C36" w:rsidRDefault="00F7630A" w:rsidP="00CB7C36">
      <w:pPr>
        <w:numPr>
          <w:ilvl w:val="0"/>
          <w:numId w:val="5"/>
        </w:numPr>
        <w:spacing w:before="120" w:after="120"/>
        <w:rPr>
          <w:rFonts w:eastAsia="宋体"/>
          <w:lang w:val="en-US" w:eastAsia="zh-CN"/>
        </w:rPr>
      </w:pPr>
      <w:r w:rsidRPr="006931DF">
        <w:rPr>
          <w:rFonts w:eastAsia="宋体"/>
          <w:lang w:eastAsia="zh-CN"/>
        </w:rPr>
        <w:t>RP-20</w:t>
      </w:r>
      <w:r>
        <w:rPr>
          <w:rFonts w:eastAsia="宋体"/>
          <w:lang w:eastAsia="zh-CN"/>
        </w:rPr>
        <w:t xml:space="preserve">17385, </w:t>
      </w:r>
      <w:r>
        <w:rPr>
          <w:rFonts w:eastAsia="宋体"/>
          <w:lang w:val="en-US" w:eastAsia="zh-CN"/>
        </w:rPr>
        <w:t xml:space="preserve">WF on </w:t>
      </w:r>
      <w:r w:rsidRPr="003D69FD">
        <w:rPr>
          <w:rFonts w:eastAsia="宋体"/>
          <w:lang w:val="en-US" w:eastAsia="zh-CN"/>
        </w:rPr>
        <w:t>System simulation assumptions for deriving side conditions</w:t>
      </w:r>
      <w:r w:rsidRPr="0080299A">
        <w:rPr>
          <w:rFonts w:eastAsia="宋体"/>
          <w:lang w:eastAsia="zh-CN"/>
        </w:rPr>
        <w:t xml:space="preserve">, </w:t>
      </w:r>
      <w:r w:rsidRPr="00000FC6">
        <w:rPr>
          <w:rFonts w:eastAsia="宋体"/>
          <w:lang w:eastAsia="zh-CN"/>
        </w:rPr>
        <w:t>Ericsson</w:t>
      </w:r>
    </w:p>
    <w:sectPr w:rsidR="00F2323A" w:rsidRPr="00CB7C3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2D5" w:rsidRDefault="004742D5">
      <w:pPr>
        <w:spacing w:before="120" w:after="120"/>
      </w:pPr>
      <w:r>
        <w:separator/>
      </w:r>
    </w:p>
  </w:endnote>
  <w:endnote w:type="continuationSeparator" w:id="0">
    <w:p w:rsidR="004742D5" w:rsidRDefault="004742D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1B" w:rsidRDefault="00CE1E1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E1E1B" w:rsidRDefault="00CE1E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1B" w:rsidRDefault="00CE1E1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B5B9E">
      <w:rPr>
        <w:rStyle w:val="af1"/>
      </w:rPr>
      <w:t>4</w:t>
    </w:r>
    <w:r>
      <w:rPr>
        <w:rStyle w:val="af1"/>
      </w:rPr>
      <w:fldChar w:fldCharType="end"/>
    </w:r>
  </w:p>
  <w:p w:rsidR="00CE1E1B" w:rsidRDefault="00CE1E1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2D5" w:rsidRDefault="004742D5">
      <w:pPr>
        <w:spacing w:before="120" w:after="120"/>
      </w:pPr>
      <w:r>
        <w:separator/>
      </w:r>
    </w:p>
  </w:footnote>
  <w:footnote w:type="continuationSeparator" w:id="0">
    <w:p w:rsidR="004742D5" w:rsidRDefault="004742D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C1862"/>
    <w:multiLevelType w:val="hybridMultilevel"/>
    <w:tmpl w:val="3E72EAE0"/>
    <w:lvl w:ilvl="0" w:tplc="3202D770">
      <w:start w:val="1"/>
      <w:numFmt w:val="bullet"/>
      <w:lvlText w:val="•"/>
      <w:lvlJc w:val="left"/>
      <w:pPr>
        <w:tabs>
          <w:tab w:val="num" w:pos="720"/>
        </w:tabs>
        <w:ind w:left="720" w:hanging="360"/>
      </w:pPr>
      <w:rPr>
        <w:rFonts w:ascii="Arial" w:hAnsi="Arial" w:hint="default"/>
      </w:rPr>
    </w:lvl>
    <w:lvl w:ilvl="1" w:tplc="A6BACC4C">
      <w:numFmt w:val="bullet"/>
      <w:lvlText w:val="–"/>
      <w:lvlJc w:val="left"/>
      <w:pPr>
        <w:tabs>
          <w:tab w:val="num" w:pos="1440"/>
        </w:tabs>
        <w:ind w:left="1440" w:hanging="360"/>
      </w:pPr>
      <w:rPr>
        <w:rFonts w:ascii="Arial" w:hAnsi="Arial" w:hint="default"/>
      </w:rPr>
    </w:lvl>
    <w:lvl w:ilvl="2" w:tplc="235CE5D8" w:tentative="1">
      <w:start w:val="1"/>
      <w:numFmt w:val="bullet"/>
      <w:lvlText w:val="•"/>
      <w:lvlJc w:val="left"/>
      <w:pPr>
        <w:tabs>
          <w:tab w:val="num" w:pos="2160"/>
        </w:tabs>
        <w:ind w:left="2160" w:hanging="360"/>
      </w:pPr>
      <w:rPr>
        <w:rFonts w:ascii="Arial" w:hAnsi="Arial" w:hint="default"/>
      </w:rPr>
    </w:lvl>
    <w:lvl w:ilvl="3" w:tplc="51E2C29E" w:tentative="1">
      <w:start w:val="1"/>
      <w:numFmt w:val="bullet"/>
      <w:lvlText w:val="•"/>
      <w:lvlJc w:val="left"/>
      <w:pPr>
        <w:tabs>
          <w:tab w:val="num" w:pos="2880"/>
        </w:tabs>
        <w:ind w:left="2880" w:hanging="360"/>
      </w:pPr>
      <w:rPr>
        <w:rFonts w:ascii="Arial" w:hAnsi="Arial" w:hint="default"/>
      </w:rPr>
    </w:lvl>
    <w:lvl w:ilvl="4" w:tplc="DB561D34" w:tentative="1">
      <w:start w:val="1"/>
      <w:numFmt w:val="bullet"/>
      <w:lvlText w:val="•"/>
      <w:lvlJc w:val="left"/>
      <w:pPr>
        <w:tabs>
          <w:tab w:val="num" w:pos="3600"/>
        </w:tabs>
        <w:ind w:left="3600" w:hanging="360"/>
      </w:pPr>
      <w:rPr>
        <w:rFonts w:ascii="Arial" w:hAnsi="Arial" w:hint="default"/>
      </w:rPr>
    </w:lvl>
    <w:lvl w:ilvl="5" w:tplc="B088FF0A" w:tentative="1">
      <w:start w:val="1"/>
      <w:numFmt w:val="bullet"/>
      <w:lvlText w:val="•"/>
      <w:lvlJc w:val="left"/>
      <w:pPr>
        <w:tabs>
          <w:tab w:val="num" w:pos="4320"/>
        </w:tabs>
        <w:ind w:left="4320" w:hanging="360"/>
      </w:pPr>
      <w:rPr>
        <w:rFonts w:ascii="Arial" w:hAnsi="Arial" w:hint="default"/>
      </w:rPr>
    </w:lvl>
    <w:lvl w:ilvl="6" w:tplc="BF744406" w:tentative="1">
      <w:start w:val="1"/>
      <w:numFmt w:val="bullet"/>
      <w:lvlText w:val="•"/>
      <w:lvlJc w:val="left"/>
      <w:pPr>
        <w:tabs>
          <w:tab w:val="num" w:pos="5040"/>
        </w:tabs>
        <w:ind w:left="5040" w:hanging="360"/>
      </w:pPr>
      <w:rPr>
        <w:rFonts w:ascii="Arial" w:hAnsi="Arial" w:hint="default"/>
      </w:rPr>
    </w:lvl>
    <w:lvl w:ilvl="7" w:tplc="23DC00AA" w:tentative="1">
      <w:start w:val="1"/>
      <w:numFmt w:val="bullet"/>
      <w:lvlText w:val="•"/>
      <w:lvlJc w:val="left"/>
      <w:pPr>
        <w:tabs>
          <w:tab w:val="num" w:pos="5760"/>
        </w:tabs>
        <w:ind w:left="5760" w:hanging="360"/>
      </w:pPr>
      <w:rPr>
        <w:rFonts w:ascii="Arial" w:hAnsi="Arial" w:hint="default"/>
      </w:rPr>
    </w:lvl>
    <w:lvl w:ilvl="8" w:tplc="F64A07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1D578B"/>
    <w:multiLevelType w:val="hybridMultilevel"/>
    <w:tmpl w:val="AF1438BA"/>
    <w:lvl w:ilvl="0" w:tplc="5302D096">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1322115"/>
    <w:multiLevelType w:val="hybridMultilevel"/>
    <w:tmpl w:val="ABA4602E"/>
    <w:lvl w:ilvl="0" w:tplc="2C90201E">
      <w:start w:val="1"/>
      <w:numFmt w:val="bullet"/>
      <w:lvlText w:val="•"/>
      <w:lvlJc w:val="left"/>
      <w:pPr>
        <w:tabs>
          <w:tab w:val="num" w:pos="720"/>
        </w:tabs>
        <w:ind w:left="720" w:hanging="360"/>
      </w:pPr>
      <w:rPr>
        <w:rFonts w:ascii="Arial" w:hAnsi="Arial" w:hint="default"/>
      </w:rPr>
    </w:lvl>
    <w:lvl w:ilvl="1" w:tplc="81A05876">
      <w:numFmt w:val="bullet"/>
      <w:lvlText w:val="–"/>
      <w:lvlJc w:val="left"/>
      <w:pPr>
        <w:tabs>
          <w:tab w:val="num" w:pos="1440"/>
        </w:tabs>
        <w:ind w:left="1440" w:hanging="360"/>
      </w:pPr>
      <w:rPr>
        <w:rFonts w:ascii="Arial" w:hAnsi="Arial" w:hint="default"/>
      </w:rPr>
    </w:lvl>
    <w:lvl w:ilvl="2" w:tplc="22CA0BBE">
      <w:numFmt w:val="bullet"/>
      <w:lvlText w:val="•"/>
      <w:lvlJc w:val="left"/>
      <w:pPr>
        <w:tabs>
          <w:tab w:val="num" w:pos="2160"/>
        </w:tabs>
        <w:ind w:left="2160" w:hanging="360"/>
      </w:pPr>
      <w:rPr>
        <w:rFonts w:ascii="Arial" w:hAnsi="Arial" w:hint="default"/>
      </w:rPr>
    </w:lvl>
    <w:lvl w:ilvl="3" w:tplc="EB465B64" w:tentative="1">
      <w:start w:val="1"/>
      <w:numFmt w:val="bullet"/>
      <w:lvlText w:val="•"/>
      <w:lvlJc w:val="left"/>
      <w:pPr>
        <w:tabs>
          <w:tab w:val="num" w:pos="2880"/>
        </w:tabs>
        <w:ind w:left="2880" w:hanging="360"/>
      </w:pPr>
      <w:rPr>
        <w:rFonts w:ascii="Arial" w:hAnsi="Arial" w:hint="default"/>
      </w:rPr>
    </w:lvl>
    <w:lvl w:ilvl="4" w:tplc="8CE0DF96" w:tentative="1">
      <w:start w:val="1"/>
      <w:numFmt w:val="bullet"/>
      <w:lvlText w:val="•"/>
      <w:lvlJc w:val="left"/>
      <w:pPr>
        <w:tabs>
          <w:tab w:val="num" w:pos="3600"/>
        </w:tabs>
        <w:ind w:left="3600" w:hanging="360"/>
      </w:pPr>
      <w:rPr>
        <w:rFonts w:ascii="Arial" w:hAnsi="Arial" w:hint="default"/>
      </w:rPr>
    </w:lvl>
    <w:lvl w:ilvl="5" w:tplc="192854C4" w:tentative="1">
      <w:start w:val="1"/>
      <w:numFmt w:val="bullet"/>
      <w:lvlText w:val="•"/>
      <w:lvlJc w:val="left"/>
      <w:pPr>
        <w:tabs>
          <w:tab w:val="num" w:pos="4320"/>
        </w:tabs>
        <w:ind w:left="4320" w:hanging="360"/>
      </w:pPr>
      <w:rPr>
        <w:rFonts w:ascii="Arial" w:hAnsi="Arial" w:hint="default"/>
      </w:rPr>
    </w:lvl>
    <w:lvl w:ilvl="6" w:tplc="7354F6E8" w:tentative="1">
      <w:start w:val="1"/>
      <w:numFmt w:val="bullet"/>
      <w:lvlText w:val="•"/>
      <w:lvlJc w:val="left"/>
      <w:pPr>
        <w:tabs>
          <w:tab w:val="num" w:pos="5040"/>
        </w:tabs>
        <w:ind w:left="5040" w:hanging="360"/>
      </w:pPr>
      <w:rPr>
        <w:rFonts w:ascii="Arial" w:hAnsi="Arial" w:hint="default"/>
      </w:rPr>
    </w:lvl>
    <w:lvl w:ilvl="7" w:tplc="D3E8FA56" w:tentative="1">
      <w:start w:val="1"/>
      <w:numFmt w:val="bullet"/>
      <w:lvlText w:val="•"/>
      <w:lvlJc w:val="left"/>
      <w:pPr>
        <w:tabs>
          <w:tab w:val="num" w:pos="5760"/>
        </w:tabs>
        <w:ind w:left="5760" w:hanging="360"/>
      </w:pPr>
      <w:rPr>
        <w:rFonts w:ascii="Arial" w:hAnsi="Arial" w:hint="default"/>
      </w:rPr>
    </w:lvl>
    <w:lvl w:ilvl="8" w:tplc="605C43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AC6BB9"/>
    <w:multiLevelType w:val="hybridMultilevel"/>
    <w:tmpl w:val="D86E7EA6"/>
    <w:lvl w:ilvl="0" w:tplc="3A320B76">
      <w:start w:val="1"/>
      <w:numFmt w:val="bullet"/>
      <w:lvlText w:val="•"/>
      <w:lvlJc w:val="left"/>
      <w:pPr>
        <w:tabs>
          <w:tab w:val="num" w:pos="720"/>
        </w:tabs>
        <w:ind w:left="720" w:hanging="360"/>
      </w:pPr>
      <w:rPr>
        <w:rFonts w:ascii="Arial" w:hAnsi="Arial" w:hint="default"/>
      </w:rPr>
    </w:lvl>
    <w:lvl w:ilvl="1" w:tplc="1C28B3BC">
      <w:numFmt w:val="bullet"/>
      <w:lvlText w:val="–"/>
      <w:lvlJc w:val="left"/>
      <w:pPr>
        <w:tabs>
          <w:tab w:val="num" w:pos="1440"/>
        </w:tabs>
        <w:ind w:left="1440" w:hanging="360"/>
      </w:pPr>
      <w:rPr>
        <w:rFonts w:ascii="Arial" w:hAnsi="Arial" w:hint="default"/>
      </w:rPr>
    </w:lvl>
    <w:lvl w:ilvl="2" w:tplc="D3A62B88" w:tentative="1">
      <w:start w:val="1"/>
      <w:numFmt w:val="bullet"/>
      <w:lvlText w:val="•"/>
      <w:lvlJc w:val="left"/>
      <w:pPr>
        <w:tabs>
          <w:tab w:val="num" w:pos="2160"/>
        </w:tabs>
        <w:ind w:left="2160" w:hanging="360"/>
      </w:pPr>
      <w:rPr>
        <w:rFonts w:ascii="Arial" w:hAnsi="Arial" w:hint="default"/>
      </w:rPr>
    </w:lvl>
    <w:lvl w:ilvl="3" w:tplc="514C40A6" w:tentative="1">
      <w:start w:val="1"/>
      <w:numFmt w:val="bullet"/>
      <w:lvlText w:val="•"/>
      <w:lvlJc w:val="left"/>
      <w:pPr>
        <w:tabs>
          <w:tab w:val="num" w:pos="2880"/>
        </w:tabs>
        <w:ind w:left="2880" w:hanging="360"/>
      </w:pPr>
      <w:rPr>
        <w:rFonts w:ascii="Arial" w:hAnsi="Arial" w:hint="default"/>
      </w:rPr>
    </w:lvl>
    <w:lvl w:ilvl="4" w:tplc="72E8B9F2" w:tentative="1">
      <w:start w:val="1"/>
      <w:numFmt w:val="bullet"/>
      <w:lvlText w:val="•"/>
      <w:lvlJc w:val="left"/>
      <w:pPr>
        <w:tabs>
          <w:tab w:val="num" w:pos="3600"/>
        </w:tabs>
        <w:ind w:left="3600" w:hanging="360"/>
      </w:pPr>
      <w:rPr>
        <w:rFonts w:ascii="Arial" w:hAnsi="Arial" w:hint="default"/>
      </w:rPr>
    </w:lvl>
    <w:lvl w:ilvl="5" w:tplc="22A21346" w:tentative="1">
      <w:start w:val="1"/>
      <w:numFmt w:val="bullet"/>
      <w:lvlText w:val="•"/>
      <w:lvlJc w:val="left"/>
      <w:pPr>
        <w:tabs>
          <w:tab w:val="num" w:pos="4320"/>
        </w:tabs>
        <w:ind w:left="4320" w:hanging="360"/>
      </w:pPr>
      <w:rPr>
        <w:rFonts w:ascii="Arial" w:hAnsi="Arial" w:hint="default"/>
      </w:rPr>
    </w:lvl>
    <w:lvl w:ilvl="6" w:tplc="ADCC0C32" w:tentative="1">
      <w:start w:val="1"/>
      <w:numFmt w:val="bullet"/>
      <w:lvlText w:val="•"/>
      <w:lvlJc w:val="left"/>
      <w:pPr>
        <w:tabs>
          <w:tab w:val="num" w:pos="5040"/>
        </w:tabs>
        <w:ind w:left="5040" w:hanging="360"/>
      </w:pPr>
      <w:rPr>
        <w:rFonts w:ascii="Arial" w:hAnsi="Arial" w:hint="default"/>
      </w:rPr>
    </w:lvl>
    <w:lvl w:ilvl="7" w:tplc="42426730" w:tentative="1">
      <w:start w:val="1"/>
      <w:numFmt w:val="bullet"/>
      <w:lvlText w:val="•"/>
      <w:lvlJc w:val="left"/>
      <w:pPr>
        <w:tabs>
          <w:tab w:val="num" w:pos="5760"/>
        </w:tabs>
        <w:ind w:left="5760" w:hanging="360"/>
      </w:pPr>
      <w:rPr>
        <w:rFonts w:ascii="Arial" w:hAnsi="Arial" w:hint="default"/>
      </w:rPr>
    </w:lvl>
    <w:lvl w:ilvl="8" w:tplc="0082DC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384CD8"/>
    <w:multiLevelType w:val="hybridMultilevel"/>
    <w:tmpl w:val="7B1A1982"/>
    <w:lvl w:ilvl="0" w:tplc="F3522DC4">
      <w:start w:val="1"/>
      <w:numFmt w:val="bullet"/>
      <w:lvlText w:val="•"/>
      <w:lvlJc w:val="left"/>
      <w:pPr>
        <w:tabs>
          <w:tab w:val="num" w:pos="720"/>
        </w:tabs>
        <w:ind w:left="720" w:hanging="360"/>
      </w:pPr>
      <w:rPr>
        <w:rFonts w:ascii="Arial" w:hAnsi="Arial" w:hint="default"/>
      </w:rPr>
    </w:lvl>
    <w:lvl w:ilvl="1" w:tplc="2B082BC2">
      <w:numFmt w:val="bullet"/>
      <w:lvlText w:val="–"/>
      <w:lvlJc w:val="left"/>
      <w:pPr>
        <w:tabs>
          <w:tab w:val="num" w:pos="1440"/>
        </w:tabs>
        <w:ind w:left="1440" w:hanging="360"/>
      </w:pPr>
      <w:rPr>
        <w:rFonts w:ascii="Arial" w:hAnsi="Arial" w:hint="default"/>
      </w:rPr>
    </w:lvl>
    <w:lvl w:ilvl="2" w:tplc="1936ACE0" w:tentative="1">
      <w:start w:val="1"/>
      <w:numFmt w:val="bullet"/>
      <w:lvlText w:val="•"/>
      <w:lvlJc w:val="left"/>
      <w:pPr>
        <w:tabs>
          <w:tab w:val="num" w:pos="2160"/>
        </w:tabs>
        <w:ind w:left="2160" w:hanging="360"/>
      </w:pPr>
      <w:rPr>
        <w:rFonts w:ascii="Arial" w:hAnsi="Arial" w:hint="default"/>
      </w:rPr>
    </w:lvl>
    <w:lvl w:ilvl="3" w:tplc="B26EC330" w:tentative="1">
      <w:start w:val="1"/>
      <w:numFmt w:val="bullet"/>
      <w:lvlText w:val="•"/>
      <w:lvlJc w:val="left"/>
      <w:pPr>
        <w:tabs>
          <w:tab w:val="num" w:pos="2880"/>
        </w:tabs>
        <w:ind w:left="2880" w:hanging="360"/>
      </w:pPr>
      <w:rPr>
        <w:rFonts w:ascii="Arial" w:hAnsi="Arial" w:hint="default"/>
      </w:rPr>
    </w:lvl>
    <w:lvl w:ilvl="4" w:tplc="9B2A44A8" w:tentative="1">
      <w:start w:val="1"/>
      <w:numFmt w:val="bullet"/>
      <w:lvlText w:val="•"/>
      <w:lvlJc w:val="left"/>
      <w:pPr>
        <w:tabs>
          <w:tab w:val="num" w:pos="3600"/>
        </w:tabs>
        <w:ind w:left="3600" w:hanging="360"/>
      </w:pPr>
      <w:rPr>
        <w:rFonts w:ascii="Arial" w:hAnsi="Arial" w:hint="default"/>
      </w:rPr>
    </w:lvl>
    <w:lvl w:ilvl="5" w:tplc="580C3C88" w:tentative="1">
      <w:start w:val="1"/>
      <w:numFmt w:val="bullet"/>
      <w:lvlText w:val="•"/>
      <w:lvlJc w:val="left"/>
      <w:pPr>
        <w:tabs>
          <w:tab w:val="num" w:pos="4320"/>
        </w:tabs>
        <w:ind w:left="4320" w:hanging="360"/>
      </w:pPr>
      <w:rPr>
        <w:rFonts w:ascii="Arial" w:hAnsi="Arial" w:hint="default"/>
      </w:rPr>
    </w:lvl>
    <w:lvl w:ilvl="6" w:tplc="A34AD558" w:tentative="1">
      <w:start w:val="1"/>
      <w:numFmt w:val="bullet"/>
      <w:lvlText w:val="•"/>
      <w:lvlJc w:val="left"/>
      <w:pPr>
        <w:tabs>
          <w:tab w:val="num" w:pos="5040"/>
        </w:tabs>
        <w:ind w:left="5040" w:hanging="360"/>
      </w:pPr>
      <w:rPr>
        <w:rFonts w:ascii="Arial" w:hAnsi="Arial" w:hint="default"/>
      </w:rPr>
    </w:lvl>
    <w:lvl w:ilvl="7" w:tplc="3AAA04C6" w:tentative="1">
      <w:start w:val="1"/>
      <w:numFmt w:val="bullet"/>
      <w:lvlText w:val="•"/>
      <w:lvlJc w:val="left"/>
      <w:pPr>
        <w:tabs>
          <w:tab w:val="num" w:pos="5760"/>
        </w:tabs>
        <w:ind w:left="5760" w:hanging="360"/>
      </w:pPr>
      <w:rPr>
        <w:rFonts w:ascii="Arial" w:hAnsi="Arial" w:hint="default"/>
      </w:rPr>
    </w:lvl>
    <w:lvl w:ilvl="8" w:tplc="91EEEC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F5038A"/>
    <w:multiLevelType w:val="hybridMultilevel"/>
    <w:tmpl w:val="DAEC1B9E"/>
    <w:lvl w:ilvl="0" w:tplc="EDF43D78">
      <w:start w:val="1"/>
      <w:numFmt w:val="bullet"/>
      <w:lvlText w:val="•"/>
      <w:lvlJc w:val="left"/>
      <w:pPr>
        <w:tabs>
          <w:tab w:val="num" w:pos="720"/>
        </w:tabs>
        <w:ind w:left="720" w:hanging="360"/>
      </w:pPr>
      <w:rPr>
        <w:rFonts w:ascii="Arial" w:hAnsi="Arial" w:hint="default"/>
      </w:rPr>
    </w:lvl>
    <w:lvl w:ilvl="1" w:tplc="B538A344">
      <w:numFmt w:val="bullet"/>
      <w:lvlText w:val="–"/>
      <w:lvlJc w:val="left"/>
      <w:pPr>
        <w:tabs>
          <w:tab w:val="num" w:pos="1440"/>
        </w:tabs>
        <w:ind w:left="1440" w:hanging="360"/>
      </w:pPr>
      <w:rPr>
        <w:rFonts w:ascii="Arial" w:hAnsi="Arial" w:hint="default"/>
      </w:rPr>
    </w:lvl>
    <w:lvl w:ilvl="2" w:tplc="E208FFE6" w:tentative="1">
      <w:start w:val="1"/>
      <w:numFmt w:val="bullet"/>
      <w:lvlText w:val="•"/>
      <w:lvlJc w:val="left"/>
      <w:pPr>
        <w:tabs>
          <w:tab w:val="num" w:pos="2160"/>
        </w:tabs>
        <w:ind w:left="2160" w:hanging="360"/>
      </w:pPr>
      <w:rPr>
        <w:rFonts w:ascii="Arial" w:hAnsi="Arial" w:hint="default"/>
      </w:rPr>
    </w:lvl>
    <w:lvl w:ilvl="3" w:tplc="BED6873C" w:tentative="1">
      <w:start w:val="1"/>
      <w:numFmt w:val="bullet"/>
      <w:lvlText w:val="•"/>
      <w:lvlJc w:val="left"/>
      <w:pPr>
        <w:tabs>
          <w:tab w:val="num" w:pos="2880"/>
        </w:tabs>
        <w:ind w:left="2880" w:hanging="360"/>
      </w:pPr>
      <w:rPr>
        <w:rFonts w:ascii="Arial" w:hAnsi="Arial" w:hint="default"/>
      </w:rPr>
    </w:lvl>
    <w:lvl w:ilvl="4" w:tplc="940E88FC" w:tentative="1">
      <w:start w:val="1"/>
      <w:numFmt w:val="bullet"/>
      <w:lvlText w:val="•"/>
      <w:lvlJc w:val="left"/>
      <w:pPr>
        <w:tabs>
          <w:tab w:val="num" w:pos="3600"/>
        </w:tabs>
        <w:ind w:left="3600" w:hanging="360"/>
      </w:pPr>
      <w:rPr>
        <w:rFonts w:ascii="Arial" w:hAnsi="Arial" w:hint="default"/>
      </w:rPr>
    </w:lvl>
    <w:lvl w:ilvl="5" w:tplc="C0B0D5F4" w:tentative="1">
      <w:start w:val="1"/>
      <w:numFmt w:val="bullet"/>
      <w:lvlText w:val="•"/>
      <w:lvlJc w:val="left"/>
      <w:pPr>
        <w:tabs>
          <w:tab w:val="num" w:pos="4320"/>
        </w:tabs>
        <w:ind w:left="4320" w:hanging="360"/>
      </w:pPr>
      <w:rPr>
        <w:rFonts w:ascii="Arial" w:hAnsi="Arial" w:hint="default"/>
      </w:rPr>
    </w:lvl>
    <w:lvl w:ilvl="6" w:tplc="91667A00" w:tentative="1">
      <w:start w:val="1"/>
      <w:numFmt w:val="bullet"/>
      <w:lvlText w:val="•"/>
      <w:lvlJc w:val="left"/>
      <w:pPr>
        <w:tabs>
          <w:tab w:val="num" w:pos="5040"/>
        </w:tabs>
        <w:ind w:left="5040" w:hanging="360"/>
      </w:pPr>
      <w:rPr>
        <w:rFonts w:ascii="Arial" w:hAnsi="Arial" w:hint="default"/>
      </w:rPr>
    </w:lvl>
    <w:lvl w:ilvl="7" w:tplc="B82ADCDE" w:tentative="1">
      <w:start w:val="1"/>
      <w:numFmt w:val="bullet"/>
      <w:lvlText w:val="•"/>
      <w:lvlJc w:val="left"/>
      <w:pPr>
        <w:tabs>
          <w:tab w:val="num" w:pos="5760"/>
        </w:tabs>
        <w:ind w:left="5760" w:hanging="360"/>
      </w:pPr>
      <w:rPr>
        <w:rFonts w:ascii="Arial" w:hAnsi="Arial" w:hint="default"/>
      </w:rPr>
    </w:lvl>
    <w:lvl w:ilvl="8" w:tplc="B01CA7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6D202D"/>
    <w:multiLevelType w:val="hybridMultilevel"/>
    <w:tmpl w:val="23168EAA"/>
    <w:lvl w:ilvl="0" w:tplc="B40011A8">
      <w:start w:val="1"/>
      <w:numFmt w:val="bullet"/>
      <w:lvlText w:val="•"/>
      <w:lvlJc w:val="left"/>
      <w:pPr>
        <w:tabs>
          <w:tab w:val="num" w:pos="720"/>
        </w:tabs>
        <w:ind w:left="720" w:hanging="360"/>
      </w:pPr>
      <w:rPr>
        <w:rFonts w:ascii="Arial" w:hAnsi="Arial" w:hint="default"/>
      </w:rPr>
    </w:lvl>
    <w:lvl w:ilvl="1" w:tplc="C7163DE2">
      <w:numFmt w:val="bullet"/>
      <w:lvlText w:val="•"/>
      <w:lvlJc w:val="left"/>
      <w:pPr>
        <w:tabs>
          <w:tab w:val="num" w:pos="1440"/>
        </w:tabs>
        <w:ind w:left="1440" w:hanging="360"/>
      </w:pPr>
      <w:rPr>
        <w:rFonts w:ascii="Arial" w:hAnsi="Arial" w:hint="default"/>
      </w:rPr>
    </w:lvl>
    <w:lvl w:ilvl="2" w:tplc="8DB61D5A" w:tentative="1">
      <w:start w:val="1"/>
      <w:numFmt w:val="bullet"/>
      <w:lvlText w:val="•"/>
      <w:lvlJc w:val="left"/>
      <w:pPr>
        <w:tabs>
          <w:tab w:val="num" w:pos="2160"/>
        </w:tabs>
        <w:ind w:left="2160" w:hanging="360"/>
      </w:pPr>
      <w:rPr>
        <w:rFonts w:ascii="Arial" w:hAnsi="Arial" w:hint="default"/>
      </w:rPr>
    </w:lvl>
    <w:lvl w:ilvl="3" w:tplc="50042206" w:tentative="1">
      <w:start w:val="1"/>
      <w:numFmt w:val="bullet"/>
      <w:lvlText w:val="•"/>
      <w:lvlJc w:val="left"/>
      <w:pPr>
        <w:tabs>
          <w:tab w:val="num" w:pos="2880"/>
        </w:tabs>
        <w:ind w:left="2880" w:hanging="360"/>
      </w:pPr>
      <w:rPr>
        <w:rFonts w:ascii="Arial" w:hAnsi="Arial" w:hint="default"/>
      </w:rPr>
    </w:lvl>
    <w:lvl w:ilvl="4" w:tplc="9268460A" w:tentative="1">
      <w:start w:val="1"/>
      <w:numFmt w:val="bullet"/>
      <w:lvlText w:val="•"/>
      <w:lvlJc w:val="left"/>
      <w:pPr>
        <w:tabs>
          <w:tab w:val="num" w:pos="3600"/>
        </w:tabs>
        <w:ind w:left="3600" w:hanging="360"/>
      </w:pPr>
      <w:rPr>
        <w:rFonts w:ascii="Arial" w:hAnsi="Arial" w:hint="default"/>
      </w:rPr>
    </w:lvl>
    <w:lvl w:ilvl="5" w:tplc="410497EC" w:tentative="1">
      <w:start w:val="1"/>
      <w:numFmt w:val="bullet"/>
      <w:lvlText w:val="•"/>
      <w:lvlJc w:val="left"/>
      <w:pPr>
        <w:tabs>
          <w:tab w:val="num" w:pos="4320"/>
        </w:tabs>
        <w:ind w:left="4320" w:hanging="360"/>
      </w:pPr>
      <w:rPr>
        <w:rFonts w:ascii="Arial" w:hAnsi="Arial" w:hint="default"/>
      </w:rPr>
    </w:lvl>
    <w:lvl w:ilvl="6" w:tplc="CD54A486" w:tentative="1">
      <w:start w:val="1"/>
      <w:numFmt w:val="bullet"/>
      <w:lvlText w:val="•"/>
      <w:lvlJc w:val="left"/>
      <w:pPr>
        <w:tabs>
          <w:tab w:val="num" w:pos="5040"/>
        </w:tabs>
        <w:ind w:left="5040" w:hanging="360"/>
      </w:pPr>
      <w:rPr>
        <w:rFonts w:ascii="Arial" w:hAnsi="Arial" w:hint="default"/>
      </w:rPr>
    </w:lvl>
    <w:lvl w:ilvl="7" w:tplc="26DA03B8" w:tentative="1">
      <w:start w:val="1"/>
      <w:numFmt w:val="bullet"/>
      <w:lvlText w:val="•"/>
      <w:lvlJc w:val="left"/>
      <w:pPr>
        <w:tabs>
          <w:tab w:val="num" w:pos="5760"/>
        </w:tabs>
        <w:ind w:left="5760" w:hanging="360"/>
      </w:pPr>
      <w:rPr>
        <w:rFonts w:ascii="Arial" w:hAnsi="Arial" w:hint="default"/>
      </w:rPr>
    </w:lvl>
    <w:lvl w:ilvl="8" w:tplc="08C024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72034C"/>
    <w:multiLevelType w:val="hybridMultilevel"/>
    <w:tmpl w:val="7750A874"/>
    <w:lvl w:ilvl="0" w:tplc="0D304EA2">
      <w:start w:val="1"/>
      <w:numFmt w:val="bullet"/>
      <w:lvlText w:val="•"/>
      <w:lvlJc w:val="left"/>
      <w:pPr>
        <w:tabs>
          <w:tab w:val="num" w:pos="720"/>
        </w:tabs>
        <w:ind w:left="720" w:hanging="360"/>
      </w:pPr>
      <w:rPr>
        <w:rFonts w:ascii="Arial" w:hAnsi="Arial" w:hint="default"/>
      </w:rPr>
    </w:lvl>
    <w:lvl w:ilvl="1" w:tplc="11F4294E">
      <w:numFmt w:val="bullet"/>
      <w:lvlText w:val="•"/>
      <w:lvlJc w:val="left"/>
      <w:pPr>
        <w:tabs>
          <w:tab w:val="num" w:pos="1440"/>
        </w:tabs>
        <w:ind w:left="1440" w:hanging="360"/>
      </w:pPr>
      <w:rPr>
        <w:rFonts w:ascii="Arial" w:hAnsi="Arial" w:hint="default"/>
      </w:rPr>
    </w:lvl>
    <w:lvl w:ilvl="2" w:tplc="16C0030A">
      <w:numFmt w:val="bullet"/>
      <w:lvlText w:val="•"/>
      <w:lvlJc w:val="left"/>
      <w:pPr>
        <w:tabs>
          <w:tab w:val="num" w:pos="2160"/>
        </w:tabs>
        <w:ind w:left="2160" w:hanging="360"/>
      </w:pPr>
      <w:rPr>
        <w:rFonts w:ascii="Arial" w:hAnsi="Arial" w:hint="default"/>
      </w:rPr>
    </w:lvl>
    <w:lvl w:ilvl="3" w:tplc="F7CA9648" w:tentative="1">
      <w:start w:val="1"/>
      <w:numFmt w:val="bullet"/>
      <w:lvlText w:val="•"/>
      <w:lvlJc w:val="left"/>
      <w:pPr>
        <w:tabs>
          <w:tab w:val="num" w:pos="2880"/>
        </w:tabs>
        <w:ind w:left="2880" w:hanging="360"/>
      </w:pPr>
      <w:rPr>
        <w:rFonts w:ascii="Arial" w:hAnsi="Arial" w:hint="default"/>
      </w:rPr>
    </w:lvl>
    <w:lvl w:ilvl="4" w:tplc="CACA230C" w:tentative="1">
      <w:start w:val="1"/>
      <w:numFmt w:val="bullet"/>
      <w:lvlText w:val="•"/>
      <w:lvlJc w:val="left"/>
      <w:pPr>
        <w:tabs>
          <w:tab w:val="num" w:pos="3600"/>
        </w:tabs>
        <w:ind w:left="3600" w:hanging="360"/>
      </w:pPr>
      <w:rPr>
        <w:rFonts w:ascii="Arial" w:hAnsi="Arial" w:hint="default"/>
      </w:rPr>
    </w:lvl>
    <w:lvl w:ilvl="5" w:tplc="C8A2A252" w:tentative="1">
      <w:start w:val="1"/>
      <w:numFmt w:val="bullet"/>
      <w:lvlText w:val="•"/>
      <w:lvlJc w:val="left"/>
      <w:pPr>
        <w:tabs>
          <w:tab w:val="num" w:pos="4320"/>
        </w:tabs>
        <w:ind w:left="4320" w:hanging="360"/>
      </w:pPr>
      <w:rPr>
        <w:rFonts w:ascii="Arial" w:hAnsi="Arial" w:hint="default"/>
      </w:rPr>
    </w:lvl>
    <w:lvl w:ilvl="6" w:tplc="8C807E2A" w:tentative="1">
      <w:start w:val="1"/>
      <w:numFmt w:val="bullet"/>
      <w:lvlText w:val="•"/>
      <w:lvlJc w:val="left"/>
      <w:pPr>
        <w:tabs>
          <w:tab w:val="num" w:pos="5040"/>
        </w:tabs>
        <w:ind w:left="5040" w:hanging="360"/>
      </w:pPr>
      <w:rPr>
        <w:rFonts w:ascii="Arial" w:hAnsi="Arial" w:hint="default"/>
      </w:rPr>
    </w:lvl>
    <w:lvl w:ilvl="7" w:tplc="7F623960" w:tentative="1">
      <w:start w:val="1"/>
      <w:numFmt w:val="bullet"/>
      <w:lvlText w:val="•"/>
      <w:lvlJc w:val="left"/>
      <w:pPr>
        <w:tabs>
          <w:tab w:val="num" w:pos="5760"/>
        </w:tabs>
        <w:ind w:left="5760" w:hanging="360"/>
      </w:pPr>
      <w:rPr>
        <w:rFonts w:ascii="Arial" w:hAnsi="Arial" w:hint="default"/>
      </w:rPr>
    </w:lvl>
    <w:lvl w:ilvl="8" w:tplc="804205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AF74F4"/>
    <w:multiLevelType w:val="hybridMultilevel"/>
    <w:tmpl w:val="2E40CCD8"/>
    <w:lvl w:ilvl="0" w:tplc="281C158A">
      <w:start w:val="1"/>
      <w:numFmt w:val="bullet"/>
      <w:lvlText w:val="•"/>
      <w:lvlJc w:val="left"/>
      <w:pPr>
        <w:tabs>
          <w:tab w:val="num" w:pos="720"/>
        </w:tabs>
        <w:ind w:left="720" w:hanging="360"/>
      </w:pPr>
      <w:rPr>
        <w:rFonts w:ascii="Arial" w:hAnsi="Arial" w:hint="default"/>
      </w:rPr>
    </w:lvl>
    <w:lvl w:ilvl="1" w:tplc="CDBC6070" w:tentative="1">
      <w:start w:val="1"/>
      <w:numFmt w:val="bullet"/>
      <w:lvlText w:val="•"/>
      <w:lvlJc w:val="left"/>
      <w:pPr>
        <w:tabs>
          <w:tab w:val="num" w:pos="1440"/>
        </w:tabs>
        <w:ind w:left="1440" w:hanging="360"/>
      </w:pPr>
      <w:rPr>
        <w:rFonts w:ascii="Arial" w:hAnsi="Arial" w:hint="default"/>
      </w:rPr>
    </w:lvl>
    <w:lvl w:ilvl="2" w:tplc="18FAA490" w:tentative="1">
      <w:start w:val="1"/>
      <w:numFmt w:val="bullet"/>
      <w:lvlText w:val="•"/>
      <w:lvlJc w:val="left"/>
      <w:pPr>
        <w:tabs>
          <w:tab w:val="num" w:pos="2160"/>
        </w:tabs>
        <w:ind w:left="2160" w:hanging="360"/>
      </w:pPr>
      <w:rPr>
        <w:rFonts w:ascii="Arial" w:hAnsi="Arial" w:hint="default"/>
      </w:rPr>
    </w:lvl>
    <w:lvl w:ilvl="3" w:tplc="B2445EF4" w:tentative="1">
      <w:start w:val="1"/>
      <w:numFmt w:val="bullet"/>
      <w:lvlText w:val="•"/>
      <w:lvlJc w:val="left"/>
      <w:pPr>
        <w:tabs>
          <w:tab w:val="num" w:pos="2880"/>
        </w:tabs>
        <w:ind w:left="2880" w:hanging="360"/>
      </w:pPr>
      <w:rPr>
        <w:rFonts w:ascii="Arial" w:hAnsi="Arial" w:hint="default"/>
      </w:rPr>
    </w:lvl>
    <w:lvl w:ilvl="4" w:tplc="1C787CFE" w:tentative="1">
      <w:start w:val="1"/>
      <w:numFmt w:val="bullet"/>
      <w:lvlText w:val="•"/>
      <w:lvlJc w:val="left"/>
      <w:pPr>
        <w:tabs>
          <w:tab w:val="num" w:pos="3600"/>
        </w:tabs>
        <w:ind w:left="3600" w:hanging="360"/>
      </w:pPr>
      <w:rPr>
        <w:rFonts w:ascii="Arial" w:hAnsi="Arial" w:hint="default"/>
      </w:rPr>
    </w:lvl>
    <w:lvl w:ilvl="5" w:tplc="BFF254BE" w:tentative="1">
      <w:start w:val="1"/>
      <w:numFmt w:val="bullet"/>
      <w:lvlText w:val="•"/>
      <w:lvlJc w:val="left"/>
      <w:pPr>
        <w:tabs>
          <w:tab w:val="num" w:pos="4320"/>
        </w:tabs>
        <w:ind w:left="4320" w:hanging="360"/>
      </w:pPr>
      <w:rPr>
        <w:rFonts w:ascii="Arial" w:hAnsi="Arial" w:hint="default"/>
      </w:rPr>
    </w:lvl>
    <w:lvl w:ilvl="6" w:tplc="8FF65E66" w:tentative="1">
      <w:start w:val="1"/>
      <w:numFmt w:val="bullet"/>
      <w:lvlText w:val="•"/>
      <w:lvlJc w:val="left"/>
      <w:pPr>
        <w:tabs>
          <w:tab w:val="num" w:pos="5040"/>
        </w:tabs>
        <w:ind w:left="5040" w:hanging="360"/>
      </w:pPr>
      <w:rPr>
        <w:rFonts w:ascii="Arial" w:hAnsi="Arial" w:hint="default"/>
      </w:rPr>
    </w:lvl>
    <w:lvl w:ilvl="7" w:tplc="DF428E80" w:tentative="1">
      <w:start w:val="1"/>
      <w:numFmt w:val="bullet"/>
      <w:lvlText w:val="•"/>
      <w:lvlJc w:val="left"/>
      <w:pPr>
        <w:tabs>
          <w:tab w:val="num" w:pos="5760"/>
        </w:tabs>
        <w:ind w:left="5760" w:hanging="360"/>
      </w:pPr>
      <w:rPr>
        <w:rFonts w:ascii="Arial" w:hAnsi="Arial" w:hint="default"/>
      </w:rPr>
    </w:lvl>
    <w:lvl w:ilvl="8" w:tplc="31026D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25444"/>
    <w:multiLevelType w:val="hybridMultilevel"/>
    <w:tmpl w:val="F38008AA"/>
    <w:lvl w:ilvl="0" w:tplc="D89439F2">
      <w:start w:val="1"/>
      <w:numFmt w:val="bullet"/>
      <w:lvlText w:val="•"/>
      <w:lvlJc w:val="left"/>
      <w:pPr>
        <w:tabs>
          <w:tab w:val="num" w:pos="720"/>
        </w:tabs>
        <w:ind w:left="720" w:hanging="360"/>
      </w:pPr>
      <w:rPr>
        <w:rFonts w:ascii="Arial" w:hAnsi="Arial" w:hint="default"/>
      </w:rPr>
    </w:lvl>
    <w:lvl w:ilvl="1" w:tplc="49F6F444" w:tentative="1">
      <w:start w:val="1"/>
      <w:numFmt w:val="bullet"/>
      <w:lvlText w:val="•"/>
      <w:lvlJc w:val="left"/>
      <w:pPr>
        <w:tabs>
          <w:tab w:val="num" w:pos="1440"/>
        </w:tabs>
        <w:ind w:left="1440" w:hanging="360"/>
      </w:pPr>
      <w:rPr>
        <w:rFonts w:ascii="Arial" w:hAnsi="Arial" w:hint="default"/>
      </w:rPr>
    </w:lvl>
    <w:lvl w:ilvl="2" w:tplc="5E6CAAEE" w:tentative="1">
      <w:start w:val="1"/>
      <w:numFmt w:val="bullet"/>
      <w:lvlText w:val="•"/>
      <w:lvlJc w:val="left"/>
      <w:pPr>
        <w:tabs>
          <w:tab w:val="num" w:pos="2160"/>
        </w:tabs>
        <w:ind w:left="2160" w:hanging="360"/>
      </w:pPr>
      <w:rPr>
        <w:rFonts w:ascii="Arial" w:hAnsi="Arial" w:hint="default"/>
      </w:rPr>
    </w:lvl>
    <w:lvl w:ilvl="3" w:tplc="E1D06C86" w:tentative="1">
      <w:start w:val="1"/>
      <w:numFmt w:val="bullet"/>
      <w:lvlText w:val="•"/>
      <w:lvlJc w:val="left"/>
      <w:pPr>
        <w:tabs>
          <w:tab w:val="num" w:pos="2880"/>
        </w:tabs>
        <w:ind w:left="2880" w:hanging="360"/>
      </w:pPr>
      <w:rPr>
        <w:rFonts w:ascii="Arial" w:hAnsi="Arial" w:hint="default"/>
      </w:rPr>
    </w:lvl>
    <w:lvl w:ilvl="4" w:tplc="B324E312" w:tentative="1">
      <w:start w:val="1"/>
      <w:numFmt w:val="bullet"/>
      <w:lvlText w:val="•"/>
      <w:lvlJc w:val="left"/>
      <w:pPr>
        <w:tabs>
          <w:tab w:val="num" w:pos="3600"/>
        </w:tabs>
        <w:ind w:left="3600" w:hanging="360"/>
      </w:pPr>
      <w:rPr>
        <w:rFonts w:ascii="Arial" w:hAnsi="Arial" w:hint="default"/>
      </w:rPr>
    </w:lvl>
    <w:lvl w:ilvl="5" w:tplc="A8A4431A" w:tentative="1">
      <w:start w:val="1"/>
      <w:numFmt w:val="bullet"/>
      <w:lvlText w:val="•"/>
      <w:lvlJc w:val="left"/>
      <w:pPr>
        <w:tabs>
          <w:tab w:val="num" w:pos="4320"/>
        </w:tabs>
        <w:ind w:left="4320" w:hanging="360"/>
      </w:pPr>
      <w:rPr>
        <w:rFonts w:ascii="Arial" w:hAnsi="Arial" w:hint="default"/>
      </w:rPr>
    </w:lvl>
    <w:lvl w:ilvl="6" w:tplc="C7CEA86C" w:tentative="1">
      <w:start w:val="1"/>
      <w:numFmt w:val="bullet"/>
      <w:lvlText w:val="•"/>
      <w:lvlJc w:val="left"/>
      <w:pPr>
        <w:tabs>
          <w:tab w:val="num" w:pos="5040"/>
        </w:tabs>
        <w:ind w:left="5040" w:hanging="360"/>
      </w:pPr>
      <w:rPr>
        <w:rFonts w:ascii="Arial" w:hAnsi="Arial" w:hint="default"/>
      </w:rPr>
    </w:lvl>
    <w:lvl w:ilvl="7" w:tplc="BF72F9C8" w:tentative="1">
      <w:start w:val="1"/>
      <w:numFmt w:val="bullet"/>
      <w:lvlText w:val="•"/>
      <w:lvlJc w:val="left"/>
      <w:pPr>
        <w:tabs>
          <w:tab w:val="num" w:pos="5760"/>
        </w:tabs>
        <w:ind w:left="5760" w:hanging="360"/>
      </w:pPr>
      <w:rPr>
        <w:rFonts w:ascii="Arial" w:hAnsi="Arial" w:hint="default"/>
      </w:rPr>
    </w:lvl>
    <w:lvl w:ilvl="8" w:tplc="0A1663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4"/>
  </w:num>
  <w:num w:numId="3">
    <w:abstractNumId w:val="26"/>
  </w:num>
  <w:num w:numId="4">
    <w:abstractNumId w:val="5"/>
  </w:num>
  <w:num w:numId="5">
    <w:abstractNumId w:val="11"/>
  </w:num>
  <w:num w:numId="6">
    <w:abstractNumId w:val="22"/>
  </w:num>
  <w:num w:numId="7">
    <w:abstractNumId w:val="15"/>
  </w:num>
  <w:num w:numId="8">
    <w:abstractNumId w:val="28"/>
    <w:lvlOverride w:ilvl="0">
      <w:startOverride w:val="1"/>
    </w:lvlOverride>
  </w:num>
  <w:num w:numId="9">
    <w:abstractNumId w:val="21"/>
  </w:num>
  <w:num w:numId="10">
    <w:abstractNumId w:val="25"/>
  </w:num>
  <w:num w:numId="11">
    <w:abstractNumId w:val="9"/>
  </w:num>
  <w:num w:numId="12">
    <w:abstractNumId w:val="19"/>
  </w:num>
  <w:num w:numId="13">
    <w:abstractNumId w:val="12"/>
  </w:num>
  <w:num w:numId="14">
    <w:abstractNumId w:val="23"/>
  </w:num>
  <w:num w:numId="15">
    <w:abstractNumId w:val="1"/>
  </w:num>
  <w:num w:numId="16">
    <w:abstractNumId w:val="17"/>
  </w:num>
  <w:num w:numId="17">
    <w:abstractNumId w:val="27"/>
  </w:num>
  <w:num w:numId="18">
    <w:abstractNumId w:val="7"/>
  </w:num>
  <w:num w:numId="19">
    <w:abstractNumId w:val="8"/>
  </w:num>
  <w:num w:numId="20">
    <w:abstractNumId w:val="2"/>
  </w:num>
  <w:num w:numId="21">
    <w:abstractNumId w:val="6"/>
  </w:num>
  <w:num w:numId="22">
    <w:abstractNumId w:val="20"/>
  </w:num>
  <w:num w:numId="23">
    <w:abstractNumId w:val="4"/>
  </w:num>
  <w:num w:numId="24">
    <w:abstractNumId w:val="10"/>
  </w:num>
  <w:num w:numId="25">
    <w:abstractNumId w:val="18"/>
  </w:num>
  <w:num w:numId="26">
    <w:abstractNumId w:val="14"/>
  </w:num>
  <w:num w:numId="27">
    <w:abstractNumId w:val="3"/>
  </w:num>
  <w:num w:numId="28">
    <w:abstractNumId w:val="1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FC6"/>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24E"/>
    <w:rsid w:val="000E2303"/>
    <w:rsid w:val="000E2734"/>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37DAB"/>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E4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DA5"/>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D5"/>
    <w:rsid w:val="004742E0"/>
    <w:rsid w:val="0047450A"/>
    <w:rsid w:val="00474729"/>
    <w:rsid w:val="00474788"/>
    <w:rsid w:val="004748F5"/>
    <w:rsid w:val="00474D7D"/>
    <w:rsid w:val="00474E00"/>
    <w:rsid w:val="00474EDA"/>
    <w:rsid w:val="00475760"/>
    <w:rsid w:val="00475E47"/>
    <w:rsid w:val="00475F67"/>
    <w:rsid w:val="00476139"/>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2FE1"/>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BF"/>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5D2"/>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DB4"/>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7D3"/>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84"/>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EFC"/>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29"/>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22"/>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B9E"/>
    <w:rsid w:val="00CB5F0C"/>
    <w:rsid w:val="00CB68BF"/>
    <w:rsid w:val="00CB68CB"/>
    <w:rsid w:val="00CB6B5B"/>
    <w:rsid w:val="00CB6CB3"/>
    <w:rsid w:val="00CB6D87"/>
    <w:rsid w:val="00CB76E9"/>
    <w:rsid w:val="00CB7A5F"/>
    <w:rsid w:val="00CB7C36"/>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E1B"/>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62E"/>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5CD"/>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7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1F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23A"/>
    <w:rsid w:val="00F23424"/>
    <w:rsid w:val="00F23822"/>
    <w:rsid w:val="00F23B11"/>
    <w:rsid w:val="00F241DE"/>
    <w:rsid w:val="00F244F5"/>
    <w:rsid w:val="00F247E6"/>
    <w:rsid w:val="00F247FB"/>
    <w:rsid w:val="00F24A06"/>
    <w:rsid w:val="00F24FF4"/>
    <w:rsid w:val="00F25320"/>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30A"/>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EAE"/>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498">
      <w:bodyDiv w:val="1"/>
      <w:marLeft w:val="0"/>
      <w:marRight w:val="0"/>
      <w:marTop w:val="0"/>
      <w:marBottom w:val="0"/>
      <w:divBdr>
        <w:top w:val="none" w:sz="0" w:space="0" w:color="auto"/>
        <w:left w:val="none" w:sz="0" w:space="0" w:color="auto"/>
        <w:bottom w:val="none" w:sz="0" w:space="0" w:color="auto"/>
        <w:right w:val="none" w:sz="0" w:space="0" w:color="auto"/>
      </w:divBdr>
      <w:divsChild>
        <w:div w:id="41296346">
          <w:marLeft w:val="547"/>
          <w:marRight w:val="0"/>
          <w:marTop w:val="96"/>
          <w:marBottom w:val="0"/>
          <w:divBdr>
            <w:top w:val="none" w:sz="0" w:space="0" w:color="auto"/>
            <w:left w:val="none" w:sz="0" w:space="0" w:color="auto"/>
            <w:bottom w:val="none" w:sz="0" w:space="0" w:color="auto"/>
            <w:right w:val="none" w:sz="0" w:space="0" w:color="auto"/>
          </w:divBdr>
        </w:div>
        <w:div w:id="581722143">
          <w:marLeft w:val="1166"/>
          <w:marRight w:val="0"/>
          <w:marTop w:val="86"/>
          <w:marBottom w:val="0"/>
          <w:divBdr>
            <w:top w:val="none" w:sz="0" w:space="0" w:color="auto"/>
            <w:left w:val="none" w:sz="0" w:space="0" w:color="auto"/>
            <w:bottom w:val="none" w:sz="0" w:space="0" w:color="auto"/>
            <w:right w:val="none" w:sz="0" w:space="0" w:color="auto"/>
          </w:divBdr>
        </w:div>
        <w:div w:id="1814444016">
          <w:marLeft w:val="1166"/>
          <w:marRight w:val="0"/>
          <w:marTop w:val="86"/>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827951">
      <w:bodyDiv w:val="1"/>
      <w:marLeft w:val="0"/>
      <w:marRight w:val="0"/>
      <w:marTop w:val="0"/>
      <w:marBottom w:val="0"/>
      <w:divBdr>
        <w:top w:val="none" w:sz="0" w:space="0" w:color="auto"/>
        <w:left w:val="none" w:sz="0" w:space="0" w:color="auto"/>
        <w:bottom w:val="none" w:sz="0" w:space="0" w:color="auto"/>
        <w:right w:val="none" w:sz="0" w:space="0" w:color="auto"/>
      </w:divBdr>
      <w:divsChild>
        <w:div w:id="2132089334">
          <w:marLeft w:val="360"/>
          <w:marRight w:val="0"/>
          <w:marTop w:val="200"/>
          <w:marBottom w:val="18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9219033">
      <w:bodyDiv w:val="1"/>
      <w:marLeft w:val="0"/>
      <w:marRight w:val="0"/>
      <w:marTop w:val="0"/>
      <w:marBottom w:val="0"/>
      <w:divBdr>
        <w:top w:val="none" w:sz="0" w:space="0" w:color="auto"/>
        <w:left w:val="none" w:sz="0" w:space="0" w:color="auto"/>
        <w:bottom w:val="none" w:sz="0" w:space="0" w:color="auto"/>
        <w:right w:val="none" w:sz="0" w:space="0" w:color="auto"/>
      </w:divBdr>
      <w:divsChild>
        <w:div w:id="929120968">
          <w:marLeft w:val="547"/>
          <w:marRight w:val="0"/>
          <w:marTop w:val="96"/>
          <w:marBottom w:val="0"/>
          <w:divBdr>
            <w:top w:val="none" w:sz="0" w:space="0" w:color="auto"/>
            <w:left w:val="none" w:sz="0" w:space="0" w:color="auto"/>
            <w:bottom w:val="none" w:sz="0" w:space="0" w:color="auto"/>
            <w:right w:val="none" w:sz="0" w:space="0" w:color="auto"/>
          </w:divBdr>
        </w:div>
        <w:div w:id="1119104544">
          <w:marLeft w:val="1166"/>
          <w:marRight w:val="0"/>
          <w:marTop w:val="8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2250332">
      <w:bodyDiv w:val="1"/>
      <w:marLeft w:val="0"/>
      <w:marRight w:val="0"/>
      <w:marTop w:val="0"/>
      <w:marBottom w:val="0"/>
      <w:divBdr>
        <w:top w:val="none" w:sz="0" w:space="0" w:color="auto"/>
        <w:left w:val="none" w:sz="0" w:space="0" w:color="auto"/>
        <w:bottom w:val="none" w:sz="0" w:space="0" w:color="auto"/>
        <w:right w:val="none" w:sz="0" w:space="0" w:color="auto"/>
      </w:divBdr>
      <w:divsChild>
        <w:div w:id="1437940529">
          <w:marLeft w:val="360"/>
          <w:marRight w:val="0"/>
          <w:marTop w:val="200"/>
          <w:marBottom w:val="180"/>
          <w:divBdr>
            <w:top w:val="none" w:sz="0" w:space="0" w:color="auto"/>
            <w:left w:val="none" w:sz="0" w:space="0" w:color="auto"/>
            <w:bottom w:val="none" w:sz="0" w:space="0" w:color="auto"/>
            <w:right w:val="none" w:sz="0" w:space="0" w:color="auto"/>
          </w:divBdr>
        </w:div>
        <w:div w:id="1503885398">
          <w:marLeft w:val="1080"/>
          <w:marRight w:val="0"/>
          <w:marTop w:val="100"/>
          <w:marBottom w:val="180"/>
          <w:divBdr>
            <w:top w:val="none" w:sz="0" w:space="0" w:color="auto"/>
            <w:left w:val="none" w:sz="0" w:space="0" w:color="auto"/>
            <w:bottom w:val="none" w:sz="0" w:space="0" w:color="auto"/>
            <w:right w:val="none" w:sz="0" w:space="0" w:color="auto"/>
          </w:divBdr>
        </w:div>
        <w:div w:id="2147045571">
          <w:marLeft w:val="1080"/>
          <w:marRight w:val="0"/>
          <w:marTop w:val="100"/>
          <w:marBottom w:val="180"/>
          <w:divBdr>
            <w:top w:val="none" w:sz="0" w:space="0" w:color="auto"/>
            <w:left w:val="none" w:sz="0" w:space="0" w:color="auto"/>
            <w:bottom w:val="none" w:sz="0" w:space="0" w:color="auto"/>
            <w:right w:val="none" w:sz="0" w:space="0" w:color="auto"/>
          </w:divBdr>
        </w:div>
        <w:div w:id="2060670637">
          <w:marLeft w:val="360"/>
          <w:marRight w:val="0"/>
          <w:marTop w:val="200"/>
          <w:marBottom w:val="180"/>
          <w:divBdr>
            <w:top w:val="none" w:sz="0" w:space="0" w:color="auto"/>
            <w:left w:val="none" w:sz="0" w:space="0" w:color="auto"/>
            <w:bottom w:val="none" w:sz="0" w:space="0" w:color="auto"/>
            <w:right w:val="none" w:sz="0" w:space="0" w:color="auto"/>
          </w:divBdr>
        </w:div>
        <w:div w:id="567496043">
          <w:marLeft w:val="360"/>
          <w:marRight w:val="0"/>
          <w:marTop w:val="200"/>
          <w:marBottom w:val="18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7905222">
      <w:bodyDiv w:val="1"/>
      <w:marLeft w:val="0"/>
      <w:marRight w:val="0"/>
      <w:marTop w:val="0"/>
      <w:marBottom w:val="0"/>
      <w:divBdr>
        <w:top w:val="none" w:sz="0" w:space="0" w:color="auto"/>
        <w:left w:val="none" w:sz="0" w:space="0" w:color="auto"/>
        <w:bottom w:val="none" w:sz="0" w:space="0" w:color="auto"/>
        <w:right w:val="none" w:sz="0" w:space="0" w:color="auto"/>
      </w:divBdr>
      <w:divsChild>
        <w:div w:id="938413022">
          <w:marLeft w:val="547"/>
          <w:marRight w:val="0"/>
          <w:marTop w:val="96"/>
          <w:marBottom w:val="0"/>
          <w:divBdr>
            <w:top w:val="none" w:sz="0" w:space="0" w:color="auto"/>
            <w:left w:val="none" w:sz="0" w:space="0" w:color="auto"/>
            <w:bottom w:val="none" w:sz="0" w:space="0" w:color="auto"/>
            <w:right w:val="none" w:sz="0" w:space="0" w:color="auto"/>
          </w:divBdr>
        </w:div>
        <w:div w:id="1018696313">
          <w:marLeft w:val="1166"/>
          <w:marRight w:val="0"/>
          <w:marTop w:val="86"/>
          <w:marBottom w:val="0"/>
          <w:divBdr>
            <w:top w:val="none" w:sz="0" w:space="0" w:color="auto"/>
            <w:left w:val="none" w:sz="0" w:space="0" w:color="auto"/>
            <w:bottom w:val="none" w:sz="0" w:space="0" w:color="auto"/>
            <w:right w:val="none" w:sz="0" w:space="0" w:color="auto"/>
          </w:divBdr>
        </w:div>
        <w:div w:id="957223801">
          <w:marLeft w:val="1166"/>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1315450">
      <w:bodyDiv w:val="1"/>
      <w:marLeft w:val="0"/>
      <w:marRight w:val="0"/>
      <w:marTop w:val="0"/>
      <w:marBottom w:val="0"/>
      <w:divBdr>
        <w:top w:val="none" w:sz="0" w:space="0" w:color="auto"/>
        <w:left w:val="none" w:sz="0" w:space="0" w:color="auto"/>
        <w:bottom w:val="none" w:sz="0" w:space="0" w:color="auto"/>
        <w:right w:val="none" w:sz="0" w:space="0" w:color="auto"/>
      </w:divBdr>
      <w:divsChild>
        <w:div w:id="712924709">
          <w:marLeft w:val="547"/>
          <w:marRight w:val="0"/>
          <w:marTop w:val="144"/>
          <w:marBottom w:val="0"/>
          <w:divBdr>
            <w:top w:val="none" w:sz="0" w:space="0" w:color="auto"/>
            <w:left w:val="none" w:sz="0" w:space="0" w:color="auto"/>
            <w:bottom w:val="none" w:sz="0" w:space="0" w:color="auto"/>
            <w:right w:val="none" w:sz="0" w:space="0" w:color="auto"/>
          </w:divBdr>
        </w:div>
        <w:div w:id="2118938260">
          <w:marLeft w:val="1166"/>
          <w:marRight w:val="0"/>
          <w:marTop w:val="125"/>
          <w:marBottom w:val="0"/>
          <w:divBdr>
            <w:top w:val="none" w:sz="0" w:space="0" w:color="auto"/>
            <w:left w:val="none" w:sz="0" w:space="0" w:color="auto"/>
            <w:bottom w:val="none" w:sz="0" w:space="0" w:color="auto"/>
            <w:right w:val="none" w:sz="0" w:space="0" w:color="auto"/>
          </w:divBdr>
        </w:div>
        <w:div w:id="1677463822">
          <w:marLeft w:val="1166"/>
          <w:marRight w:val="0"/>
          <w:marTop w:val="125"/>
          <w:marBottom w:val="0"/>
          <w:divBdr>
            <w:top w:val="none" w:sz="0" w:space="0" w:color="auto"/>
            <w:left w:val="none" w:sz="0" w:space="0" w:color="auto"/>
            <w:bottom w:val="none" w:sz="0" w:space="0" w:color="auto"/>
            <w:right w:val="none" w:sz="0" w:space="0" w:color="auto"/>
          </w:divBdr>
        </w:div>
        <w:div w:id="706175343">
          <w:marLeft w:val="1166"/>
          <w:marRight w:val="0"/>
          <w:marTop w:val="125"/>
          <w:marBottom w:val="0"/>
          <w:divBdr>
            <w:top w:val="none" w:sz="0" w:space="0" w:color="auto"/>
            <w:left w:val="none" w:sz="0" w:space="0" w:color="auto"/>
            <w:bottom w:val="none" w:sz="0" w:space="0" w:color="auto"/>
            <w:right w:val="none" w:sz="0" w:space="0" w:color="auto"/>
          </w:divBdr>
        </w:div>
        <w:div w:id="1815443418">
          <w:marLeft w:val="1166"/>
          <w:marRight w:val="0"/>
          <w:marTop w:val="125"/>
          <w:marBottom w:val="0"/>
          <w:divBdr>
            <w:top w:val="none" w:sz="0" w:space="0" w:color="auto"/>
            <w:left w:val="none" w:sz="0" w:space="0" w:color="auto"/>
            <w:bottom w:val="none" w:sz="0" w:space="0" w:color="auto"/>
            <w:right w:val="none" w:sz="0" w:space="0" w:color="auto"/>
          </w:divBdr>
        </w:div>
        <w:div w:id="1051341949">
          <w:marLeft w:val="1166"/>
          <w:marRight w:val="0"/>
          <w:marTop w:val="125"/>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40398">
      <w:bodyDiv w:val="1"/>
      <w:marLeft w:val="0"/>
      <w:marRight w:val="0"/>
      <w:marTop w:val="0"/>
      <w:marBottom w:val="0"/>
      <w:divBdr>
        <w:top w:val="none" w:sz="0" w:space="0" w:color="auto"/>
        <w:left w:val="none" w:sz="0" w:space="0" w:color="auto"/>
        <w:bottom w:val="none" w:sz="0" w:space="0" w:color="auto"/>
        <w:right w:val="none" w:sz="0" w:space="0" w:color="auto"/>
      </w:divBdr>
      <w:divsChild>
        <w:div w:id="593167661">
          <w:marLeft w:val="547"/>
          <w:marRight w:val="0"/>
          <w:marTop w:val="96"/>
          <w:marBottom w:val="0"/>
          <w:divBdr>
            <w:top w:val="none" w:sz="0" w:space="0" w:color="auto"/>
            <w:left w:val="none" w:sz="0" w:space="0" w:color="auto"/>
            <w:bottom w:val="none" w:sz="0" w:space="0" w:color="auto"/>
            <w:right w:val="none" w:sz="0" w:space="0" w:color="auto"/>
          </w:divBdr>
        </w:div>
        <w:div w:id="538978051">
          <w:marLeft w:val="1166"/>
          <w:marRight w:val="0"/>
          <w:marTop w:val="86"/>
          <w:marBottom w:val="0"/>
          <w:divBdr>
            <w:top w:val="none" w:sz="0" w:space="0" w:color="auto"/>
            <w:left w:val="none" w:sz="0" w:space="0" w:color="auto"/>
            <w:bottom w:val="none" w:sz="0" w:space="0" w:color="auto"/>
            <w:right w:val="none" w:sz="0" w:space="0" w:color="auto"/>
          </w:divBdr>
        </w:div>
        <w:div w:id="594826138">
          <w:marLeft w:val="1166"/>
          <w:marRight w:val="0"/>
          <w:marTop w:val="86"/>
          <w:marBottom w:val="0"/>
          <w:divBdr>
            <w:top w:val="none" w:sz="0" w:space="0" w:color="auto"/>
            <w:left w:val="none" w:sz="0" w:space="0" w:color="auto"/>
            <w:bottom w:val="none" w:sz="0" w:space="0" w:color="auto"/>
            <w:right w:val="none" w:sz="0" w:space="0" w:color="auto"/>
          </w:divBdr>
        </w:div>
        <w:div w:id="487327973">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099966">
      <w:bodyDiv w:val="1"/>
      <w:marLeft w:val="0"/>
      <w:marRight w:val="0"/>
      <w:marTop w:val="0"/>
      <w:marBottom w:val="0"/>
      <w:divBdr>
        <w:top w:val="none" w:sz="0" w:space="0" w:color="auto"/>
        <w:left w:val="none" w:sz="0" w:space="0" w:color="auto"/>
        <w:bottom w:val="none" w:sz="0" w:space="0" w:color="auto"/>
        <w:right w:val="none" w:sz="0" w:space="0" w:color="auto"/>
      </w:divBdr>
      <w:divsChild>
        <w:div w:id="1478302471">
          <w:marLeft w:val="547"/>
          <w:marRight w:val="0"/>
          <w:marTop w:val="144"/>
          <w:marBottom w:val="0"/>
          <w:divBdr>
            <w:top w:val="none" w:sz="0" w:space="0" w:color="auto"/>
            <w:left w:val="none" w:sz="0" w:space="0" w:color="auto"/>
            <w:bottom w:val="none" w:sz="0" w:space="0" w:color="auto"/>
            <w:right w:val="none" w:sz="0" w:space="0" w:color="auto"/>
          </w:divBdr>
        </w:div>
        <w:div w:id="1567716357">
          <w:marLeft w:val="1166"/>
          <w:marRight w:val="0"/>
          <w:marTop w:val="125"/>
          <w:marBottom w:val="0"/>
          <w:divBdr>
            <w:top w:val="none" w:sz="0" w:space="0" w:color="auto"/>
            <w:left w:val="none" w:sz="0" w:space="0" w:color="auto"/>
            <w:bottom w:val="none" w:sz="0" w:space="0" w:color="auto"/>
            <w:right w:val="none" w:sz="0" w:space="0" w:color="auto"/>
          </w:divBdr>
        </w:div>
        <w:div w:id="1436943833">
          <w:marLeft w:val="1166"/>
          <w:marRight w:val="0"/>
          <w:marTop w:val="125"/>
          <w:marBottom w:val="0"/>
          <w:divBdr>
            <w:top w:val="none" w:sz="0" w:space="0" w:color="auto"/>
            <w:left w:val="none" w:sz="0" w:space="0" w:color="auto"/>
            <w:bottom w:val="none" w:sz="0" w:space="0" w:color="auto"/>
            <w:right w:val="none" w:sz="0" w:space="0" w:color="auto"/>
          </w:divBdr>
        </w:div>
        <w:div w:id="347411835">
          <w:marLeft w:val="1166"/>
          <w:marRight w:val="0"/>
          <w:marTop w:val="125"/>
          <w:marBottom w:val="0"/>
          <w:divBdr>
            <w:top w:val="none" w:sz="0" w:space="0" w:color="auto"/>
            <w:left w:val="none" w:sz="0" w:space="0" w:color="auto"/>
            <w:bottom w:val="none" w:sz="0" w:space="0" w:color="auto"/>
            <w:right w:val="none" w:sz="0" w:space="0" w:color="auto"/>
          </w:divBdr>
        </w:div>
        <w:div w:id="293798959">
          <w:marLeft w:val="1166"/>
          <w:marRight w:val="0"/>
          <w:marTop w:val="125"/>
          <w:marBottom w:val="0"/>
          <w:divBdr>
            <w:top w:val="none" w:sz="0" w:space="0" w:color="auto"/>
            <w:left w:val="none" w:sz="0" w:space="0" w:color="auto"/>
            <w:bottom w:val="none" w:sz="0" w:space="0" w:color="auto"/>
            <w:right w:val="none" w:sz="0" w:space="0" w:color="auto"/>
          </w:divBdr>
        </w:div>
        <w:div w:id="1200051568">
          <w:marLeft w:val="1166"/>
          <w:marRight w:val="0"/>
          <w:marTop w:val="12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2984231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209513">
      <w:bodyDiv w:val="1"/>
      <w:marLeft w:val="0"/>
      <w:marRight w:val="0"/>
      <w:marTop w:val="0"/>
      <w:marBottom w:val="0"/>
      <w:divBdr>
        <w:top w:val="none" w:sz="0" w:space="0" w:color="auto"/>
        <w:left w:val="none" w:sz="0" w:space="0" w:color="auto"/>
        <w:bottom w:val="none" w:sz="0" w:space="0" w:color="auto"/>
        <w:right w:val="none" w:sz="0" w:space="0" w:color="auto"/>
      </w:divBdr>
      <w:divsChild>
        <w:div w:id="19624883">
          <w:marLeft w:val="547"/>
          <w:marRight w:val="0"/>
          <w:marTop w:val="96"/>
          <w:marBottom w:val="0"/>
          <w:divBdr>
            <w:top w:val="none" w:sz="0" w:space="0" w:color="auto"/>
            <w:left w:val="none" w:sz="0" w:space="0" w:color="auto"/>
            <w:bottom w:val="none" w:sz="0" w:space="0" w:color="auto"/>
            <w:right w:val="none" w:sz="0" w:space="0" w:color="auto"/>
          </w:divBdr>
        </w:div>
        <w:div w:id="623387112">
          <w:marLeft w:val="1166"/>
          <w:marRight w:val="0"/>
          <w:marTop w:val="86"/>
          <w:marBottom w:val="0"/>
          <w:divBdr>
            <w:top w:val="none" w:sz="0" w:space="0" w:color="auto"/>
            <w:left w:val="none" w:sz="0" w:space="0" w:color="auto"/>
            <w:bottom w:val="none" w:sz="0" w:space="0" w:color="auto"/>
            <w:right w:val="none" w:sz="0" w:space="0" w:color="auto"/>
          </w:divBdr>
        </w:div>
        <w:div w:id="440686728">
          <w:marLeft w:val="1800"/>
          <w:marRight w:val="0"/>
          <w:marTop w:val="72"/>
          <w:marBottom w:val="0"/>
          <w:divBdr>
            <w:top w:val="none" w:sz="0" w:space="0" w:color="auto"/>
            <w:left w:val="none" w:sz="0" w:space="0" w:color="auto"/>
            <w:bottom w:val="none" w:sz="0" w:space="0" w:color="auto"/>
            <w:right w:val="none" w:sz="0" w:space="0" w:color="auto"/>
          </w:divBdr>
        </w:div>
        <w:div w:id="1017775253">
          <w:marLeft w:val="1800"/>
          <w:marRight w:val="0"/>
          <w:marTop w:val="72"/>
          <w:marBottom w:val="0"/>
          <w:divBdr>
            <w:top w:val="none" w:sz="0" w:space="0" w:color="auto"/>
            <w:left w:val="none" w:sz="0" w:space="0" w:color="auto"/>
            <w:bottom w:val="none" w:sz="0" w:space="0" w:color="auto"/>
            <w:right w:val="none" w:sz="0" w:space="0" w:color="auto"/>
          </w:divBdr>
        </w:div>
        <w:div w:id="1522938936">
          <w:marLeft w:val="1166"/>
          <w:marRight w:val="0"/>
          <w:marTop w:val="86"/>
          <w:marBottom w:val="0"/>
          <w:divBdr>
            <w:top w:val="none" w:sz="0" w:space="0" w:color="auto"/>
            <w:left w:val="none" w:sz="0" w:space="0" w:color="auto"/>
            <w:bottom w:val="none" w:sz="0" w:space="0" w:color="auto"/>
            <w:right w:val="none" w:sz="0" w:space="0" w:color="auto"/>
          </w:divBdr>
        </w:div>
        <w:div w:id="663699747">
          <w:marLeft w:val="547"/>
          <w:marRight w:val="0"/>
          <w:marTop w:val="96"/>
          <w:marBottom w:val="0"/>
          <w:divBdr>
            <w:top w:val="none" w:sz="0" w:space="0" w:color="auto"/>
            <w:left w:val="none" w:sz="0" w:space="0" w:color="auto"/>
            <w:bottom w:val="none" w:sz="0" w:space="0" w:color="auto"/>
            <w:right w:val="none" w:sz="0" w:space="0" w:color="auto"/>
          </w:divBdr>
        </w:div>
        <w:div w:id="88282598">
          <w:marLeft w:val="1166"/>
          <w:marRight w:val="0"/>
          <w:marTop w:val="86"/>
          <w:marBottom w:val="0"/>
          <w:divBdr>
            <w:top w:val="none" w:sz="0" w:space="0" w:color="auto"/>
            <w:left w:val="none" w:sz="0" w:space="0" w:color="auto"/>
            <w:bottom w:val="none" w:sz="0" w:space="0" w:color="auto"/>
            <w:right w:val="none" w:sz="0" w:space="0" w:color="auto"/>
          </w:divBdr>
        </w:div>
        <w:div w:id="710303704">
          <w:marLeft w:val="1166"/>
          <w:marRight w:val="0"/>
          <w:marTop w:val="86"/>
          <w:marBottom w:val="0"/>
          <w:divBdr>
            <w:top w:val="none" w:sz="0" w:space="0" w:color="auto"/>
            <w:left w:val="none" w:sz="0" w:space="0" w:color="auto"/>
            <w:bottom w:val="none" w:sz="0" w:space="0" w:color="auto"/>
            <w:right w:val="none" w:sz="0" w:space="0" w:color="auto"/>
          </w:divBdr>
        </w:div>
        <w:div w:id="983044393">
          <w:marLeft w:val="547"/>
          <w:marRight w:val="0"/>
          <w:marTop w:val="96"/>
          <w:marBottom w:val="0"/>
          <w:divBdr>
            <w:top w:val="none" w:sz="0" w:space="0" w:color="auto"/>
            <w:left w:val="none" w:sz="0" w:space="0" w:color="auto"/>
            <w:bottom w:val="none" w:sz="0" w:space="0" w:color="auto"/>
            <w:right w:val="none" w:sz="0" w:space="0" w:color="auto"/>
          </w:divBdr>
        </w:div>
        <w:div w:id="1138038074">
          <w:marLeft w:val="547"/>
          <w:marRight w:val="0"/>
          <w:marTop w:val="96"/>
          <w:marBottom w:val="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361613">
      <w:bodyDiv w:val="1"/>
      <w:marLeft w:val="0"/>
      <w:marRight w:val="0"/>
      <w:marTop w:val="0"/>
      <w:marBottom w:val="0"/>
      <w:divBdr>
        <w:top w:val="none" w:sz="0" w:space="0" w:color="auto"/>
        <w:left w:val="none" w:sz="0" w:space="0" w:color="auto"/>
        <w:bottom w:val="none" w:sz="0" w:space="0" w:color="auto"/>
        <w:right w:val="none" w:sz="0" w:space="0" w:color="auto"/>
      </w:divBdr>
      <w:divsChild>
        <w:div w:id="97794549">
          <w:marLeft w:val="360"/>
          <w:marRight w:val="0"/>
          <w:marTop w:val="200"/>
          <w:marBottom w:val="0"/>
          <w:divBdr>
            <w:top w:val="none" w:sz="0" w:space="0" w:color="auto"/>
            <w:left w:val="none" w:sz="0" w:space="0" w:color="auto"/>
            <w:bottom w:val="none" w:sz="0" w:space="0" w:color="auto"/>
            <w:right w:val="none" w:sz="0" w:space="0" w:color="auto"/>
          </w:divBdr>
        </w:div>
        <w:div w:id="1060329184">
          <w:marLeft w:val="360"/>
          <w:marRight w:val="0"/>
          <w:marTop w:val="200"/>
          <w:marBottom w:val="0"/>
          <w:divBdr>
            <w:top w:val="none" w:sz="0" w:space="0" w:color="auto"/>
            <w:left w:val="none" w:sz="0" w:space="0" w:color="auto"/>
            <w:bottom w:val="none" w:sz="0" w:space="0" w:color="auto"/>
            <w:right w:val="none" w:sz="0" w:space="0" w:color="auto"/>
          </w:divBdr>
        </w:div>
        <w:div w:id="1887182271">
          <w:marLeft w:val="1080"/>
          <w:marRight w:val="0"/>
          <w:marTop w:val="100"/>
          <w:marBottom w:val="0"/>
          <w:divBdr>
            <w:top w:val="none" w:sz="0" w:space="0" w:color="auto"/>
            <w:left w:val="none" w:sz="0" w:space="0" w:color="auto"/>
            <w:bottom w:val="none" w:sz="0" w:space="0" w:color="auto"/>
            <w:right w:val="none" w:sz="0" w:space="0" w:color="auto"/>
          </w:divBdr>
        </w:div>
        <w:div w:id="1543982351">
          <w:marLeft w:val="1800"/>
          <w:marRight w:val="0"/>
          <w:marTop w:val="100"/>
          <w:marBottom w:val="0"/>
          <w:divBdr>
            <w:top w:val="none" w:sz="0" w:space="0" w:color="auto"/>
            <w:left w:val="none" w:sz="0" w:space="0" w:color="auto"/>
            <w:bottom w:val="none" w:sz="0" w:space="0" w:color="auto"/>
            <w:right w:val="none" w:sz="0" w:space="0" w:color="auto"/>
          </w:divBdr>
        </w:div>
        <w:div w:id="851065692">
          <w:marLeft w:val="1080"/>
          <w:marRight w:val="0"/>
          <w:marTop w:val="100"/>
          <w:marBottom w:val="0"/>
          <w:divBdr>
            <w:top w:val="none" w:sz="0" w:space="0" w:color="auto"/>
            <w:left w:val="none" w:sz="0" w:space="0" w:color="auto"/>
            <w:bottom w:val="none" w:sz="0" w:space="0" w:color="auto"/>
            <w:right w:val="none" w:sz="0" w:space="0" w:color="auto"/>
          </w:divBdr>
        </w:div>
        <w:div w:id="1186288705">
          <w:marLeft w:val="1800"/>
          <w:marRight w:val="0"/>
          <w:marTop w:val="100"/>
          <w:marBottom w:val="0"/>
          <w:divBdr>
            <w:top w:val="none" w:sz="0" w:space="0" w:color="auto"/>
            <w:left w:val="none" w:sz="0" w:space="0" w:color="auto"/>
            <w:bottom w:val="none" w:sz="0" w:space="0" w:color="auto"/>
            <w:right w:val="none" w:sz="0" w:space="0" w:color="auto"/>
          </w:divBdr>
        </w:div>
        <w:div w:id="1705247357">
          <w:marLeft w:val="1080"/>
          <w:marRight w:val="0"/>
          <w:marTop w:val="100"/>
          <w:marBottom w:val="0"/>
          <w:divBdr>
            <w:top w:val="none" w:sz="0" w:space="0" w:color="auto"/>
            <w:left w:val="none" w:sz="0" w:space="0" w:color="auto"/>
            <w:bottom w:val="none" w:sz="0" w:space="0" w:color="auto"/>
            <w:right w:val="none" w:sz="0" w:space="0" w:color="auto"/>
          </w:divBdr>
        </w:div>
        <w:div w:id="1451823756">
          <w:marLeft w:val="1800"/>
          <w:marRight w:val="0"/>
          <w:marTop w:val="100"/>
          <w:marBottom w:val="0"/>
          <w:divBdr>
            <w:top w:val="none" w:sz="0" w:space="0" w:color="auto"/>
            <w:left w:val="none" w:sz="0" w:space="0" w:color="auto"/>
            <w:bottom w:val="none" w:sz="0" w:space="0" w:color="auto"/>
            <w:right w:val="none" w:sz="0" w:space="0" w:color="auto"/>
          </w:divBdr>
        </w:div>
        <w:div w:id="514030708">
          <w:marLeft w:val="360"/>
          <w:marRight w:val="0"/>
          <w:marTop w:val="200"/>
          <w:marBottom w:val="0"/>
          <w:divBdr>
            <w:top w:val="none" w:sz="0" w:space="0" w:color="auto"/>
            <w:left w:val="none" w:sz="0" w:space="0" w:color="auto"/>
            <w:bottom w:val="none" w:sz="0" w:space="0" w:color="auto"/>
            <w:right w:val="none" w:sz="0" w:space="0" w:color="auto"/>
          </w:divBdr>
        </w:div>
        <w:div w:id="680356711">
          <w:marLeft w:val="1080"/>
          <w:marRight w:val="0"/>
          <w:marTop w:val="100"/>
          <w:marBottom w:val="0"/>
          <w:divBdr>
            <w:top w:val="none" w:sz="0" w:space="0" w:color="auto"/>
            <w:left w:val="none" w:sz="0" w:space="0" w:color="auto"/>
            <w:bottom w:val="none" w:sz="0" w:space="0" w:color="auto"/>
            <w:right w:val="none" w:sz="0" w:space="0" w:color="auto"/>
          </w:divBdr>
        </w:div>
        <w:div w:id="949825209">
          <w:marLeft w:val="1800"/>
          <w:marRight w:val="0"/>
          <w:marTop w:val="100"/>
          <w:marBottom w:val="0"/>
          <w:divBdr>
            <w:top w:val="none" w:sz="0" w:space="0" w:color="auto"/>
            <w:left w:val="none" w:sz="0" w:space="0" w:color="auto"/>
            <w:bottom w:val="none" w:sz="0" w:space="0" w:color="auto"/>
            <w:right w:val="none" w:sz="0" w:space="0" w:color="auto"/>
          </w:divBdr>
        </w:div>
        <w:div w:id="1439913856">
          <w:marLeft w:val="1080"/>
          <w:marRight w:val="0"/>
          <w:marTop w:val="10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16504139">
      <w:bodyDiv w:val="1"/>
      <w:marLeft w:val="0"/>
      <w:marRight w:val="0"/>
      <w:marTop w:val="0"/>
      <w:marBottom w:val="0"/>
      <w:divBdr>
        <w:top w:val="none" w:sz="0" w:space="0" w:color="auto"/>
        <w:left w:val="none" w:sz="0" w:space="0" w:color="auto"/>
        <w:bottom w:val="none" w:sz="0" w:space="0" w:color="auto"/>
        <w:right w:val="none" w:sz="0" w:space="0" w:color="auto"/>
      </w:divBdr>
      <w:divsChild>
        <w:div w:id="80682577">
          <w:marLeft w:val="360"/>
          <w:marRight w:val="0"/>
          <w:marTop w:val="200"/>
          <w:marBottom w:val="0"/>
          <w:divBdr>
            <w:top w:val="none" w:sz="0" w:space="0" w:color="auto"/>
            <w:left w:val="none" w:sz="0" w:space="0" w:color="auto"/>
            <w:bottom w:val="none" w:sz="0" w:space="0" w:color="auto"/>
            <w:right w:val="none" w:sz="0" w:space="0" w:color="auto"/>
          </w:divBdr>
        </w:div>
        <w:div w:id="430703185">
          <w:marLeft w:val="360"/>
          <w:marRight w:val="0"/>
          <w:marTop w:val="200"/>
          <w:marBottom w:val="0"/>
          <w:divBdr>
            <w:top w:val="none" w:sz="0" w:space="0" w:color="auto"/>
            <w:left w:val="none" w:sz="0" w:space="0" w:color="auto"/>
            <w:bottom w:val="none" w:sz="0" w:space="0" w:color="auto"/>
            <w:right w:val="none" w:sz="0" w:space="0" w:color="auto"/>
          </w:divBdr>
        </w:div>
        <w:div w:id="20711329">
          <w:marLeft w:val="1080"/>
          <w:marRight w:val="0"/>
          <w:marTop w:val="100"/>
          <w:marBottom w:val="0"/>
          <w:divBdr>
            <w:top w:val="none" w:sz="0" w:space="0" w:color="auto"/>
            <w:left w:val="none" w:sz="0" w:space="0" w:color="auto"/>
            <w:bottom w:val="none" w:sz="0" w:space="0" w:color="auto"/>
            <w:right w:val="none" w:sz="0" w:space="0" w:color="auto"/>
          </w:divBdr>
        </w:div>
        <w:div w:id="909074172">
          <w:marLeft w:val="1800"/>
          <w:marRight w:val="0"/>
          <w:marTop w:val="100"/>
          <w:marBottom w:val="0"/>
          <w:divBdr>
            <w:top w:val="none" w:sz="0" w:space="0" w:color="auto"/>
            <w:left w:val="none" w:sz="0" w:space="0" w:color="auto"/>
            <w:bottom w:val="none" w:sz="0" w:space="0" w:color="auto"/>
            <w:right w:val="none" w:sz="0" w:space="0" w:color="auto"/>
          </w:divBdr>
        </w:div>
        <w:div w:id="985821769">
          <w:marLeft w:val="1080"/>
          <w:marRight w:val="0"/>
          <w:marTop w:val="100"/>
          <w:marBottom w:val="0"/>
          <w:divBdr>
            <w:top w:val="none" w:sz="0" w:space="0" w:color="auto"/>
            <w:left w:val="none" w:sz="0" w:space="0" w:color="auto"/>
            <w:bottom w:val="none" w:sz="0" w:space="0" w:color="auto"/>
            <w:right w:val="none" w:sz="0" w:space="0" w:color="auto"/>
          </w:divBdr>
        </w:div>
        <w:div w:id="1557086395">
          <w:marLeft w:val="1800"/>
          <w:marRight w:val="0"/>
          <w:marTop w:val="100"/>
          <w:marBottom w:val="0"/>
          <w:divBdr>
            <w:top w:val="none" w:sz="0" w:space="0" w:color="auto"/>
            <w:left w:val="none" w:sz="0" w:space="0" w:color="auto"/>
            <w:bottom w:val="none" w:sz="0" w:space="0" w:color="auto"/>
            <w:right w:val="none" w:sz="0" w:space="0" w:color="auto"/>
          </w:divBdr>
        </w:div>
        <w:div w:id="737284249">
          <w:marLeft w:val="1080"/>
          <w:marRight w:val="0"/>
          <w:marTop w:val="100"/>
          <w:marBottom w:val="0"/>
          <w:divBdr>
            <w:top w:val="none" w:sz="0" w:space="0" w:color="auto"/>
            <w:left w:val="none" w:sz="0" w:space="0" w:color="auto"/>
            <w:bottom w:val="none" w:sz="0" w:space="0" w:color="auto"/>
            <w:right w:val="none" w:sz="0" w:space="0" w:color="auto"/>
          </w:divBdr>
        </w:div>
        <w:div w:id="1284654479">
          <w:marLeft w:val="1800"/>
          <w:marRight w:val="0"/>
          <w:marTop w:val="100"/>
          <w:marBottom w:val="0"/>
          <w:divBdr>
            <w:top w:val="none" w:sz="0" w:space="0" w:color="auto"/>
            <w:left w:val="none" w:sz="0" w:space="0" w:color="auto"/>
            <w:bottom w:val="none" w:sz="0" w:space="0" w:color="auto"/>
            <w:right w:val="none" w:sz="0" w:space="0" w:color="auto"/>
          </w:divBdr>
        </w:div>
        <w:div w:id="257523256">
          <w:marLeft w:val="360"/>
          <w:marRight w:val="0"/>
          <w:marTop w:val="200"/>
          <w:marBottom w:val="0"/>
          <w:divBdr>
            <w:top w:val="none" w:sz="0" w:space="0" w:color="auto"/>
            <w:left w:val="none" w:sz="0" w:space="0" w:color="auto"/>
            <w:bottom w:val="none" w:sz="0" w:space="0" w:color="auto"/>
            <w:right w:val="none" w:sz="0" w:space="0" w:color="auto"/>
          </w:divBdr>
        </w:div>
        <w:div w:id="673998327">
          <w:marLeft w:val="1080"/>
          <w:marRight w:val="0"/>
          <w:marTop w:val="100"/>
          <w:marBottom w:val="0"/>
          <w:divBdr>
            <w:top w:val="none" w:sz="0" w:space="0" w:color="auto"/>
            <w:left w:val="none" w:sz="0" w:space="0" w:color="auto"/>
            <w:bottom w:val="none" w:sz="0" w:space="0" w:color="auto"/>
            <w:right w:val="none" w:sz="0" w:space="0" w:color="auto"/>
          </w:divBdr>
        </w:div>
        <w:div w:id="1501235058">
          <w:marLeft w:val="1800"/>
          <w:marRight w:val="0"/>
          <w:marTop w:val="100"/>
          <w:marBottom w:val="0"/>
          <w:divBdr>
            <w:top w:val="none" w:sz="0" w:space="0" w:color="auto"/>
            <w:left w:val="none" w:sz="0" w:space="0" w:color="auto"/>
            <w:bottom w:val="none" w:sz="0" w:space="0" w:color="auto"/>
            <w:right w:val="none" w:sz="0" w:space="0" w:color="auto"/>
          </w:divBdr>
        </w:div>
        <w:div w:id="395127636">
          <w:marLeft w:val="1080"/>
          <w:marRight w:val="0"/>
          <w:marTop w:val="100"/>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264088">
      <w:bodyDiv w:val="1"/>
      <w:marLeft w:val="0"/>
      <w:marRight w:val="0"/>
      <w:marTop w:val="0"/>
      <w:marBottom w:val="0"/>
      <w:divBdr>
        <w:top w:val="none" w:sz="0" w:space="0" w:color="auto"/>
        <w:left w:val="none" w:sz="0" w:space="0" w:color="auto"/>
        <w:bottom w:val="none" w:sz="0" w:space="0" w:color="auto"/>
        <w:right w:val="none" w:sz="0" w:space="0" w:color="auto"/>
      </w:divBdr>
      <w:divsChild>
        <w:div w:id="437912387">
          <w:marLeft w:val="360"/>
          <w:marRight w:val="0"/>
          <w:marTop w:val="200"/>
          <w:marBottom w:val="0"/>
          <w:divBdr>
            <w:top w:val="none" w:sz="0" w:space="0" w:color="auto"/>
            <w:left w:val="none" w:sz="0" w:space="0" w:color="auto"/>
            <w:bottom w:val="none" w:sz="0" w:space="0" w:color="auto"/>
            <w:right w:val="none" w:sz="0" w:space="0" w:color="auto"/>
          </w:divBdr>
        </w:div>
        <w:div w:id="441919441">
          <w:marLeft w:val="360"/>
          <w:marRight w:val="0"/>
          <w:marTop w:val="200"/>
          <w:marBottom w:val="0"/>
          <w:divBdr>
            <w:top w:val="none" w:sz="0" w:space="0" w:color="auto"/>
            <w:left w:val="none" w:sz="0" w:space="0" w:color="auto"/>
            <w:bottom w:val="none" w:sz="0" w:space="0" w:color="auto"/>
            <w:right w:val="none" w:sz="0" w:space="0" w:color="auto"/>
          </w:divBdr>
        </w:div>
        <w:div w:id="1380277611">
          <w:marLeft w:val="1080"/>
          <w:marRight w:val="0"/>
          <w:marTop w:val="100"/>
          <w:marBottom w:val="0"/>
          <w:divBdr>
            <w:top w:val="none" w:sz="0" w:space="0" w:color="auto"/>
            <w:left w:val="none" w:sz="0" w:space="0" w:color="auto"/>
            <w:bottom w:val="none" w:sz="0" w:space="0" w:color="auto"/>
            <w:right w:val="none" w:sz="0" w:space="0" w:color="auto"/>
          </w:divBdr>
        </w:div>
        <w:div w:id="1323392312">
          <w:marLeft w:val="1800"/>
          <w:marRight w:val="0"/>
          <w:marTop w:val="100"/>
          <w:marBottom w:val="0"/>
          <w:divBdr>
            <w:top w:val="none" w:sz="0" w:space="0" w:color="auto"/>
            <w:left w:val="none" w:sz="0" w:space="0" w:color="auto"/>
            <w:bottom w:val="none" w:sz="0" w:space="0" w:color="auto"/>
            <w:right w:val="none" w:sz="0" w:space="0" w:color="auto"/>
          </w:divBdr>
        </w:div>
        <w:div w:id="646907300">
          <w:marLeft w:val="1080"/>
          <w:marRight w:val="0"/>
          <w:marTop w:val="100"/>
          <w:marBottom w:val="0"/>
          <w:divBdr>
            <w:top w:val="none" w:sz="0" w:space="0" w:color="auto"/>
            <w:left w:val="none" w:sz="0" w:space="0" w:color="auto"/>
            <w:bottom w:val="none" w:sz="0" w:space="0" w:color="auto"/>
            <w:right w:val="none" w:sz="0" w:space="0" w:color="auto"/>
          </w:divBdr>
        </w:div>
        <w:div w:id="1448817309">
          <w:marLeft w:val="1800"/>
          <w:marRight w:val="0"/>
          <w:marTop w:val="100"/>
          <w:marBottom w:val="0"/>
          <w:divBdr>
            <w:top w:val="none" w:sz="0" w:space="0" w:color="auto"/>
            <w:left w:val="none" w:sz="0" w:space="0" w:color="auto"/>
            <w:bottom w:val="none" w:sz="0" w:space="0" w:color="auto"/>
            <w:right w:val="none" w:sz="0" w:space="0" w:color="auto"/>
          </w:divBdr>
        </w:div>
        <w:div w:id="554777742">
          <w:marLeft w:val="1080"/>
          <w:marRight w:val="0"/>
          <w:marTop w:val="100"/>
          <w:marBottom w:val="0"/>
          <w:divBdr>
            <w:top w:val="none" w:sz="0" w:space="0" w:color="auto"/>
            <w:left w:val="none" w:sz="0" w:space="0" w:color="auto"/>
            <w:bottom w:val="none" w:sz="0" w:space="0" w:color="auto"/>
            <w:right w:val="none" w:sz="0" w:space="0" w:color="auto"/>
          </w:divBdr>
        </w:div>
        <w:div w:id="1662343256">
          <w:marLeft w:val="1800"/>
          <w:marRight w:val="0"/>
          <w:marTop w:val="100"/>
          <w:marBottom w:val="0"/>
          <w:divBdr>
            <w:top w:val="none" w:sz="0" w:space="0" w:color="auto"/>
            <w:left w:val="none" w:sz="0" w:space="0" w:color="auto"/>
            <w:bottom w:val="none" w:sz="0" w:space="0" w:color="auto"/>
            <w:right w:val="none" w:sz="0" w:space="0" w:color="auto"/>
          </w:divBdr>
        </w:div>
        <w:div w:id="996417679">
          <w:marLeft w:val="360"/>
          <w:marRight w:val="0"/>
          <w:marTop w:val="200"/>
          <w:marBottom w:val="0"/>
          <w:divBdr>
            <w:top w:val="none" w:sz="0" w:space="0" w:color="auto"/>
            <w:left w:val="none" w:sz="0" w:space="0" w:color="auto"/>
            <w:bottom w:val="none" w:sz="0" w:space="0" w:color="auto"/>
            <w:right w:val="none" w:sz="0" w:space="0" w:color="auto"/>
          </w:divBdr>
        </w:div>
        <w:div w:id="1877542863">
          <w:marLeft w:val="1080"/>
          <w:marRight w:val="0"/>
          <w:marTop w:val="100"/>
          <w:marBottom w:val="0"/>
          <w:divBdr>
            <w:top w:val="none" w:sz="0" w:space="0" w:color="auto"/>
            <w:left w:val="none" w:sz="0" w:space="0" w:color="auto"/>
            <w:bottom w:val="none" w:sz="0" w:space="0" w:color="auto"/>
            <w:right w:val="none" w:sz="0" w:space="0" w:color="auto"/>
          </w:divBdr>
        </w:div>
        <w:div w:id="1952976786">
          <w:marLeft w:val="1800"/>
          <w:marRight w:val="0"/>
          <w:marTop w:val="100"/>
          <w:marBottom w:val="0"/>
          <w:divBdr>
            <w:top w:val="none" w:sz="0" w:space="0" w:color="auto"/>
            <w:left w:val="none" w:sz="0" w:space="0" w:color="auto"/>
            <w:bottom w:val="none" w:sz="0" w:space="0" w:color="auto"/>
            <w:right w:val="none" w:sz="0" w:space="0" w:color="auto"/>
          </w:divBdr>
        </w:div>
        <w:div w:id="1205676851">
          <w:marLeft w:val="1080"/>
          <w:marRight w:val="0"/>
          <w:marTop w:val="1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3063782">
      <w:bodyDiv w:val="1"/>
      <w:marLeft w:val="0"/>
      <w:marRight w:val="0"/>
      <w:marTop w:val="0"/>
      <w:marBottom w:val="0"/>
      <w:divBdr>
        <w:top w:val="none" w:sz="0" w:space="0" w:color="auto"/>
        <w:left w:val="none" w:sz="0" w:space="0" w:color="auto"/>
        <w:bottom w:val="none" w:sz="0" w:space="0" w:color="auto"/>
        <w:right w:val="none" w:sz="0" w:space="0" w:color="auto"/>
      </w:divBdr>
      <w:divsChild>
        <w:div w:id="2107725434">
          <w:marLeft w:val="547"/>
          <w:marRight w:val="0"/>
          <w:marTop w:val="130"/>
          <w:marBottom w:val="0"/>
          <w:divBdr>
            <w:top w:val="none" w:sz="0" w:space="0" w:color="auto"/>
            <w:left w:val="none" w:sz="0" w:space="0" w:color="auto"/>
            <w:bottom w:val="none" w:sz="0" w:space="0" w:color="auto"/>
            <w:right w:val="none" w:sz="0" w:space="0" w:color="auto"/>
          </w:divBdr>
        </w:div>
        <w:div w:id="1375302496">
          <w:marLeft w:val="1166"/>
          <w:marRight w:val="0"/>
          <w:marTop w:val="115"/>
          <w:marBottom w:val="0"/>
          <w:divBdr>
            <w:top w:val="none" w:sz="0" w:space="0" w:color="auto"/>
            <w:left w:val="none" w:sz="0" w:space="0" w:color="auto"/>
            <w:bottom w:val="none" w:sz="0" w:space="0" w:color="auto"/>
            <w:right w:val="none" w:sz="0" w:space="0" w:color="auto"/>
          </w:divBdr>
        </w:div>
        <w:div w:id="1612131314">
          <w:marLeft w:val="1166"/>
          <w:marRight w:val="0"/>
          <w:marTop w:val="115"/>
          <w:marBottom w:val="0"/>
          <w:divBdr>
            <w:top w:val="none" w:sz="0" w:space="0" w:color="auto"/>
            <w:left w:val="none" w:sz="0" w:space="0" w:color="auto"/>
            <w:bottom w:val="none" w:sz="0" w:space="0" w:color="auto"/>
            <w:right w:val="none" w:sz="0" w:space="0" w:color="auto"/>
          </w:divBdr>
        </w:div>
        <w:div w:id="1175608689">
          <w:marLeft w:val="1166"/>
          <w:marRight w:val="0"/>
          <w:marTop w:val="115"/>
          <w:marBottom w:val="0"/>
          <w:divBdr>
            <w:top w:val="none" w:sz="0" w:space="0" w:color="auto"/>
            <w:left w:val="none" w:sz="0" w:space="0" w:color="auto"/>
            <w:bottom w:val="none" w:sz="0" w:space="0" w:color="auto"/>
            <w:right w:val="none" w:sz="0" w:space="0" w:color="auto"/>
          </w:divBdr>
        </w:div>
        <w:div w:id="1750079830">
          <w:marLeft w:val="1166"/>
          <w:marRight w:val="0"/>
          <w:marTop w:val="115"/>
          <w:marBottom w:val="0"/>
          <w:divBdr>
            <w:top w:val="none" w:sz="0" w:space="0" w:color="auto"/>
            <w:left w:val="none" w:sz="0" w:space="0" w:color="auto"/>
            <w:bottom w:val="none" w:sz="0" w:space="0" w:color="auto"/>
            <w:right w:val="none" w:sz="0" w:space="0" w:color="auto"/>
          </w:divBdr>
        </w:div>
        <w:div w:id="1846674412">
          <w:marLeft w:val="1166"/>
          <w:marRight w:val="0"/>
          <w:marTop w:val="115"/>
          <w:marBottom w:val="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858122">
      <w:bodyDiv w:val="1"/>
      <w:marLeft w:val="0"/>
      <w:marRight w:val="0"/>
      <w:marTop w:val="0"/>
      <w:marBottom w:val="0"/>
      <w:divBdr>
        <w:top w:val="none" w:sz="0" w:space="0" w:color="auto"/>
        <w:left w:val="none" w:sz="0" w:space="0" w:color="auto"/>
        <w:bottom w:val="none" w:sz="0" w:space="0" w:color="auto"/>
        <w:right w:val="none" w:sz="0" w:space="0" w:color="auto"/>
      </w:divBdr>
      <w:divsChild>
        <w:div w:id="1996370510">
          <w:marLeft w:val="547"/>
          <w:marRight w:val="0"/>
          <w:marTop w:val="144"/>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5036586">
      <w:bodyDiv w:val="1"/>
      <w:marLeft w:val="0"/>
      <w:marRight w:val="0"/>
      <w:marTop w:val="0"/>
      <w:marBottom w:val="0"/>
      <w:divBdr>
        <w:top w:val="none" w:sz="0" w:space="0" w:color="auto"/>
        <w:left w:val="none" w:sz="0" w:space="0" w:color="auto"/>
        <w:bottom w:val="none" w:sz="0" w:space="0" w:color="auto"/>
        <w:right w:val="none" w:sz="0" w:space="0" w:color="auto"/>
      </w:divBdr>
      <w:divsChild>
        <w:div w:id="450325969">
          <w:marLeft w:val="547"/>
          <w:marRight w:val="0"/>
          <w:marTop w:val="96"/>
          <w:marBottom w:val="0"/>
          <w:divBdr>
            <w:top w:val="none" w:sz="0" w:space="0" w:color="auto"/>
            <w:left w:val="none" w:sz="0" w:space="0" w:color="auto"/>
            <w:bottom w:val="none" w:sz="0" w:space="0" w:color="auto"/>
            <w:right w:val="none" w:sz="0" w:space="0" w:color="auto"/>
          </w:divBdr>
        </w:div>
        <w:div w:id="1812669936">
          <w:marLeft w:val="547"/>
          <w:marRight w:val="0"/>
          <w:marTop w:val="96"/>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6BAB01A-B13E-41E2-AF7F-247A3CE7A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12725</TotalTime>
  <Pages>1</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cp:revision>
  <cp:lastPrinted>2009-04-22T06:01:00Z</cp:lastPrinted>
  <dcterms:created xsi:type="dcterms:W3CDTF">2020-07-07T06:33:00Z</dcterms:created>
  <dcterms:modified xsi:type="dcterms:W3CDTF">2021-01-15T19:40:00Z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