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4E5F5C">
        <w:rPr>
          <w:rFonts w:ascii="Arial" w:hAnsi="Arial" w:cs="Arial"/>
          <w:b/>
          <w:sz w:val="24"/>
          <w:szCs w:val="24"/>
        </w:rPr>
        <w:t>8</w:t>
      </w:r>
      <w:r w:rsidR="00A43149" w:rsidRPr="00277FAB">
        <w:rPr>
          <w:rFonts w:ascii="Arial" w:hAnsi="Arial" w:cs="Arial"/>
          <w:b/>
          <w:sz w:val="24"/>
          <w:szCs w:val="24"/>
        </w:rPr>
        <w:t>-e</w:t>
      </w:r>
      <w:bookmarkStart w:id="0" w:name="_GoBack"/>
      <w:bookmarkEnd w:id="0"/>
      <w:r w:rsidRPr="00F644CF">
        <w:rPr>
          <w:rFonts w:ascii="Arial" w:hAnsi="Arial" w:cs="Arial"/>
          <w:b/>
          <w:sz w:val="24"/>
          <w:szCs w:val="24"/>
        </w:rPr>
        <w:tab/>
        <w:t>R4-</w:t>
      </w:r>
      <w:r w:rsidR="009003AE" w:rsidRPr="009003AE">
        <w:rPr>
          <w:rFonts w:ascii="Arial" w:hAnsi="Arial" w:cs="Arial"/>
          <w:b/>
          <w:sz w:val="24"/>
          <w:szCs w:val="24"/>
        </w:rPr>
        <w:t>2100664</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4E5F5C">
        <w:rPr>
          <w:rFonts w:ascii="Arial" w:eastAsia="SimSun" w:hAnsi="Arial"/>
          <w:b/>
          <w:sz w:val="24"/>
          <w:szCs w:val="24"/>
          <w:lang w:eastAsia="zh-CN"/>
        </w:rPr>
        <w:t>25 Jan.</w:t>
      </w:r>
      <w:r w:rsidR="00D7044B">
        <w:rPr>
          <w:rFonts w:ascii="Arial" w:eastAsia="SimSun" w:hAnsi="Arial"/>
          <w:b/>
          <w:sz w:val="24"/>
          <w:szCs w:val="24"/>
          <w:lang w:eastAsia="zh-CN"/>
        </w:rPr>
        <w:t xml:space="preserve"> - </w:t>
      </w:r>
      <w:r w:rsidR="004E5F5C">
        <w:rPr>
          <w:rFonts w:ascii="Arial" w:eastAsia="SimSun" w:hAnsi="Arial"/>
          <w:b/>
          <w:sz w:val="24"/>
          <w:szCs w:val="24"/>
          <w:lang w:eastAsia="zh-CN"/>
        </w:rPr>
        <w:t>5</w:t>
      </w:r>
      <w:r>
        <w:rPr>
          <w:rFonts w:ascii="Arial" w:eastAsia="SimSun" w:hAnsi="Arial"/>
          <w:b/>
          <w:sz w:val="24"/>
          <w:szCs w:val="24"/>
          <w:lang w:eastAsia="zh-CN"/>
        </w:rPr>
        <w:t xml:space="preserve"> </w:t>
      </w:r>
      <w:r w:rsidR="004E5F5C">
        <w:rPr>
          <w:rFonts w:ascii="Arial" w:eastAsia="SimSun" w:hAnsi="Arial"/>
          <w:b/>
          <w:sz w:val="24"/>
          <w:szCs w:val="24"/>
          <w:lang w:eastAsia="zh-CN"/>
        </w:rPr>
        <w:t>Feb.</w:t>
      </w:r>
      <w:r w:rsidRPr="00F644CF">
        <w:rPr>
          <w:rFonts w:ascii="Arial" w:eastAsia="SimSun" w:hAnsi="Arial"/>
          <w:b/>
          <w:sz w:val="24"/>
          <w:szCs w:val="24"/>
          <w:lang w:eastAsia="zh-CN"/>
        </w:rPr>
        <w:t>, 20</w:t>
      </w:r>
      <w:r>
        <w:rPr>
          <w:rFonts w:ascii="Arial" w:eastAsia="SimSun" w:hAnsi="Arial"/>
          <w:b/>
          <w:sz w:val="24"/>
          <w:szCs w:val="24"/>
          <w:lang w:eastAsia="zh-CN"/>
        </w:rPr>
        <w:t>2</w:t>
      </w:r>
      <w:r w:rsidR="004E5F5C">
        <w:rPr>
          <w:rFonts w:ascii="Arial" w:eastAsia="SimSun" w:hAnsi="Arial"/>
          <w:b/>
          <w:sz w:val="24"/>
          <w:szCs w:val="24"/>
          <w:lang w:eastAsia="zh-CN"/>
        </w:rPr>
        <w:t>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386678">
        <w:rPr>
          <w:rFonts w:ascii="Arial" w:hAnsi="Arial" w:cs="Arial" w:hint="eastAsia"/>
          <w:lang w:val="en-US" w:eastAsia="ko-KR"/>
        </w:rPr>
        <w:t xml:space="preserve">enhanced test method for polarization </w:t>
      </w:r>
      <w:r w:rsidR="006B124D">
        <w:rPr>
          <w:rFonts w:ascii="Arial" w:hAnsi="Arial" w:cs="Arial"/>
          <w:lang w:val="en-US" w:eastAsia="ko-KR"/>
        </w:rPr>
        <w:t xml:space="preserve">basis </w:t>
      </w:r>
      <w:r w:rsidR="00386678">
        <w:rPr>
          <w:rFonts w:ascii="Arial" w:hAnsi="Arial" w:cs="Arial" w:hint="eastAsia"/>
          <w:lang w:val="en-US" w:eastAsia="ko-KR"/>
        </w:rPr>
        <w:t>mismatch</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62677">
        <w:rPr>
          <w:rFonts w:ascii="Arial" w:hAnsi="Arial" w:cs="Arial"/>
          <w:lang w:val="en-US" w:eastAsia="ko-KR"/>
        </w:rPr>
        <w:t>12.1.3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4E5F5C" w:rsidRDefault="00EF3B37" w:rsidP="004E5F5C">
      <w:pPr>
        <w:pStyle w:val="a0"/>
        <w:jc w:val="both"/>
        <w:rPr>
          <w:lang w:val="en-US" w:eastAsia="ko-KR"/>
        </w:rPr>
      </w:pPr>
      <w:r>
        <w:rPr>
          <w:lang w:val="en-US" w:eastAsia="ko-KR"/>
        </w:rPr>
        <w:t xml:space="preserve">In the last RAN4 meeting, </w:t>
      </w:r>
      <w:r w:rsidR="004E5F5C">
        <w:rPr>
          <w:lang w:val="en-US" w:eastAsia="ko-KR"/>
        </w:rPr>
        <w:t>W</w:t>
      </w:r>
      <w:r>
        <w:rPr>
          <w:lang w:val="en-US" w:eastAsia="ko-KR"/>
        </w:rPr>
        <w:t>F</w:t>
      </w:r>
      <w:r w:rsidR="006B124D">
        <w:rPr>
          <w:lang w:val="en-US" w:eastAsia="ko-KR"/>
        </w:rPr>
        <w:t xml:space="preserve"> </w:t>
      </w:r>
      <w:r w:rsidR="004E5F5C">
        <w:rPr>
          <w:lang w:val="en-US" w:eastAsia="ko-KR"/>
        </w:rPr>
        <w:t xml:space="preserve">[1] </w:t>
      </w:r>
      <w:r>
        <w:rPr>
          <w:lang w:val="en-US" w:eastAsia="ko-KR"/>
        </w:rPr>
        <w:t>for solutions to minimize the impact of polarization basis mismatch was approved, and hybrid methods based on UE capability were considered.</w:t>
      </w:r>
    </w:p>
    <w:tbl>
      <w:tblPr>
        <w:tblStyle w:val="a9"/>
        <w:tblW w:w="0" w:type="auto"/>
        <w:tblLook w:val="04A0" w:firstRow="1" w:lastRow="0" w:firstColumn="1" w:lastColumn="0" w:noHBand="0" w:noVBand="1"/>
      </w:tblPr>
      <w:tblGrid>
        <w:gridCol w:w="9855"/>
      </w:tblGrid>
      <w:tr w:rsidR="004E5F5C" w:rsidTr="004E5F5C">
        <w:tc>
          <w:tcPr>
            <w:tcW w:w="9855" w:type="dxa"/>
          </w:tcPr>
          <w:p w:rsidR="00EF3B37" w:rsidRDefault="00EF3B37" w:rsidP="00EF3B37">
            <w:pPr>
              <w:pStyle w:val="a0"/>
              <w:jc w:val="both"/>
              <w:rPr>
                <w:bCs/>
                <w:lang w:val="en-US" w:eastAsia="ko-KR"/>
              </w:rPr>
            </w:pPr>
            <w:r>
              <w:rPr>
                <w:rFonts w:hint="eastAsia"/>
                <w:bCs/>
                <w:lang w:val="en-US" w:eastAsia="ko-KR"/>
              </w:rPr>
              <w:t>H</w:t>
            </w:r>
            <w:r>
              <w:rPr>
                <w:bCs/>
                <w:lang w:val="en-US" w:eastAsia="ko-KR"/>
              </w:rPr>
              <w:t>ybrid methods</w:t>
            </w:r>
          </w:p>
          <w:p w:rsidR="00BA00D0" w:rsidRPr="00EF3B37" w:rsidRDefault="008D0155" w:rsidP="00EF3B37">
            <w:pPr>
              <w:pStyle w:val="a0"/>
              <w:numPr>
                <w:ilvl w:val="0"/>
                <w:numId w:val="16"/>
              </w:numPr>
              <w:tabs>
                <w:tab w:val="clear" w:pos="720"/>
                <w:tab w:val="num" w:pos="313"/>
              </w:tabs>
              <w:ind w:hanging="549"/>
              <w:jc w:val="both"/>
              <w:rPr>
                <w:bCs/>
                <w:lang w:val="en-US" w:eastAsia="ko-KR"/>
              </w:rPr>
            </w:pPr>
            <w:r w:rsidRPr="00EF3B37">
              <w:rPr>
                <w:bCs/>
                <w:lang w:val="en-US" w:eastAsia="ko-KR"/>
              </w:rPr>
              <w:t>Different approaches can be adopted based on UE capability, detailed applicability rule can be further discussed</w:t>
            </w:r>
          </w:p>
          <w:p w:rsidR="00BA00D0" w:rsidRPr="00EF3B37" w:rsidRDefault="008D0155" w:rsidP="00EF3B37">
            <w:pPr>
              <w:pStyle w:val="a0"/>
              <w:numPr>
                <w:ilvl w:val="1"/>
                <w:numId w:val="16"/>
              </w:numPr>
              <w:tabs>
                <w:tab w:val="clear" w:pos="1440"/>
                <w:tab w:val="num" w:pos="738"/>
              </w:tabs>
              <w:ind w:hanging="986"/>
              <w:jc w:val="both"/>
              <w:rPr>
                <w:bCs/>
                <w:lang w:val="en-US" w:eastAsia="ko-KR"/>
              </w:rPr>
            </w:pPr>
            <w:r w:rsidRPr="00EF3B37">
              <w:rPr>
                <w:bCs/>
                <w:lang w:val="en-US" w:eastAsia="ko-KR"/>
              </w:rPr>
              <w:t>TPMI side condition test method is agreed to be introduced</w:t>
            </w:r>
          </w:p>
          <w:p w:rsidR="00BA00D0" w:rsidRPr="00EF3B37" w:rsidRDefault="008D0155" w:rsidP="00EF3B37">
            <w:pPr>
              <w:pStyle w:val="a0"/>
              <w:numPr>
                <w:ilvl w:val="2"/>
                <w:numId w:val="16"/>
              </w:numPr>
              <w:tabs>
                <w:tab w:val="clear" w:pos="2160"/>
                <w:tab w:val="num" w:pos="1163"/>
              </w:tabs>
              <w:ind w:hanging="1280"/>
              <w:jc w:val="both"/>
              <w:rPr>
                <w:bCs/>
                <w:lang w:val="en-US" w:eastAsia="ko-KR"/>
              </w:rPr>
            </w:pPr>
            <w:r w:rsidRPr="00EF3B37">
              <w:rPr>
                <w:bCs/>
                <w:lang w:val="en-US" w:eastAsia="ko-KR"/>
              </w:rPr>
              <w:t>FFS whether additional test methods need to be introduced (e.g. 2-port CSI-RS, test mode).</w:t>
            </w:r>
          </w:p>
          <w:p w:rsidR="00BA00D0" w:rsidRPr="00EF3B37" w:rsidRDefault="008D0155" w:rsidP="00EF3B37">
            <w:pPr>
              <w:pStyle w:val="a0"/>
              <w:numPr>
                <w:ilvl w:val="2"/>
                <w:numId w:val="16"/>
              </w:numPr>
              <w:tabs>
                <w:tab w:val="clear" w:pos="2160"/>
                <w:tab w:val="num" w:pos="1163"/>
              </w:tabs>
              <w:ind w:hanging="1280"/>
              <w:jc w:val="both"/>
              <w:rPr>
                <w:bCs/>
                <w:lang w:val="en-US" w:eastAsia="ko-KR"/>
              </w:rPr>
            </w:pPr>
            <w:r w:rsidRPr="00EF3B37">
              <w:rPr>
                <w:bCs/>
                <w:lang w:val="en-US" w:eastAsia="ko-KR"/>
              </w:rPr>
              <w:t>Whether an alternate method needs to be introduced and, if agreed it is needed, what it can be is FFS and is a secondary priority task within the objective</w:t>
            </w:r>
          </w:p>
          <w:p w:rsidR="004E5F5C" w:rsidRPr="00EF3B37" w:rsidRDefault="008D0155" w:rsidP="00EF3B37">
            <w:pPr>
              <w:pStyle w:val="a0"/>
              <w:numPr>
                <w:ilvl w:val="0"/>
                <w:numId w:val="16"/>
              </w:numPr>
              <w:tabs>
                <w:tab w:val="clear" w:pos="720"/>
                <w:tab w:val="num" w:pos="313"/>
              </w:tabs>
              <w:ind w:hanging="549"/>
              <w:jc w:val="both"/>
              <w:rPr>
                <w:bCs/>
                <w:lang w:val="en-US" w:eastAsia="ko-KR"/>
              </w:rPr>
            </w:pPr>
            <w:r w:rsidRPr="00EF3B37">
              <w:rPr>
                <w:bCs/>
                <w:lang w:val="en-US" w:eastAsia="ko-KR"/>
              </w:rPr>
              <w:t>TPMI method is applicable for EIRP measurement test cases for 1 layer transmission with 2 SRS ports configured.</w:t>
            </w:r>
          </w:p>
        </w:tc>
      </w:tr>
    </w:tbl>
    <w:p w:rsidR="0012269A" w:rsidRPr="00743FF1" w:rsidRDefault="0012269A" w:rsidP="004E5F5C">
      <w:pPr>
        <w:pStyle w:val="a0"/>
        <w:jc w:val="both"/>
        <w:rPr>
          <w:lang w:val="en-US" w:eastAsia="ko-KR"/>
        </w:rPr>
      </w:pPr>
    </w:p>
    <w:p w:rsidR="003D4CAC" w:rsidRDefault="00CD0965" w:rsidP="00662107">
      <w:pPr>
        <w:pStyle w:val="a0"/>
        <w:jc w:val="both"/>
        <w:rPr>
          <w:lang w:val="en-US" w:eastAsia="ko-KR"/>
        </w:rPr>
      </w:pPr>
      <w:r>
        <w:rPr>
          <w:rFonts w:hint="eastAsia"/>
          <w:lang w:val="en-US" w:eastAsia="ko-KR"/>
        </w:rPr>
        <w:t xml:space="preserve">In this contribution, </w:t>
      </w:r>
      <w:r w:rsidR="00EF3B37">
        <w:rPr>
          <w:lang w:val="en-US" w:eastAsia="ko-KR"/>
        </w:rPr>
        <w:t>we provide our views on additional test methods for polarization basis mismatch.</w:t>
      </w:r>
    </w:p>
    <w:p w:rsidR="00CD0965" w:rsidRPr="00C87A6A" w:rsidRDefault="00CD0965"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521824" w:rsidRDefault="00125DF4" w:rsidP="00125DF4">
      <w:pPr>
        <w:pStyle w:val="a0"/>
        <w:jc w:val="both"/>
        <w:rPr>
          <w:lang w:val="en-US" w:eastAsia="ko-KR"/>
        </w:rPr>
      </w:pPr>
      <w:r>
        <w:rPr>
          <w:rFonts w:hint="eastAsia"/>
          <w:lang w:val="en-US" w:eastAsia="ko-KR"/>
        </w:rPr>
        <w:t xml:space="preserve">To minimize the impact of polarization basis mismatch, TPMI side condition test method one of the hybrid methods was agreed to be introduced for </w:t>
      </w:r>
      <w:r>
        <w:rPr>
          <w:lang w:val="en-US" w:eastAsia="ko-KR"/>
        </w:rPr>
        <w:t>some</w:t>
      </w:r>
      <w:r>
        <w:rPr>
          <w:rFonts w:hint="eastAsia"/>
          <w:lang w:val="en-US" w:eastAsia="ko-KR"/>
        </w:rPr>
        <w:t xml:space="preserve"> </w:t>
      </w:r>
      <w:r>
        <w:rPr>
          <w:lang w:val="en-US" w:eastAsia="ko-KR"/>
        </w:rPr>
        <w:t>limited UEs.</w:t>
      </w:r>
    </w:p>
    <w:tbl>
      <w:tblPr>
        <w:tblStyle w:val="a9"/>
        <w:tblW w:w="0" w:type="auto"/>
        <w:tblLook w:val="04A0" w:firstRow="1" w:lastRow="0" w:firstColumn="1" w:lastColumn="0" w:noHBand="0" w:noVBand="1"/>
      </w:tblPr>
      <w:tblGrid>
        <w:gridCol w:w="9855"/>
      </w:tblGrid>
      <w:tr w:rsidR="00125DF4" w:rsidTr="00125DF4">
        <w:tc>
          <w:tcPr>
            <w:tcW w:w="9855" w:type="dxa"/>
          </w:tcPr>
          <w:p w:rsidR="00125DF4" w:rsidRPr="00125DF4" w:rsidRDefault="00125DF4" w:rsidP="00125DF4">
            <w:pPr>
              <w:pStyle w:val="a0"/>
              <w:numPr>
                <w:ilvl w:val="0"/>
                <w:numId w:val="16"/>
              </w:numPr>
              <w:tabs>
                <w:tab w:val="clear" w:pos="720"/>
                <w:tab w:val="num" w:pos="313"/>
              </w:tabs>
              <w:ind w:hanging="549"/>
              <w:jc w:val="both"/>
              <w:rPr>
                <w:lang w:val="en-US" w:eastAsia="ko-KR"/>
              </w:rPr>
            </w:pPr>
            <w:r w:rsidRPr="00125DF4">
              <w:rPr>
                <w:lang w:val="en-US" w:eastAsia="ko-KR"/>
              </w:rPr>
              <w:t xml:space="preserve">TPMI side </w:t>
            </w:r>
            <w:r w:rsidRPr="00125DF4">
              <w:rPr>
                <w:bCs/>
                <w:lang w:val="en-US" w:eastAsia="ko-KR"/>
              </w:rPr>
              <w:t>condition</w:t>
            </w:r>
            <w:r w:rsidRPr="00125DF4">
              <w:rPr>
                <w:lang w:val="en-US" w:eastAsia="ko-KR"/>
              </w:rPr>
              <w:t xml:space="preserve"> method is agreed as applicable method to enhance EIRP measurement for partial UEs </w:t>
            </w:r>
          </w:p>
          <w:p w:rsidR="00125DF4" w:rsidRPr="00125DF4" w:rsidRDefault="00125DF4" w:rsidP="00125DF4">
            <w:pPr>
              <w:pStyle w:val="a0"/>
              <w:numPr>
                <w:ilvl w:val="1"/>
                <w:numId w:val="16"/>
              </w:numPr>
              <w:tabs>
                <w:tab w:val="clear" w:pos="1440"/>
                <w:tab w:val="num" w:pos="738"/>
              </w:tabs>
              <w:ind w:hanging="986"/>
              <w:jc w:val="both"/>
              <w:rPr>
                <w:lang w:val="en-US" w:eastAsia="ko-KR"/>
              </w:rPr>
            </w:pPr>
            <w:r w:rsidRPr="00125DF4">
              <w:rPr>
                <w:lang w:val="en-US" w:eastAsia="ko-KR"/>
              </w:rPr>
              <w:t xml:space="preserve">This </w:t>
            </w:r>
            <w:r w:rsidRPr="00125DF4">
              <w:rPr>
                <w:bCs/>
                <w:lang w:val="en-US" w:eastAsia="ko-KR"/>
              </w:rPr>
              <w:t>method</w:t>
            </w:r>
            <w:r w:rsidRPr="00125DF4">
              <w:rPr>
                <w:lang w:val="en-US" w:eastAsia="ko-KR"/>
              </w:rPr>
              <w:t xml:space="preserve"> can be applied for:</w:t>
            </w:r>
          </w:p>
          <w:p w:rsidR="00125DF4" w:rsidRPr="00125DF4" w:rsidRDefault="00125DF4" w:rsidP="00125DF4">
            <w:pPr>
              <w:pStyle w:val="a0"/>
              <w:numPr>
                <w:ilvl w:val="2"/>
                <w:numId w:val="16"/>
              </w:numPr>
              <w:tabs>
                <w:tab w:val="clear" w:pos="2160"/>
                <w:tab w:val="num" w:pos="1163"/>
              </w:tabs>
              <w:ind w:hanging="1280"/>
              <w:jc w:val="both"/>
              <w:rPr>
                <w:bCs/>
                <w:lang w:val="en-US" w:eastAsia="ko-KR"/>
              </w:rPr>
            </w:pPr>
            <w:r w:rsidRPr="00125DF4">
              <w:rPr>
                <w:bCs/>
                <w:lang w:val="en-US" w:eastAsia="ko-KR"/>
              </w:rPr>
              <w:t>Rel-15 coherent UEs</w:t>
            </w:r>
          </w:p>
          <w:p w:rsidR="00125DF4" w:rsidRPr="00125DF4" w:rsidRDefault="00125DF4" w:rsidP="00125DF4">
            <w:pPr>
              <w:pStyle w:val="a0"/>
              <w:numPr>
                <w:ilvl w:val="2"/>
                <w:numId w:val="16"/>
              </w:numPr>
              <w:tabs>
                <w:tab w:val="clear" w:pos="2160"/>
                <w:tab w:val="num" w:pos="1163"/>
              </w:tabs>
              <w:ind w:hanging="1280"/>
              <w:jc w:val="both"/>
              <w:rPr>
                <w:bCs/>
                <w:lang w:val="en-US" w:eastAsia="ko-KR"/>
              </w:rPr>
            </w:pPr>
            <w:r w:rsidRPr="00125DF4">
              <w:rPr>
                <w:bCs/>
                <w:lang w:val="en-US" w:eastAsia="ko-KR"/>
              </w:rPr>
              <w:t>Rel-16 coherent UEs</w:t>
            </w:r>
          </w:p>
          <w:p w:rsidR="00125DF4" w:rsidRPr="00125DF4" w:rsidRDefault="00125DF4" w:rsidP="00125DF4">
            <w:pPr>
              <w:pStyle w:val="a0"/>
              <w:numPr>
                <w:ilvl w:val="2"/>
                <w:numId w:val="16"/>
              </w:numPr>
              <w:tabs>
                <w:tab w:val="clear" w:pos="2160"/>
                <w:tab w:val="num" w:pos="1163"/>
              </w:tabs>
              <w:ind w:hanging="1280"/>
              <w:jc w:val="both"/>
              <w:rPr>
                <w:bCs/>
                <w:lang w:val="en-US" w:eastAsia="ko-KR"/>
              </w:rPr>
            </w:pPr>
            <w:r w:rsidRPr="00125DF4">
              <w:rPr>
                <w:bCs/>
                <w:lang w:val="en-US" w:eastAsia="ko-KR"/>
              </w:rPr>
              <w:t>Rel-16 nonCoherent UEs which support uplink full power transmission</w:t>
            </w:r>
          </w:p>
          <w:p w:rsidR="00125DF4" w:rsidRDefault="00125DF4" w:rsidP="00125DF4">
            <w:pPr>
              <w:pStyle w:val="a0"/>
              <w:numPr>
                <w:ilvl w:val="1"/>
                <w:numId w:val="16"/>
              </w:numPr>
              <w:tabs>
                <w:tab w:val="clear" w:pos="1440"/>
                <w:tab w:val="num" w:pos="738"/>
              </w:tabs>
              <w:ind w:hanging="986"/>
              <w:jc w:val="both"/>
              <w:rPr>
                <w:lang w:val="en-US" w:eastAsia="ko-KR"/>
              </w:rPr>
            </w:pPr>
            <w:r w:rsidRPr="00125DF4">
              <w:rPr>
                <w:lang w:val="en-US" w:eastAsia="ko-KR"/>
              </w:rPr>
              <w:t>This method is not applied for Rel-15 nonCoherent UEs and Rel-16 nonCoherent UEs which do not support full power transmission</w:t>
            </w:r>
          </w:p>
        </w:tc>
      </w:tr>
    </w:tbl>
    <w:p w:rsidR="00125DF4" w:rsidRDefault="00125DF4" w:rsidP="00125DF4">
      <w:pPr>
        <w:pStyle w:val="a0"/>
        <w:jc w:val="both"/>
        <w:rPr>
          <w:lang w:val="en-US" w:eastAsia="ko-KR"/>
        </w:rPr>
      </w:pPr>
    </w:p>
    <w:p w:rsidR="00125DF4" w:rsidRDefault="00125DF4" w:rsidP="00125DF4">
      <w:pPr>
        <w:pStyle w:val="a0"/>
        <w:jc w:val="both"/>
        <w:rPr>
          <w:lang w:val="en-US" w:eastAsia="ko-KR"/>
        </w:rPr>
      </w:pPr>
      <w:r>
        <w:rPr>
          <w:rFonts w:hint="eastAsia"/>
          <w:lang w:val="en-US" w:eastAsia="ko-KR"/>
        </w:rPr>
        <w:t xml:space="preserve">TPMI side condition </w:t>
      </w:r>
      <w:r>
        <w:rPr>
          <w:lang w:val="en-US" w:eastAsia="ko-KR"/>
        </w:rPr>
        <w:t xml:space="preserve">test method </w:t>
      </w:r>
      <w:r>
        <w:rPr>
          <w:rFonts w:hint="eastAsia"/>
          <w:lang w:val="en-US" w:eastAsia="ko-KR"/>
        </w:rPr>
        <w:t xml:space="preserve">cannot cover </w:t>
      </w:r>
      <w:r>
        <w:rPr>
          <w:lang w:val="en-US" w:eastAsia="ko-KR"/>
        </w:rPr>
        <w:t>all UEs, so</w:t>
      </w:r>
      <w:r w:rsidR="006B124D">
        <w:rPr>
          <w:lang w:val="en-US" w:eastAsia="ko-KR"/>
        </w:rPr>
        <w:t xml:space="preserve"> another test method should be introduce</w:t>
      </w:r>
      <w:r>
        <w:rPr>
          <w:lang w:val="en-US" w:eastAsia="ko-KR"/>
        </w:rPr>
        <w:t xml:space="preserve">d for the hybrid methods. Based on [1], </w:t>
      </w:r>
      <w:r w:rsidR="006B124D">
        <w:rPr>
          <w:lang w:val="en-US" w:eastAsia="ko-KR"/>
        </w:rPr>
        <w:t xml:space="preserve">following </w:t>
      </w:r>
      <w:r>
        <w:rPr>
          <w:lang w:val="en-US" w:eastAsia="ko-KR"/>
        </w:rPr>
        <w:t xml:space="preserve">two test methods </w:t>
      </w:r>
      <w:r w:rsidR="006B124D">
        <w:rPr>
          <w:lang w:val="en-US" w:eastAsia="ko-KR"/>
        </w:rPr>
        <w:t>remain candidates:</w:t>
      </w:r>
    </w:p>
    <w:p w:rsidR="006B124D" w:rsidRDefault="006B124D" w:rsidP="006B124D">
      <w:pPr>
        <w:pStyle w:val="a0"/>
        <w:numPr>
          <w:ilvl w:val="0"/>
          <w:numId w:val="21"/>
        </w:numPr>
        <w:jc w:val="both"/>
        <w:rPr>
          <w:lang w:val="en-US" w:eastAsia="ko-KR"/>
        </w:rPr>
      </w:pPr>
      <w:r w:rsidRPr="006B124D">
        <w:rPr>
          <w:lang w:val="en-US" w:eastAsia="ko-KR"/>
        </w:rPr>
        <w:t>Test mode to trigger TX diversity</w:t>
      </w:r>
    </w:p>
    <w:p w:rsidR="006B124D" w:rsidRDefault="006B124D" w:rsidP="006B124D">
      <w:pPr>
        <w:pStyle w:val="a0"/>
        <w:numPr>
          <w:ilvl w:val="0"/>
          <w:numId w:val="21"/>
        </w:numPr>
        <w:jc w:val="both"/>
        <w:rPr>
          <w:lang w:val="en-US" w:eastAsia="ko-KR"/>
        </w:rPr>
      </w:pPr>
      <w:r w:rsidRPr="006B124D">
        <w:rPr>
          <w:lang w:eastAsia="ko-KR"/>
        </w:rPr>
        <w:t>2-port CSI-RS method</w:t>
      </w:r>
    </w:p>
    <w:p w:rsidR="00125DF4" w:rsidRDefault="004C3C69" w:rsidP="00125DF4">
      <w:pPr>
        <w:pStyle w:val="a0"/>
        <w:jc w:val="both"/>
        <w:rPr>
          <w:lang w:val="en-US" w:eastAsia="ko-KR"/>
        </w:rPr>
      </w:pPr>
      <w:r>
        <w:rPr>
          <w:lang w:val="en-US" w:eastAsia="ko-KR"/>
        </w:rPr>
        <w:t>T</w:t>
      </w:r>
      <w:r>
        <w:rPr>
          <w:rFonts w:hint="eastAsia"/>
          <w:lang w:val="en-US" w:eastAsia="ko-KR"/>
        </w:rPr>
        <w:t xml:space="preserve">he </w:t>
      </w:r>
      <w:r>
        <w:rPr>
          <w:lang w:val="en-US" w:eastAsia="ko-KR"/>
        </w:rPr>
        <w:t xml:space="preserve">method to trigger Tx diversity introduces a new test mode to force 2 Tx transmission. As discussed in the last meeting, </w:t>
      </w:r>
      <w:r w:rsidR="00822906">
        <w:rPr>
          <w:lang w:val="en-US" w:eastAsia="ko-KR"/>
        </w:rPr>
        <w:t>the test mode is different from real field operation, and it could be additional work for UE test mode.</w:t>
      </w:r>
      <w:r w:rsidR="00BB6525">
        <w:rPr>
          <w:lang w:val="en-US" w:eastAsia="ko-KR"/>
        </w:rPr>
        <w:t xml:space="preserve"> The concept of test mode is already considered for FR2 OTA test such as beam lock function which is not operated in real field. Test mode for Tx diversity triggering will be one of the hybrid methods to resolve polarization basis mismatch, so </w:t>
      </w:r>
      <w:r w:rsidR="00F25394">
        <w:rPr>
          <w:lang w:val="en-US" w:eastAsia="ko-KR"/>
        </w:rPr>
        <w:t>not all UE need to support the test mode. Therefore, the method to trigger Tx diversity is reliable approach for UEs not support TPMI side condition test method.</w:t>
      </w:r>
    </w:p>
    <w:p w:rsidR="00F25394" w:rsidRDefault="00F25394" w:rsidP="00F25394">
      <w:pPr>
        <w:pStyle w:val="a0"/>
        <w:numPr>
          <w:ilvl w:val="0"/>
          <w:numId w:val="16"/>
        </w:numPr>
        <w:jc w:val="both"/>
        <w:rPr>
          <w:lang w:val="en-US" w:eastAsia="ko-KR"/>
        </w:rPr>
      </w:pPr>
      <w:r w:rsidRPr="00F25394">
        <w:rPr>
          <w:b/>
          <w:i/>
          <w:lang w:val="en-US" w:eastAsia="ko-KR"/>
        </w:rPr>
        <w:t>Proposal</w:t>
      </w:r>
      <w:r w:rsidR="00EE4FE7">
        <w:rPr>
          <w:b/>
          <w:i/>
          <w:lang w:val="en-US" w:eastAsia="ko-KR"/>
        </w:rPr>
        <w:t xml:space="preserve"> 1</w:t>
      </w:r>
      <w:r w:rsidRPr="00F25394">
        <w:rPr>
          <w:b/>
          <w:i/>
          <w:lang w:val="en-US" w:eastAsia="ko-KR"/>
        </w:rPr>
        <w:t>:</w:t>
      </w:r>
      <w:r>
        <w:rPr>
          <w:lang w:val="en-US" w:eastAsia="ko-KR"/>
        </w:rPr>
        <w:t xml:space="preserve"> Introduce test mode to trigger Tx diversity as one of the hybrid methods</w:t>
      </w:r>
    </w:p>
    <w:p w:rsidR="00125DF4" w:rsidRDefault="004C25E1" w:rsidP="00125DF4">
      <w:pPr>
        <w:pStyle w:val="a0"/>
        <w:jc w:val="both"/>
        <w:rPr>
          <w:lang w:val="en-US" w:eastAsia="ko-KR"/>
        </w:rPr>
      </w:pPr>
      <w:r>
        <w:rPr>
          <w:rFonts w:hint="eastAsia"/>
          <w:lang w:val="en-US" w:eastAsia="ko-KR"/>
        </w:rPr>
        <w:lastRenderedPageBreak/>
        <w:t xml:space="preserve">For hybrid methods, a UE can declare test mode </w:t>
      </w:r>
      <w:r>
        <w:rPr>
          <w:lang w:val="en-US" w:eastAsia="ko-KR"/>
        </w:rPr>
        <w:t>to</w:t>
      </w:r>
      <w:r>
        <w:rPr>
          <w:rFonts w:hint="eastAsia"/>
          <w:lang w:val="en-US" w:eastAsia="ko-KR"/>
        </w:rPr>
        <w:t xml:space="preserve"> be used </w:t>
      </w:r>
      <w:r>
        <w:rPr>
          <w:lang w:val="en-US" w:eastAsia="ko-KR"/>
        </w:rPr>
        <w:t>corresponding OTA test, so additional UE capability for hybrid methods is not required.</w:t>
      </w:r>
    </w:p>
    <w:p w:rsidR="00EE4FE7" w:rsidRDefault="00EE4FE7" w:rsidP="00EE4FE7">
      <w:pPr>
        <w:pStyle w:val="a0"/>
        <w:numPr>
          <w:ilvl w:val="0"/>
          <w:numId w:val="16"/>
        </w:numPr>
        <w:jc w:val="both"/>
        <w:rPr>
          <w:lang w:val="en-US" w:eastAsia="ko-KR"/>
        </w:rPr>
      </w:pPr>
      <w:r w:rsidRPr="00EE4FE7">
        <w:rPr>
          <w:b/>
          <w:i/>
          <w:lang w:val="en-US" w:eastAsia="ko-KR"/>
        </w:rPr>
        <w:t>Proposal</w:t>
      </w:r>
      <w:r>
        <w:rPr>
          <w:b/>
          <w:i/>
          <w:lang w:val="en-US" w:eastAsia="ko-KR"/>
        </w:rPr>
        <w:t xml:space="preserve"> 2</w:t>
      </w:r>
      <w:r w:rsidRPr="00EE4FE7">
        <w:rPr>
          <w:b/>
          <w:i/>
          <w:lang w:val="en-US" w:eastAsia="ko-KR"/>
        </w:rPr>
        <w:t>:</w:t>
      </w:r>
      <w:r>
        <w:rPr>
          <w:lang w:val="en-US" w:eastAsia="ko-KR"/>
        </w:rPr>
        <w:t xml:space="preserve"> Do not introduce additional UE capability for hybrid methods and apply UE declaration for test mode to be used</w:t>
      </w:r>
    </w:p>
    <w:p w:rsidR="004C25E1" w:rsidRPr="00521824" w:rsidRDefault="004C25E1" w:rsidP="00125DF4">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4C25E1">
        <w:rPr>
          <w:lang w:val="en-US" w:eastAsia="ko-KR"/>
        </w:rPr>
        <w:t>additional test method for polarization basis mismatch</w:t>
      </w:r>
      <w:r w:rsidR="00CF2A12">
        <w:rPr>
          <w:lang w:val="en-US" w:eastAsia="ko-KR"/>
        </w:rPr>
        <w:t>.</w:t>
      </w:r>
      <w:r w:rsidR="003F345F">
        <w:rPr>
          <w:lang w:val="en-US" w:eastAsia="ko-KR"/>
        </w:rPr>
        <w:t xml:space="preserve"> We propose</w:t>
      </w:r>
    </w:p>
    <w:p w:rsidR="003F345F" w:rsidRPr="00CF2A12" w:rsidRDefault="003F345F" w:rsidP="00CF2A12">
      <w:pPr>
        <w:spacing w:line="276" w:lineRule="auto"/>
        <w:ind w:left="400"/>
        <w:jc w:val="both"/>
        <w:rPr>
          <w:lang w:val="en-US" w:eastAsia="ko-KR"/>
        </w:rPr>
      </w:pPr>
    </w:p>
    <w:p w:rsidR="004C25E1" w:rsidRDefault="004C25E1" w:rsidP="004C25E1">
      <w:pPr>
        <w:pStyle w:val="a0"/>
        <w:numPr>
          <w:ilvl w:val="0"/>
          <w:numId w:val="16"/>
        </w:numPr>
        <w:jc w:val="both"/>
        <w:rPr>
          <w:lang w:val="en-US" w:eastAsia="ko-KR"/>
        </w:rPr>
      </w:pPr>
      <w:r w:rsidRPr="00F25394">
        <w:rPr>
          <w:b/>
          <w:i/>
          <w:lang w:val="en-US" w:eastAsia="ko-KR"/>
        </w:rPr>
        <w:t>Proposal</w:t>
      </w:r>
      <w:r w:rsidR="00EE4FE7">
        <w:rPr>
          <w:b/>
          <w:i/>
          <w:lang w:val="en-US" w:eastAsia="ko-KR"/>
        </w:rPr>
        <w:t xml:space="preserve"> 1</w:t>
      </w:r>
      <w:r w:rsidRPr="00F25394">
        <w:rPr>
          <w:b/>
          <w:i/>
          <w:lang w:val="en-US" w:eastAsia="ko-KR"/>
        </w:rPr>
        <w:t>:</w:t>
      </w:r>
      <w:r>
        <w:rPr>
          <w:lang w:val="en-US" w:eastAsia="ko-KR"/>
        </w:rPr>
        <w:t xml:space="preserve"> Introduce test mode to trigger Tx diversity as one of the hybrid methods</w:t>
      </w:r>
      <w:r w:rsidR="00EE4FE7">
        <w:rPr>
          <w:lang w:val="en-US" w:eastAsia="ko-KR"/>
        </w:rPr>
        <w:t>.</w:t>
      </w:r>
    </w:p>
    <w:p w:rsidR="00EE4FE7" w:rsidRDefault="00EE4FE7" w:rsidP="00EE4FE7">
      <w:pPr>
        <w:pStyle w:val="a0"/>
        <w:numPr>
          <w:ilvl w:val="0"/>
          <w:numId w:val="16"/>
        </w:numPr>
        <w:jc w:val="both"/>
        <w:rPr>
          <w:lang w:val="en-US" w:eastAsia="ko-KR"/>
        </w:rPr>
      </w:pPr>
      <w:r w:rsidRPr="00EE4FE7">
        <w:rPr>
          <w:b/>
          <w:i/>
          <w:lang w:val="en-US" w:eastAsia="ko-KR"/>
        </w:rPr>
        <w:t>Proposal</w:t>
      </w:r>
      <w:r>
        <w:rPr>
          <w:b/>
          <w:i/>
          <w:lang w:val="en-US" w:eastAsia="ko-KR"/>
        </w:rPr>
        <w:t xml:space="preserve"> 2</w:t>
      </w:r>
      <w:r w:rsidRPr="00EE4FE7">
        <w:rPr>
          <w:b/>
          <w:i/>
          <w:lang w:val="en-US" w:eastAsia="ko-KR"/>
        </w:rPr>
        <w:t>:</w:t>
      </w:r>
      <w:r>
        <w:rPr>
          <w:lang w:val="en-US" w:eastAsia="ko-KR"/>
        </w:rPr>
        <w:t xml:space="preserve"> Do not introduce additional UE capability for hybrid methods and apply UE declaration for test mode to be used</w:t>
      </w:r>
    </w:p>
    <w:p w:rsidR="00EE4FE7" w:rsidRDefault="00EE4FE7" w:rsidP="004C25E1">
      <w:pPr>
        <w:pStyle w:val="a0"/>
        <w:numPr>
          <w:ilvl w:val="0"/>
          <w:numId w:val="16"/>
        </w:numPr>
        <w:jc w:val="both"/>
        <w:rPr>
          <w:lang w:val="en-US" w:eastAsia="ko-KR"/>
        </w:rPr>
      </w:pPr>
    </w:p>
    <w:p w:rsidR="00210206" w:rsidRPr="004C25E1" w:rsidRDefault="00210206"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125DF4">
        <w:rPr>
          <w:lang w:val="en-US" w:eastAsia="ko-KR"/>
        </w:rPr>
        <w:t>4</w:t>
      </w:r>
      <w:r w:rsidR="005700D6">
        <w:rPr>
          <w:lang w:val="en-US" w:eastAsia="ko-KR"/>
        </w:rPr>
        <w:t>-</w:t>
      </w:r>
      <w:r w:rsidR="00125DF4">
        <w:rPr>
          <w:lang w:val="en-US" w:eastAsia="ko-KR"/>
        </w:rPr>
        <w:t>2017689</w:t>
      </w:r>
      <w:r w:rsidR="00C06E2A">
        <w:rPr>
          <w:lang w:val="en-US" w:eastAsia="ko-KR"/>
        </w:rPr>
        <w:t>, “</w:t>
      </w:r>
      <w:r w:rsidR="00125DF4" w:rsidRPr="00125DF4">
        <w:rPr>
          <w:lang w:val="en-US" w:eastAsia="ko-KR"/>
        </w:rPr>
        <w:t>WF on solutions to minimize the impact of polarization basis mismatch between the TE and DUT on the RF testing</w:t>
      </w:r>
      <w:r w:rsidR="00C06E2A">
        <w:rPr>
          <w:lang w:val="en-US" w:eastAsia="ko-KR"/>
        </w:rPr>
        <w:t xml:space="preserve">,” </w:t>
      </w:r>
      <w:r w:rsidR="00125DF4">
        <w:rPr>
          <w:lang w:val="en-US" w:eastAsia="ko-KR"/>
        </w:rPr>
        <w:t>Samsung</w:t>
      </w:r>
      <w:r w:rsidR="00974335">
        <w:rPr>
          <w:lang w:val="en-US" w:eastAsia="ko-KR"/>
        </w:rPr>
        <w:t>.</w:t>
      </w:r>
    </w:p>
    <w:sectPr w:rsidR="007A198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5A5" w:rsidRDefault="00C315A5" w:rsidP="00D306DF">
      <w:r>
        <w:separator/>
      </w:r>
    </w:p>
  </w:endnote>
  <w:endnote w:type="continuationSeparator" w:id="0">
    <w:p w:rsidR="00C315A5" w:rsidRDefault="00C315A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5A5" w:rsidRDefault="00C315A5" w:rsidP="00D306DF">
      <w:r>
        <w:separator/>
      </w:r>
    </w:p>
  </w:footnote>
  <w:footnote w:type="continuationSeparator" w:id="0">
    <w:p w:rsidR="00C315A5" w:rsidRDefault="00C315A5"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A3521CDE"/>
    <w:lvl w:ilvl="0" w:tplc="ECF4E0B4">
      <w:start w:val="2019"/>
      <w:numFmt w:val="bullet"/>
      <w:lvlText w:val="-"/>
      <w:lvlJc w:val="left"/>
      <w:pPr>
        <w:tabs>
          <w:tab w:val="num" w:pos="720"/>
        </w:tabs>
        <w:ind w:left="720" w:hanging="360"/>
      </w:pPr>
      <w:rPr>
        <w:rFonts w:ascii="Arial" w:eastAsia="맑은 고딕" w:hAnsi="Arial" w:cs="Aria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FB5125"/>
    <w:multiLevelType w:val="hybridMultilevel"/>
    <w:tmpl w:val="7EEA4696"/>
    <w:lvl w:ilvl="0" w:tplc="6ABC3AE4">
      <w:start w:val="1"/>
      <w:numFmt w:val="bullet"/>
      <w:lvlText w:val="•"/>
      <w:lvlJc w:val="left"/>
      <w:pPr>
        <w:tabs>
          <w:tab w:val="num" w:pos="720"/>
        </w:tabs>
        <w:ind w:left="720" w:hanging="360"/>
      </w:pPr>
      <w:rPr>
        <w:rFonts w:ascii="Arial" w:hAnsi="Arial" w:hint="default"/>
      </w:rPr>
    </w:lvl>
    <w:lvl w:ilvl="1" w:tplc="A23EB518">
      <w:start w:val="1"/>
      <w:numFmt w:val="bullet"/>
      <w:lvlText w:val="•"/>
      <w:lvlJc w:val="left"/>
      <w:pPr>
        <w:tabs>
          <w:tab w:val="num" w:pos="1440"/>
        </w:tabs>
        <w:ind w:left="1440" w:hanging="360"/>
      </w:pPr>
      <w:rPr>
        <w:rFonts w:ascii="Arial" w:hAnsi="Arial" w:hint="default"/>
      </w:rPr>
    </w:lvl>
    <w:lvl w:ilvl="2" w:tplc="EBE09134">
      <w:numFmt w:val="bullet"/>
      <w:lvlText w:val="•"/>
      <w:lvlJc w:val="left"/>
      <w:pPr>
        <w:tabs>
          <w:tab w:val="num" w:pos="2160"/>
        </w:tabs>
        <w:ind w:left="2160" w:hanging="360"/>
      </w:pPr>
      <w:rPr>
        <w:rFonts w:ascii="Arial" w:hAnsi="Arial" w:hint="default"/>
      </w:rPr>
    </w:lvl>
    <w:lvl w:ilvl="3" w:tplc="EC10A62A">
      <w:numFmt w:val="bullet"/>
      <w:lvlText w:val="•"/>
      <w:lvlJc w:val="left"/>
      <w:pPr>
        <w:tabs>
          <w:tab w:val="num" w:pos="2880"/>
        </w:tabs>
        <w:ind w:left="2880" w:hanging="360"/>
      </w:pPr>
      <w:rPr>
        <w:rFonts w:ascii="Arial" w:hAnsi="Arial" w:hint="default"/>
      </w:rPr>
    </w:lvl>
    <w:lvl w:ilvl="4" w:tplc="349A7276" w:tentative="1">
      <w:start w:val="1"/>
      <w:numFmt w:val="bullet"/>
      <w:lvlText w:val="•"/>
      <w:lvlJc w:val="left"/>
      <w:pPr>
        <w:tabs>
          <w:tab w:val="num" w:pos="3600"/>
        </w:tabs>
        <w:ind w:left="3600" w:hanging="360"/>
      </w:pPr>
      <w:rPr>
        <w:rFonts w:ascii="Arial" w:hAnsi="Arial" w:hint="default"/>
      </w:rPr>
    </w:lvl>
    <w:lvl w:ilvl="5" w:tplc="940C1E24" w:tentative="1">
      <w:start w:val="1"/>
      <w:numFmt w:val="bullet"/>
      <w:lvlText w:val="•"/>
      <w:lvlJc w:val="left"/>
      <w:pPr>
        <w:tabs>
          <w:tab w:val="num" w:pos="4320"/>
        </w:tabs>
        <w:ind w:left="4320" w:hanging="360"/>
      </w:pPr>
      <w:rPr>
        <w:rFonts w:ascii="Arial" w:hAnsi="Arial" w:hint="default"/>
      </w:rPr>
    </w:lvl>
    <w:lvl w:ilvl="6" w:tplc="8BE8BE82" w:tentative="1">
      <w:start w:val="1"/>
      <w:numFmt w:val="bullet"/>
      <w:lvlText w:val="•"/>
      <w:lvlJc w:val="left"/>
      <w:pPr>
        <w:tabs>
          <w:tab w:val="num" w:pos="5040"/>
        </w:tabs>
        <w:ind w:left="5040" w:hanging="360"/>
      </w:pPr>
      <w:rPr>
        <w:rFonts w:ascii="Arial" w:hAnsi="Arial" w:hint="default"/>
      </w:rPr>
    </w:lvl>
    <w:lvl w:ilvl="7" w:tplc="F21A9054" w:tentative="1">
      <w:start w:val="1"/>
      <w:numFmt w:val="bullet"/>
      <w:lvlText w:val="•"/>
      <w:lvlJc w:val="left"/>
      <w:pPr>
        <w:tabs>
          <w:tab w:val="num" w:pos="5760"/>
        </w:tabs>
        <w:ind w:left="5760" w:hanging="360"/>
      </w:pPr>
      <w:rPr>
        <w:rFonts w:ascii="Arial" w:hAnsi="Arial" w:hint="default"/>
      </w:rPr>
    </w:lvl>
    <w:lvl w:ilvl="8" w:tplc="6F5223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83D20B2"/>
    <w:multiLevelType w:val="hybridMultilevel"/>
    <w:tmpl w:val="08723F88"/>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1"/>
  </w:num>
  <w:num w:numId="3">
    <w:abstractNumId w:val="7"/>
  </w:num>
  <w:num w:numId="4">
    <w:abstractNumId w:val="8"/>
  </w:num>
  <w:num w:numId="5">
    <w:abstractNumId w:val="5"/>
  </w:num>
  <w:num w:numId="6">
    <w:abstractNumId w:val="10"/>
  </w:num>
  <w:num w:numId="7">
    <w:abstractNumId w:val="15"/>
  </w:num>
  <w:num w:numId="8">
    <w:abstractNumId w:val="1"/>
  </w:num>
  <w:num w:numId="9">
    <w:abstractNumId w:val="4"/>
  </w:num>
  <w:num w:numId="10">
    <w:abstractNumId w:val="12"/>
  </w:num>
  <w:num w:numId="11">
    <w:abstractNumId w:val="9"/>
  </w:num>
  <w:num w:numId="12">
    <w:abstractNumId w:val="9"/>
  </w:num>
  <w:num w:numId="13">
    <w:abstractNumId w:val="6"/>
  </w:num>
  <w:num w:numId="14">
    <w:abstractNumId w:val="0"/>
  </w:num>
  <w:num w:numId="15">
    <w:abstractNumId w:val="0"/>
  </w:num>
  <w:num w:numId="16">
    <w:abstractNumId w:val="3"/>
  </w:num>
  <w:num w:numId="17">
    <w:abstractNumId w:val="2"/>
  </w:num>
  <w:num w:numId="18">
    <w:abstractNumId w:val="9"/>
  </w:num>
  <w:num w:numId="19">
    <w:abstractNumId w:val="14"/>
  </w:num>
  <w:num w:numId="20">
    <w:abstractNumId w:val="13"/>
  </w:num>
  <w:num w:numId="2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5DF4"/>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90"/>
    <w:rsid w:val="002D32BD"/>
    <w:rsid w:val="002D4249"/>
    <w:rsid w:val="002D46F5"/>
    <w:rsid w:val="002D58FC"/>
    <w:rsid w:val="002D5FB2"/>
    <w:rsid w:val="002D639B"/>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B86"/>
    <w:rsid w:val="00386678"/>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25E1"/>
    <w:rsid w:val="004C3C69"/>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1824"/>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1001D"/>
    <w:rsid w:val="00610FD0"/>
    <w:rsid w:val="00612FCC"/>
    <w:rsid w:val="0061698E"/>
    <w:rsid w:val="00616EF3"/>
    <w:rsid w:val="006173F6"/>
    <w:rsid w:val="00620C85"/>
    <w:rsid w:val="00620E9E"/>
    <w:rsid w:val="00621498"/>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124D"/>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750C"/>
    <w:rsid w:val="006F7562"/>
    <w:rsid w:val="00700A2E"/>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5B2"/>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2906"/>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677"/>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0155"/>
    <w:rsid w:val="008D179B"/>
    <w:rsid w:val="008D2EC1"/>
    <w:rsid w:val="008D3001"/>
    <w:rsid w:val="008D40B0"/>
    <w:rsid w:val="008D53BF"/>
    <w:rsid w:val="008D6D66"/>
    <w:rsid w:val="008D6E4E"/>
    <w:rsid w:val="008D7F47"/>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03AE"/>
    <w:rsid w:val="00901BF6"/>
    <w:rsid w:val="00903F72"/>
    <w:rsid w:val="00904362"/>
    <w:rsid w:val="00905E09"/>
    <w:rsid w:val="00906EB9"/>
    <w:rsid w:val="00907415"/>
    <w:rsid w:val="009105A2"/>
    <w:rsid w:val="00910C04"/>
    <w:rsid w:val="0091225B"/>
    <w:rsid w:val="00913D6D"/>
    <w:rsid w:val="009149FC"/>
    <w:rsid w:val="009167DB"/>
    <w:rsid w:val="00917030"/>
    <w:rsid w:val="009203DF"/>
    <w:rsid w:val="00920769"/>
    <w:rsid w:val="00921F7D"/>
    <w:rsid w:val="00923A90"/>
    <w:rsid w:val="00923AFC"/>
    <w:rsid w:val="00923B0B"/>
    <w:rsid w:val="00923D70"/>
    <w:rsid w:val="00924F20"/>
    <w:rsid w:val="00925C5F"/>
    <w:rsid w:val="00926166"/>
    <w:rsid w:val="0092731E"/>
    <w:rsid w:val="00927C82"/>
    <w:rsid w:val="009315C8"/>
    <w:rsid w:val="00931AEF"/>
    <w:rsid w:val="00934323"/>
    <w:rsid w:val="00935843"/>
    <w:rsid w:val="00936170"/>
    <w:rsid w:val="00937117"/>
    <w:rsid w:val="0094034A"/>
    <w:rsid w:val="00940A9B"/>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00D0"/>
    <w:rsid w:val="00BA2760"/>
    <w:rsid w:val="00BA295F"/>
    <w:rsid w:val="00BA39CB"/>
    <w:rsid w:val="00BA4A52"/>
    <w:rsid w:val="00BA51DE"/>
    <w:rsid w:val="00BA747B"/>
    <w:rsid w:val="00BA771A"/>
    <w:rsid w:val="00BA7DD0"/>
    <w:rsid w:val="00BA7ED9"/>
    <w:rsid w:val="00BB26B7"/>
    <w:rsid w:val="00BB3B14"/>
    <w:rsid w:val="00BB4421"/>
    <w:rsid w:val="00BB550D"/>
    <w:rsid w:val="00BB6525"/>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1E9"/>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5A5"/>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45C7"/>
    <w:rsid w:val="00CB4B07"/>
    <w:rsid w:val="00CB4E1E"/>
    <w:rsid w:val="00CB7C7A"/>
    <w:rsid w:val="00CC125B"/>
    <w:rsid w:val="00CC1BF1"/>
    <w:rsid w:val="00CC3698"/>
    <w:rsid w:val="00CC4136"/>
    <w:rsid w:val="00CC417F"/>
    <w:rsid w:val="00CC419A"/>
    <w:rsid w:val="00CC5AB1"/>
    <w:rsid w:val="00CC6B07"/>
    <w:rsid w:val="00CC736E"/>
    <w:rsid w:val="00CC7CD3"/>
    <w:rsid w:val="00CD07B0"/>
    <w:rsid w:val="00CD0965"/>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1B97"/>
    <w:rsid w:val="00DD3F41"/>
    <w:rsid w:val="00DD40A7"/>
    <w:rsid w:val="00DD47E1"/>
    <w:rsid w:val="00DD5D17"/>
    <w:rsid w:val="00DD5E53"/>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4FE7"/>
    <w:rsid w:val="00EE5E9A"/>
    <w:rsid w:val="00EE6051"/>
    <w:rsid w:val="00EE79EC"/>
    <w:rsid w:val="00EF1F81"/>
    <w:rsid w:val="00EF298C"/>
    <w:rsid w:val="00EF3B37"/>
    <w:rsid w:val="00EF4913"/>
    <w:rsid w:val="00EF6A96"/>
    <w:rsid w:val="00EF6C69"/>
    <w:rsid w:val="00EF7173"/>
    <w:rsid w:val="00EF7FE6"/>
    <w:rsid w:val="00F00C72"/>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5394"/>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4E5A"/>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28973710">
      <w:bodyDiv w:val="1"/>
      <w:marLeft w:val="0"/>
      <w:marRight w:val="0"/>
      <w:marTop w:val="0"/>
      <w:marBottom w:val="0"/>
      <w:divBdr>
        <w:top w:val="none" w:sz="0" w:space="0" w:color="auto"/>
        <w:left w:val="none" w:sz="0" w:space="0" w:color="auto"/>
        <w:bottom w:val="none" w:sz="0" w:space="0" w:color="auto"/>
        <w:right w:val="none" w:sz="0" w:space="0" w:color="auto"/>
      </w:divBdr>
      <w:divsChild>
        <w:div w:id="2070296610">
          <w:marLeft w:val="1080"/>
          <w:marRight w:val="0"/>
          <w:marTop w:val="100"/>
          <w:marBottom w:val="0"/>
          <w:divBdr>
            <w:top w:val="none" w:sz="0" w:space="0" w:color="auto"/>
            <w:left w:val="none" w:sz="0" w:space="0" w:color="auto"/>
            <w:bottom w:val="none" w:sz="0" w:space="0" w:color="auto"/>
            <w:right w:val="none" w:sz="0" w:space="0" w:color="auto"/>
          </w:divBdr>
        </w:div>
        <w:div w:id="902447211">
          <w:marLeft w:val="1800"/>
          <w:marRight w:val="0"/>
          <w:marTop w:val="100"/>
          <w:marBottom w:val="0"/>
          <w:divBdr>
            <w:top w:val="none" w:sz="0" w:space="0" w:color="auto"/>
            <w:left w:val="none" w:sz="0" w:space="0" w:color="auto"/>
            <w:bottom w:val="none" w:sz="0" w:space="0" w:color="auto"/>
            <w:right w:val="none" w:sz="0" w:space="0" w:color="auto"/>
          </w:divBdr>
        </w:div>
        <w:div w:id="282882363">
          <w:marLeft w:val="2520"/>
          <w:marRight w:val="0"/>
          <w:marTop w:val="100"/>
          <w:marBottom w:val="0"/>
          <w:divBdr>
            <w:top w:val="none" w:sz="0" w:space="0" w:color="auto"/>
            <w:left w:val="none" w:sz="0" w:space="0" w:color="auto"/>
            <w:bottom w:val="none" w:sz="0" w:space="0" w:color="auto"/>
            <w:right w:val="none" w:sz="0" w:space="0" w:color="auto"/>
          </w:divBdr>
        </w:div>
        <w:div w:id="1764692038">
          <w:marLeft w:val="2520"/>
          <w:marRight w:val="0"/>
          <w:marTop w:val="100"/>
          <w:marBottom w:val="0"/>
          <w:divBdr>
            <w:top w:val="none" w:sz="0" w:space="0" w:color="auto"/>
            <w:left w:val="none" w:sz="0" w:space="0" w:color="auto"/>
            <w:bottom w:val="none" w:sz="0" w:space="0" w:color="auto"/>
            <w:right w:val="none" w:sz="0" w:space="0" w:color="auto"/>
          </w:divBdr>
        </w:div>
        <w:div w:id="1550074288">
          <w:marLeft w:val="1080"/>
          <w:marRight w:val="0"/>
          <w:marTop w:val="10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67708219">
      <w:bodyDiv w:val="1"/>
      <w:marLeft w:val="0"/>
      <w:marRight w:val="0"/>
      <w:marTop w:val="0"/>
      <w:marBottom w:val="0"/>
      <w:divBdr>
        <w:top w:val="none" w:sz="0" w:space="0" w:color="auto"/>
        <w:left w:val="none" w:sz="0" w:space="0" w:color="auto"/>
        <w:bottom w:val="none" w:sz="0" w:space="0" w:color="auto"/>
        <w:right w:val="none" w:sz="0" w:space="0" w:color="auto"/>
      </w:divBdr>
      <w:divsChild>
        <w:div w:id="1918247255">
          <w:marLeft w:val="1080"/>
          <w:marRight w:val="0"/>
          <w:marTop w:val="100"/>
          <w:marBottom w:val="0"/>
          <w:divBdr>
            <w:top w:val="none" w:sz="0" w:space="0" w:color="auto"/>
            <w:left w:val="none" w:sz="0" w:space="0" w:color="auto"/>
            <w:bottom w:val="none" w:sz="0" w:space="0" w:color="auto"/>
            <w:right w:val="none" w:sz="0" w:space="0" w:color="auto"/>
          </w:divBdr>
        </w:div>
        <w:div w:id="1071778682">
          <w:marLeft w:val="1800"/>
          <w:marRight w:val="0"/>
          <w:marTop w:val="100"/>
          <w:marBottom w:val="0"/>
          <w:divBdr>
            <w:top w:val="none" w:sz="0" w:space="0" w:color="auto"/>
            <w:left w:val="none" w:sz="0" w:space="0" w:color="auto"/>
            <w:bottom w:val="none" w:sz="0" w:space="0" w:color="auto"/>
            <w:right w:val="none" w:sz="0" w:space="0" w:color="auto"/>
          </w:divBdr>
        </w:div>
        <w:div w:id="1316452505">
          <w:marLeft w:val="2434"/>
          <w:marRight w:val="0"/>
          <w:marTop w:val="100"/>
          <w:marBottom w:val="0"/>
          <w:divBdr>
            <w:top w:val="none" w:sz="0" w:space="0" w:color="auto"/>
            <w:left w:val="none" w:sz="0" w:space="0" w:color="auto"/>
            <w:bottom w:val="none" w:sz="0" w:space="0" w:color="auto"/>
            <w:right w:val="none" w:sz="0" w:space="0" w:color="auto"/>
          </w:divBdr>
        </w:div>
        <w:div w:id="1863975142">
          <w:marLeft w:val="2434"/>
          <w:marRight w:val="0"/>
          <w:marTop w:val="100"/>
          <w:marBottom w:val="0"/>
          <w:divBdr>
            <w:top w:val="none" w:sz="0" w:space="0" w:color="auto"/>
            <w:left w:val="none" w:sz="0" w:space="0" w:color="auto"/>
            <w:bottom w:val="none" w:sz="0" w:space="0" w:color="auto"/>
            <w:right w:val="none" w:sz="0" w:space="0" w:color="auto"/>
          </w:divBdr>
        </w:div>
        <w:div w:id="1980570568">
          <w:marLeft w:val="2434"/>
          <w:marRight w:val="0"/>
          <w:marTop w:val="10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060B4-AB08-4BC9-86B8-4EBCC5B71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2832</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2</cp:revision>
  <dcterms:created xsi:type="dcterms:W3CDTF">2021-01-15T04:36:00Z</dcterms:created>
  <dcterms:modified xsi:type="dcterms:W3CDTF">2021-01-15T04:36:00Z</dcterms:modified>
</cp:coreProperties>
</file>