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4E5F5C">
        <w:rPr>
          <w:rFonts w:ascii="Arial" w:hAnsi="Arial" w:cs="Arial"/>
          <w:b/>
          <w:sz w:val="24"/>
          <w:szCs w:val="24"/>
        </w:rPr>
        <w:t>8</w:t>
      </w:r>
      <w:r w:rsidR="00A43149" w:rsidRPr="00277FAB">
        <w:rPr>
          <w:rFonts w:ascii="Arial" w:hAnsi="Arial" w:cs="Arial"/>
          <w:b/>
          <w:sz w:val="24"/>
          <w:szCs w:val="24"/>
        </w:rPr>
        <w:t>-e</w:t>
      </w:r>
      <w:r w:rsidRPr="00F644CF">
        <w:rPr>
          <w:rFonts w:ascii="Arial" w:hAnsi="Arial" w:cs="Arial"/>
          <w:b/>
          <w:sz w:val="24"/>
          <w:szCs w:val="24"/>
        </w:rPr>
        <w:tab/>
        <w:t>R4-</w:t>
      </w:r>
      <w:r w:rsidR="000721E0" w:rsidRPr="000721E0">
        <w:rPr>
          <w:rFonts w:ascii="Arial" w:hAnsi="Arial" w:cs="Arial"/>
          <w:b/>
          <w:sz w:val="24"/>
          <w:szCs w:val="24"/>
        </w:rPr>
        <w:t>2</w:t>
      </w:r>
      <w:r w:rsidR="004E5F5C">
        <w:rPr>
          <w:rFonts w:ascii="Arial" w:hAnsi="Arial" w:cs="Arial"/>
          <w:b/>
          <w:sz w:val="24"/>
          <w:szCs w:val="24"/>
        </w:rPr>
        <w:t>1</w:t>
      </w:r>
      <w:r w:rsidR="00D97256" w:rsidRPr="00D97256">
        <w:rPr>
          <w:rFonts w:ascii="Arial" w:hAnsi="Arial" w:cs="Arial"/>
          <w:b/>
          <w:sz w:val="24"/>
          <w:szCs w:val="24"/>
        </w:rPr>
        <w:t>00655</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4E5F5C">
        <w:rPr>
          <w:rFonts w:ascii="Arial" w:eastAsia="SimSun" w:hAnsi="Arial"/>
          <w:b/>
          <w:sz w:val="24"/>
          <w:szCs w:val="24"/>
          <w:lang w:eastAsia="zh-CN"/>
        </w:rPr>
        <w:t>25 Jan.</w:t>
      </w:r>
      <w:r w:rsidR="00D7044B">
        <w:rPr>
          <w:rFonts w:ascii="Arial" w:eastAsia="SimSun" w:hAnsi="Arial"/>
          <w:b/>
          <w:sz w:val="24"/>
          <w:szCs w:val="24"/>
          <w:lang w:eastAsia="zh-CN"/>
        </w:rPr>
        <w:t xml:space="preserve"> - </w:t>
      </w:r>
      <w:r w:rsidR="004E5F5C">
        <w:rPr>
          <w:rFonts w:ascii="Arial" w:eastAsia="SimSun" w:hAnsi="Arial"/>
          <w:b/>
          <w:sz w:val="24"/>
          <w:szCs w:val="24"/>
          <w:lang w:eastAsia="zh-CN"/>
        </w:rPr>
        <w:t>5</w:t>
      </w:r>
      <w:r>
        <w:rPr>
          <w:rFonts w:ascii="Arial" w:eastAsia="SimSun" w:hAnsi="Arial"/>
          <w:b/>
          <w:sz w:val="24"/>
          <w:szCs w:val="24"/>
          <w:lang w:eastAsia="zh-CN"/>
        </w:rPr>
        <w:t xml:space="preserve"> </w:t>
      </w:r>
      <w:r w:rsidR="004E5F5C">
        <w:rPr>
          <w:rFonts w:ascii="Arial" w:eastAsia="SimSun" w:hAnsi="Arial"/>
          <w:b/>
          <w:sz w:val="24"/>
          <w:szCs w:val="24"/>
          <w:lang w:eastAsia="zh-CN"/>
        </w:rPr>
        <w:t>Feb.</w:t>
      </w:r>
      <w:r w:rsidRPr="00F644CF">
        <w:rPr>
          <w:rFonts w:ascii="Arial" w:eastAsia="SimSun" w:hAnsi="Arial"/>
          <w:b/>
          <w:sz w:val="24"/>
          <w:szCs w:val="24"/>
          <w:lang w:eastAsia="zh-CN"/>
        </w:rPr>
        <w:t>, 20</w:t>
      </w:r>
      <w:r>
        <w:rPr>
          <w:rFonts w:ascii="Arial" w:eastAsia="SimSun" w:hAnsi="Arial"/>
          <w:b/>
          <w:sz w:val="24"/>
          <w:szCs w:val="24"/>
          <w:lang w:eastAsia="zh-CN"/>
        </w:rPr>
        <w:t>2</w:t>
      </w:r>
      <w:r w:rsidR="004E5F5C">
        <w:rPr>
          <w:rFonts w:ascii="Arial" w:eastAsia="SimSun" w:hAnsi="Arial"/>
          <w:b/>
          <w:sz w:val="24"/>
          <w:szCs w:val="24"/>
          <w:lang w:eastAsia="zh-CN"/>
        </w:rPr>
        <w:t>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4E5F5C">
        <w:rPr>
          <w:rFonts w:ascii="Arial" w:hAnsi="Arial" w:cs="Arial"/>
          <w:lang w:val="en-US" w:eastAsia="ko-KR"/>
        </w:rPr>
        <w:t>interruption due to SRS antenna port switching</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E00E6">
        <w:rPr>
          <w:rFonts w:ascii="Arial" w:hAnsi="Arial" w:cs="Arial"/>
          <w:lang w:val="en-US" w:eastAsia="ko-KR"/>
        </w:rPr>
        <w:t>11.4.2.1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bookmarkStart w:id="0" w:name="_GoBack"/>
      <w:bookmarkEnd w:id="0"/>
    </w:p>
    <w:p w:rsidR="004E5F5C" w:rsidRDefault="004E5F5C" w:rsidP="004E5F5C">
      <w:pPr>
        <w:pStyle w:val="a0"/>
        <w:jc w:val="both"/>
        <w:rPr>
          <w:lang w:val="en-US" w:eastAsia="ko-KR"/>
        </w:rPr>
      </w:pPr>
      <w:r>
        <w:rPr>
          <w:lang w:val="en-US" w:eastAsia="ko-KR"/>
        </w:rPr>
        <w:t>WID [1] and work plan [2] for NR RRM further enhancement were approved with three objectives as following:</w:t>
      </w:r>
    </w:p>
    <w:tbl>
      <w:tblPr>
        <w:tblStyle w:val="a9"/>
        <w:tblW w:w="0" w:type="auto"/>
        <w:tblLook w:val="04A0" w:firstRow="1" w:lastRow="0" w:firstColumn="1" w:lastColumn="0" w:noHBand="0" w:noVBand="1"/>
      </w:tblPr>
      <w:tblGrid>
        <w:gridCol w:w="9855"/>
      </w:tblGrid>
      <w:tr w:rsidR="004E5F5C" w:rsidTr="004E5F5C">
        <w:tc>
          <w:tcPr>
            <w:tcW w:w="9855" w:type="dxa"/>
          </w:tcPr>
          <w:p w:rsidR="004E5F5C" w:rsidRPr="004E5F5C" w:rsidRDefault="004E5F5C" w:rsidP="004E5F5C">
            <w:pPr>
              <w:pStyle w:val="a0"/>
              <w:numPr>
                <w:ilvl w:val="0"/>
                <w:numId w:val="17"/>
              </w:numPr>
              <w:jc w:val="both"/>
              <w:rPr>
                <w:bCs/>
                <w:lang w:eastAsia="ko-KR"/>
              </w:rPr>
            </w:pPr>
            <w:r w:rsidRPr="004E5F5C">
              <w:rPr>
                <w:bCs/>
                <w:lang w:eastAsia="ko-KR"/>
              </w:rPr>
              <w:t>SRS antenna port switching [RAN4]</w:t>
            </w:r>
          </w:p>
          <w:p w:rsidR="004E5F5C" w:rsidRPr="004E5F5C" w:rsidRDefault="004E5F5C" w:rsidP="004E5F5C">
            <w:pPr>
              <w:pStyle w:val="a0"/>
              <w:numPr>
                <w:ilvl w:val="1"/>
                <w:numId w:val="16"/>
              </w:numPr>
              <w:jc w:val="both"/>
              <w:rPr>
                <w:lang w:val="en-US" w:eastAsia="ko-KR"/>
              </w:rPr>
            </w:pPr>
            <w:r w:rsidRPr="004E5F5C">
              <w:rPr>
                <w:lang w:val="en-US" w:eastAsia="ko-KR"/>
              </w:rPr>
              <w:t>Specify RRM requirement for SRS antenna port switching, e.g.</w:t>
            </w:r>
          </w:p>
          <w:p w:rsidR="004E5F5C" w:rsidRPr="004E5F5C" w:rsidRDefault="004E5F5C" w:rsidP="004E5F5C">
            <w:pPr>
              <w:pStyle w:val="a0"/>
              <w:numPr>
                <w:ilvl w:val="2"/>
                <w:numId w:val="16"/>
              </w:numPr>
              <w:jc w:val="both"/>
              <w:rPr>
                <w:lang w:val="en-US" w:eastAsia="ko-KR"/>
              </w:rPr>
            </w:pPr>
            <w:r w:rsidRPr="004E5F5C">
              <w:rPr>
                <w:lang w:val="en-US" w:eastAsia="ko-KR"/>
              </w:rPr>
              <w:t>Interruption requirement</w:t>
            </w:r>
          </w:p>
          <w:p w:rsidR="004E5F5C" w:rsidRPr="004E5F5C" w:rsidRDefault="004E5F5C" w:rsidP="004E5F5C">
            <w:pPr>
              <w:pStyle w:val="a0"/>
              <w:numPr>
                <w:ilvl w:val="2"/>
                <w:numId w:val="16"/>
              </w:numPr>
              <w:jc w:val="both"/>
              <w:rPr>
                <w:lang w:val="en-US" w:eastAsia="ko-KR"/>
              </w:rPr>
            </w:pPr>
            <w:r w:rsidRPr="004E5F5C">
              <w:rPr>
                <w:lang w:val="en-US" w:eastAsia="ko-KR"/>
              </w:rPr>
              <w:t>Potential impact on other RRM requirements</w:t>
            </w:r>
          </w:p>
          <w:p w:rsidR="004E5F5C" w:rsidRPr="004E5F5C" w:rsidRDefault="004E5F5C" w:rsidP="004E5F5C">
            <w:pPr>
              <w:pStyle w:val="a0"/>
              <w:numPr>
                <w:ilvl w:val="0"/>
                <w:numId w:val="17"/>
              </w:numPr>
              <w:jc w:val="both"/>
              <w:rPr>
                <w:bCs/>
                <w:lang w:val="en-US" w:eastAsia="ko-KR"/>
              </w:rPr>
            </w:pPr>
            <w:r w:rsidRPr="004E5F5C">
              <w:rPr>
                <w:bCs/>
                <w:lang w:eastAsia="ko-KR"/>
              </w:rPr>
              <w:t>HO with PSCell [RAN4]</w:t>
            </w:r>
          </w:p>
          <w:p w:rsidR="004E5F5C" w:rsidRPr="004E5F5C" w:rsidRDefault="004E5F5C" w:rsidP="004E5F5C">
            <w:pPr>
              <w:pStyle w:val="a0"/>
              <w:numPr>
                <w:ilvl w:val="1"/>
                <w:numId w:val="16"/>
              </w:numPr>
              <w:jc w:val="both"/>
              <w:rPr>
                <w:lang w:val="en-US" w:eastAsia="ko-KR"/>
              </w:rPr>
            </w:pPr>
            <w:r w:rsidRPr="004E5F5C">
              <w:rPr>
                <w:lang w:val="en-US" w:eastAsia="ko-KR"/>
              </w:rPr>
              <w:t>Determine the scenarios for HO with PSCell for which RRM requirements are to be specified</w:t>
            </w:r>
          </w:p>
          <w:p w:rsidR="004E5F5C" w:rsidRPr="004E5F5C" w:rsidRDefault="004E5F5C" w:rsidP="004E5F5C">
            <w:pPr>
              <w:pStyle w:val="a0"/>
              <w:numPr>
                <w:ilvl w:val="2"/>
                <w:numId w:val="16"/>
              </w:numPr>
              <w:jc w:val="both"/>
              <w:rPr>
                <w:lang w:val="en-US" w:eastAsia="ko-KR"/>
              </w:rPr>
            </w:pPr>
            <w:r w:rsidRPr="004E5F5C">
              <w:rPr>
                <w:lang w:val="en-US" w:eastAsia="ko-KR"/>
              </w:rPr>
              <w:t>from NR SA to EN-DC</w:t>
            </w:r>
          </w:p>
          <w:p w:rsidR="004E5F5C" w:rsidRPr="004E5F5C" w:rsidRDefault="004E5F5C" w:rsidP="004E5F5C">
            <w:pPr>
              <w:pStyle w:val="a0"/>
              <w:numPr>
                <w:ilvl w:val="2"/>
                <w:numId w:val="16"/>
              </w:numPr>
              <w:jc w:val="both"/>
              <w:rPr>
                <w:lang w:val="en-US" w:eastAsia="ko-KR"/>
              </w:rPr>
            </w:pPr>
            <w:r w:rsidRPr="004E5F5C">
              <w:rPr>
                <w:lang w:val="en-US" w:eastAsia="ko-KR"/>
              </w:rPr>
              <w:t>from EN-DC to EN-DC</w:t>
            </w:r>
          </w:p>
          <w:p w:rsidR="004E5F5C" w:rsidRPr="004E5F5C" w:rsidRDefault="004E5F5C" w:rsidP="004E5F5C">
            <w:pPr>
              <w:pStyle w:val="a0"/>
              <w:numPr>
                <w:ilvl w:val="2"/>
                <w:numId w:val="16"/>
              </w:numPr>
              <w:jc w:val="both"/>
              <w:rPr>
                <w:lang w:val="en-US" w:eastAsia="ko-KR"/>
              </w:rPr>
            </w:pPr>
            <w:r w:rsidRPr="004E5F5C">
              <w:rPr>
                <w:lang w:val="en-US" w:eastAsia="ko-KR"/>
              </w:rPr>
              <w:t>from NE-DC to NE-DC</w:t>
            </w:r>
          </w:p>
          <w:p w:rsidR="004E5F5C" w:rsidRPr="004E5F5C" w:rsidRDefault="004E5F5C" w:rsidP="004E5F5C">
            <w:pPr>
              <w:pStyle w:val="a0"/>
              <w:numPr>
                <w:ilvl w:val="2"/>
                <w:numId w:val="16"/>
              </w:numPr>
              <w:jc w:val="both"/>
              <w:rPr>
                <w:lang w:val="en-US" w:eastAsia="ko-KR"/>
              </w:rPr>
            </w:pPr>
            <w:r w:rsidRPr="004E5F5C">
              <w:rPr>
                <w:lang w:val="en-US" w:eastAsia="ko-KR"/>
              </w:rPr>
              <w:t>from NR-DC to NR-DC</w:t>
            </w:r>
          </w:p>
          <w:p w:rsidR="004E5F5C" w:rsidRPr="004E5F5C" w:rsidRDefault="004E5F5C" w:rsidP="004E5F5C">
            <w:pPr>
              <w:pStyle w:val="a0"/>
              <w:numPr>
                <w:ilvl w:val="1"/>
                <w:numId w:val="16"/>
              </w:numPr>
              <w:jc w:val="both"/>
              <w:rPr>
                <w:lang w:val="en-US" w:eastAsia="ko-KR"/>
              </w:rPr>
            </w:pPr>
            <w:r w:rsidRPr="004E5F5C">
              <w:rPr>
                <w:lang w:val="en-US" w:eastAsia="ko-KR"/>
              </w:rPr>
              <w:t>Study the UE behavior for HO with PSCell</w:t>
            </w:r>
          </w:p>
          <w:p w:rsidR="004E5F5C" w:rsidRPr="004E5F5C" w:rsidRDefault="004E5F5C" w:rsidP="004E5F5C">
            <w:pPr>
              <w:pStyle w:val="a0"/>
              <w:numPr>
                <w:ilvl w:val="2"/>
                <w:numId w:val="16"/>
              </w:numPr>
              <w:jc w:val="both"/>
              <w:rPr>
                <w:lang w:val="en-US" w:eastAsia="ko-KR"/>
              </w:rPr>
            </w:pPr>
            <w:r w:rsidRPr="004E5F5C">
              <w:rPr>
                <w:lang w:val="en-US" w:eastAsia="ko-KR"/>
              </w:rPr>
              <w:t>Existing requirements for HO and PSCell addition as baseline</w:t>
            </w:r>
          </w:p>
          <w:p w:rsidR="004E5F5C" w:rsidRPr="004E5F5C" w:rsidRDefault="004E5F5C" w:rsidP="004E5F5C">
            <w:pPr>
              <w:pStyle w:val="a0"/>
              <w:numPr>
                <w:ilvl w:val="2"/>
                <w:numId w:val="16"/>
              </w:numPr>
              <w:jc w:val="both"/>
              <w:rPr>
                <w:lang w:val="en-US" w:eastAsia="ko-KR"/>
              </w:rPr>
            </w:pPr>
            <w:r w:rsidRPr="004E5F5C">
              <w:rPr>
                <w:lang w:val="en-US" w:eastAsia="ko-KR"/>
              </w:rPr>
              <w:t>Timeline and interaction between HO and PSCell addition</w:t>
            </w:r>
          </w:p>
          <w:p w:rsidR="004E5F5C" w:rsidRPr="004E5F5C" w:rsidRDefault="004E5F5C" w:rsidP="004E5F5C">
            <w:pPr>
              <w:pStyle w:val="a0"/>
              <w:numPr>
                <w:ilvl w:val="1"/>
                <w:numId w:val="16"/>
              </w:numPr>
              <w:jc w:val="both"/>
              <w:rPr>
                <w:lang w:val="en-US" w:eastAsia="ko-KR"/>
              </w:rPr>
            </w:pPr>
            <w:r w:rsidRPr="004E5F5C">
              <w:rPr>
                <w:lang w:val="en-US" w:eastAsia="ko-KR"/>
              </w:rPr>
              <w:t xml:space="preserve"> Specify RRM requirements for HO with PSCell based on agreed UE behavior</w:t>
            </w:r>
          </w:p>
          <w:p w:rsidR="004E5F5C" w:rsidRPr="004E5F5C" w:rsidRDefault="004E5F5C" w:rsidP="004E5F5C">
            <w:pPr>
              <w:pStyle w:val="a0"/>
              <w:numPr>
                <w:ilvl w:val="0"/>
                <w:numId w:val="17"/>
              </w:numPr>
              <w:jc w:val="both"/>
              <w:rPr>
                <w:bCs/>
                <w:lang w:eastAsia="ko-KR"/>
              </w:rPr>
            </w:pPr>
            <w:r w:rsidRPr="004E5F5C">
              <w:rPr>
                <w:bCs/>
                <w:lang w:eastAsia="ko-KR"/>
              </w:rPr>
              <w:t>PUCCH SCell activation/deactivation [RAN4]</w:t>
            </w:r>
          </w:p>
          <w:p w:rsidR="004E5F5C" w:rsidRPr="004E5F5C" w:rsidRDefault="004E5F5C" w:rsidP="004E5F5C">
            <w:pPr>
              <w:pStyle w:val="a0"/>
              <w:numPr>
                <w:ilvl w:val="1"/>
                <w:numId w:val="16"/>
              </w:numPr>
              <w:jc w:val="both"/>
              <w:rPr>
                <w:lang w:val="en-US" w:eastAsia="ko-KR"/>
              </w:rPr>
            </w:pPr>
            <w:r w:rsidRPr="004E5F5C">
              <w:rPr>
                <w:lang w:val="en-US" w:eastAsia="ko-KR"/>
              </w:rPr>
              <w:t>Specify SCell Activation Delay Requirement for Deactivated PUCCH SCell (including valid TA and invalid TA)</w:t>
            </w:r>
          </w:p>
          <w:p w:rsidR="004E5F5C" w:rsidRPr="004E5F5C" w:rsidRDefault="004E5F5C" w:rsidP="004E5F5C">
            <w:pPr>
              <w:pStyle w:val="a0"/>
              <w:numPr>
                <w:ilvl w:val="1"/>
                <w:numId w:val="16"/>
              </w:numPr>
              <w:jc w:val="both"/>
              <w:rPr>
                <w:lang w:val="en-US" w:eastAsia="ko-KR"/>
              </w:rPr>
            </w:pPr>
            <w:r w:rsidRPr="004E5F5C">
              <w:rPr>
                <w:lang w:val="en-US" w:eastAsia="ko-KR"/>
              </w:rPr>
              <w:t>Specify SCell Activation Delay Requirement for Deactivated PUCCH SCell with Multiple SCells (including valid TA and invalid TA)</w:t>
            </w:r>
          </w:p>
          <w:p w:rsidR="004E5F5C" w:rsidRPr="004E5F5C" w:rsidRDefault="004E5F5C" w:rsidP="004E5F5C">
            <w:pPr>
              <w:pStyle w:val="a0"/>
              <w:numPr>
                <w:ilvl w:val="1"/>
                <w:numId w:val="16"/>
              </w:numPr>
              <w:jc w:val="both"/>
              <w:rPr>
                <w:lang w:val="en-US" w:eastAsia="ko-KR"/>
              </w:rPr>
            </w:pPr>
            <w:r w:rsidRPr="004E5F5C">
              <w:rPr>
                <w:lang w:val="en-US" w:eastAsia="ko-KR"/>
              </w:rPr>
              <w:t>Specify SCell Deactivation Delay Requirement for Activated PUCCH SCell</w:t>
            </w:r>
          </w:p>
          <w:p w:rsidR="004E5F5C" w:rsidRPr="004E5F5C" w:rsidRDefault="004E5F5C" w:rsidP="00CD0965">
            <w:pPr>
              <w:pStyle w:val="a0"/>
              <w:numPr>
                <w:ilvl w:val="1"/>
                <w:numId w:val="16"/>
              </w:numPr>
              <w:jc w:val="both"/>
              <w:rPr>
                <w:lang w:eastAsia="ko-KR"/>
              </w:rPr>
            </w:pPr>
            <w:r w:rsidRPr="004E5F5C">
              <w:rPr>
                <w:lang w:val="en-US" w:eastAsia="ko-KR"/>
              </w:rPr>
              <w:t>Specify SCell Deactivation Delay Requirement for Activated PUCCH SCell with Multiple SCells.</w:t>
            </w:r>
          </w:p>
        </w:tc>
      </w:tr>
    </w:tbl>
    <w:p w:rsidR="0012269A" w:rsidRPr="00743FF1" w:rsidRDefault="0012269A" w:rsidP="004E5F5C">
      <w:pPr>
        <w:pStyle w:val="a0"/>
        <w:jc w:val="both"/>
        <w:rPr>
          <w:lang w:val="en-US" w:eastAsia="ko-KR"/>
        </w:rPr>
      </w:pPr>
    </w:p>
    <w:p w:rsidR="003D4CAC" w:rsidRDefault="00CD0965" w:rsidP="00662107">
      <w:pPr>
        <w:pStyle w:val="a0"/>
        <w:jc w:val="both"/>
        <w:rPr>
          <w:lang w:val="en-US" w:eastAsia="ko-KR"/>
        </w:rPr>
      </w:pPr>
      <w:r>
        <w:rPr>
          <w:rFonts w:hint="eastAsia"/>
          <w:lang w:val="en-US" w:eastAsia="ko-KR"/>
        </w:rPr>
        <w:t xml:space="preserve">In this contribution, </w:t>
      </w:r>
      <w:r>
        <w:rPr>
          <w:lang w:val="en-US" w:eastAsia="ko-KR"/>
        </w:rPr>
        <w:t xml:space="preserve">SRS antenna port switching issue is focused. </w:t>
      </w:r>
    </w:p>
    <w:p w:rsidR="00CD0965" w:rsidRPr="00C87A6A" w:rsidRDefault="00CD0965" w:rsidP="00662107">
      <w:pPr>
        <w:pStyle w:val="a0"/>
        <w:jc w:val="both"/>
        <w:rPr>
          <w:lang w:val="en-US" w:eastAsia="ko-KR"/>
        </w:rPr>
      </w:pPr>
    </w:p>
    <w:p w:rsidR="00AC755F" w:rsidRDefault="00023E4B" w:rsidP="00A47253">
      <w:pPr>
        <w:pStyle w:val="1"/>
        <w:rPr>
          <w:lang w:val="en-US" w:eastAsia="ko-KR"/>
        </w:rPr>
      </w:pPr>
      <w:r w:rsidRPr="00743FF1">
        <w:rPr>
          <w:lang w:val="en-US" w:eastAsia="ko-KR"/>
        </w:rPr>
        <w:t>Discussion</w:t>
      </w:r>
    </w:p>
    <w:p w:rsidR="00FF0BB9" w:rsidRDefault="005B2E3C" w:rsidP="00FF0BB9">
      <w:pPr>
        <w:pStyle w:val="2"/>
        <w:rPr>
          <w:lang w:val="en-US" w:eastAsia="ko-KR"/>
        </w:rPr>
      </w:pPr>
      <w:r>
        <w:rPr>
          <w:lang w:val="en-US" w:eastAsia="ko-KR"/>
        </w:rPr>
        <w:t>Interruption</w:t>
      </w:r>
    </w:p>
    <w:p w:rsidR="00512355" w:rsidRDefault="006F750C" w:rsidP="009654CC">
      <w:pPr>
        <w:spacing w:line="276" w:lineRule="auto"/>
        <w:jc w:val="both"/>
        <w:rPr>
          <w:lang w:val="en-US" w:eastAsia="ko-KR"/>
        </w:rPr>
      </w:pPr>
      <w:r>
        <w:rPr>
          <w:lang w:val="en-US" w:eastAsia="ko-KR"/>
        </w:rPr>
        <w:t xml:space="preserve">SRS antenna switching is performed </w:t>
      </w:r>
      <w:r w:rsidR="006C2D7F">
        <w:rPr>
          <w:lang w:val="en-US" w:eastAsia="ko-KR"/>
        </w:rPr>
        <w:t xml:space="preserve">when </w:t>
      </w:r>
      <w:r>
        <w:rPr>
          <w:lang w:val="en-US" w:eastAsia="ko-KR"/>
        </w:rPr>
        <w:t xml:space="preserve">SRS resource set with higher layer parameter </w:t>
      </w:r>
      <w:r w:rsidRPr="006F750C">
        <w:rPr>
          <w:i/>
          <w:lang w:val="en-US" w:eastAsia="ko-KR"/>
        </w:rPr>
        <w:t>usage</w:t>
      </w:r>
      <w:r>
        <w:rPr>
          <w:lang w:val="en-US" w:eastAsia="ko-KR"/>
        </w:rPr>
        <w:t xml:space="preserve"> set as ‘antennaSwitching’, and a UE is configured with a guard period of Y symbols for in-between the SRS resource of the set in a slot.</w:t>
      </w:r>
      <w:r w:rsidR="00C508A8">
        <w:rPr>
          <w:lang w:val="en-US" w:eastAsia="ko-KR"/>
        </w:rPr>
        <w:t xml:space="preserve"> In this period, UE does not transmit any other signal.</w:t>
      </w:r>
    </w:p>
    <w:p w:rsidR="00D85D2C" w:rsidRDefault="00D85D2C" w:rsidP="009654CC">
      <w:pPr>
        <w:spacing w:line="276" w:lineRule="auto"/>
        <w:jc w:val="both"/>
        <w:rPr>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6F750C" w:rsidTr="005C396F">
        <w:trPr>
          <w:jc w:val="center"/>
        </w:trPr>
        <w:tc>
          <w:tcPr>
            <w:tcW w:w="1129" w:type="dxa"/>
            <w:vAlign w:val="center"/>
          </w:tcPr>
          <w:p w:rsidR="006F750C" w:rsidRPr="00E17FE7" w:rsidRDefault="006F750C" w:rsidP="005C396F">
            <w:pPr>
              <w:pStyle w:val="TAH"/>
              <w:rPr>
                <w:rFonts w:eastAsia="바탕"/>
              </w:rPr>
            </w:pPr>
            <w:r w:rsidRPr="00E17FE7">
              <w:rPr>
                <w:rFonts w:eastAsia="바탕"/>
                <w:position w:val="-10"/>
              </w:rPr>
              <w:object w:dxaOrig="219" w:dyaOrig="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05pt;height:14.05pt;mso-position-horizontal-relative:page;mso-position-vertical-relative:page" o:ole="">
                  <v:imagedata r:id="rId8" o:title=""/>
                </v:shape>
                <o:OLEObject Type="Embed" ProgID="Equation.3" ShapeID="对象 261" DrawAspect="Content" ObjectID="_1672221414" r:id="rId9"/>
              </w:object>
            </w:r>
          </w:p>
        </w:tc>
        <w:tc>
          <w:tcPr>
            <w:tcW w:w="1843" w:type="dxa"/>
            <w:vAlign w:val="center"/>
          </w:tcPr>
          <w:p w:rsidR="006F750C" w:rsidRPr="00E17FE7" w:rsidRDefault="006F750C" w:rsidP="005C396F">
            <w:pPr>
              <w:pStyle w:val="TAH"/>
              <w:rPr>
                <w:rFonts w:eastAsia="바탕"/>
              </w:rPr>
            </w:pPr>
            <w:r w:rsidRPr="00E17FE7">
              <w:rPr>
                <w:rFonts w:eastAsia="바탕"/>
                <w:position w:val="-10"/>
              </w:rPr>
              <w:object w:dxaOrig="1498" w:dyaOrig="339">
                <v:shape id="对象 262" o:spid="_x0000_i1026" type="#_x0000_t75" style="width:79.5pt;height:14.05pt;mso-position-horizontal-relative:page;mso-position-vertical-relative:page" o:ole="">
                  <v:imagedata r:id="rId10" o:title=""/>
                </v:shape>
                <o:OLEObject Type="Embed" ProgID="Equation.3" ShapeID="对象 262" DrawAspect="Content" ObjectID="_1672221415" r:id="rId11"/>
              </w:object>
            </w:r>
          </w:p>
        </w:tc>
        <w:tc>
          <w:tcPr>
            <w:tcW w:w="1843" w:type="dxa"/>
            <w:vAlign w:val="center"/>
          </w:tcPr>
          <w:p w:rsidR="006F750C" w:rsidRPr="00E17FE7" w:rsidRDefault="006F750C" w:rsidP="005C396F">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6F750C" w:rsidTr="005C396F">
        <w:trPr>
          <w:jc w:val="center"/>
        </w:trPr>
        <w:tc>
          <w:tcPr>
            <w:tcW w:w="1129" w:type="dxa"/>
          </w:tcPr>
          <w:p w:rsidR="006F750C" w:rsidRPr="00E17FE7" w:rsidRDefault="006F750C" w:rsidP="005C396F">
            <w:pPr>
              <w:pStyle w:val="TAC"/>
              <w:rPr>
                <w:rFonts w:eastAsia="바탕"/>
              </w:rPr>
            </w:pPr>
            <w:r w:rsidRPr="00E17FE7">
              <w:rPr>
                <w:rFonts w:eastAsia="바탕"/>
              </w:rPr>
              <w:t>0</w:t>
            </w:r>
          </w:p>
        </w:tc>
        <w:tc>
          <w:tcPr>
            <w:tcW w:w="1843" w:type="dxa"/>
          </w:tcPr>
          <w:p w:rsidR="006F750C" w:rsidRPr="00E17FE7" w:rsidRDefault="006F750C" w:rsidP="005C396F">
            <w:pPr>
              <w:pStyle w:val="TAC"/>
              <w:rPr>
                <w:rFonts w:eastAsia="바탕"/>
              </w:rPr>
            </w:pPr>
            <w:r w:rsidRPr="00E17FE7">
              <w:rPr>
                <w:rFonts w:eastAsia="바탕"/>
              </w:rPr>
              <w:t>15</w:t>
            </w:r>
          </w:p>
        </w:tc>
        <w:tc>
          <w:tcPr>
            <w:tcW w:w="1843" w:type="dxa"/>
          </w:tcPr>
          <w:p w:rsidR="006F750C" w:rsidRPr="00E17FE7" w:rsidRDefault="006F750C" w:rsidP="005C396F">
            <w:pPr>
              <w:pStyle w:val="TAC"/>
              <w:rPr>
                <w:lang w:eastAsia="zh-CN"/>
              </w:rPr>
            </w:pPr>
            <w:r>
              <w:rPr>
                <w:rFonts w:hint="eastAsia"/>
                <w:lang w:val="en-US" w:eastAsia="zh-CN"/>
              </w:rPr>
              <w:t>1</w:t>
            </w:r>
          </w:p>
        </w:tc>
      </w:tr>
      <w:tr w:rsidR="006F750C" w:rsidTr="005C396F">
        <w:trPr>
          <w:jc w:val="center"/>
        </w:trPr>
        <w:tc>
          <w:tcPr>
            <w:tcW w:w="1129" w:type="dxa"/>
          </w:tcPr>
          <w:p w:rsidR="006F750C" w:rsidRPr="00E17FE7" w:rsidRDefault="006F750C" w:rsidP="005C396F">
            <w:pPr>
              <w:pStyle w:val="TAC"/>
              <w:rPr>
                <w:rFonts w:eastAsia="바탕"/>
              </w:rPr>
            </w:pPr>
            <w:r w:rsidRPr="00E17FE7">
              <w:rPr>
                <w:rFonts w:eastAsia="바탕"/>
              </w:rPr>
              <w:t>1</w:t>
            </w:r>
          </w:p>
        </w:tc>
        <w:tc>
          <w:tcPr>
            <w:tcW w:w="1843" w:type="dxa"/>
          </w:tcPr>
          <w:p w:rsidR="006F750C" w:rsidRPr="00E17FE7" w:rsidRDefault="006F750C" w:rsidP="005C396F">
            <w:pPr>
              <w:pStyle w:val="TAC"/>
              <w:rPr>
                <w:rFonts w:eastAsia="바탕"/>
              </w:rPr>
            </w:pPr>
            <w:r w:rsidRPr="00E17FE7">
              <w:rPr>
                <w:rFonts w:eastAsia="바탕"/>
              </w:rPr>
              <w:t>30</w:t>
            </w:r>
          </w:p>
        </w:tc>
        <w:tc>
          <w:tcPr>
            <w:tcW w:w="1843" w:type="dxa"/>
          </w:tcPr>
          <w:p w:rsidR="006F750C" w:rsidRDefault="006F750C" w:rsidP="005C396F">
            <w:pPr>
              <w:pStyle w:val="TAC"/>
              <w:rPr>
                <w:lang w:val="en-US" w:eastAsia="zh-CN"/>
              </w:rPr>
            </w:pPr>
            <w:r>
              <w:rPr>
                <w:rFonts w:hint="eastAsia"/>
                <w:lang w:val="en-US" w:eastAsia="zh-CN"/>
              </w:rPr>
              <w:t>1</w:t>
            </w:r>
          </w:p>
        </w:tc>
      </w:tr>
      <w:tr w:rsidR="006F750C" w:rsidTr="005C396F">
        <w:trPr>
          <w:jc w:val="center"/>
        </w:trPr>
        <w:tc>
          <w:tcPr>
            <w:tcW w:w="1129" w:type="dxa"/>
          </w:tcPr>
          <w:p w:rsidR="006F750C" w:rsidRPr="00E17FE7" w:rsidRDefault="006F750C" w:rsidP="005C396F">
            <w:pPr>
              <w:pStyle w:val="TAC"/>
              <w:rPr>
                <w:rFonts w:eastAsia="바탕"/>
              </w:rPr>
            </w:pPr>
            <w:r w:rsidRPr="00E17FE7">
              <w:rPr>
                <w:rFonts w:eastAsia="바탕"/>
              </w:rPr>
              <w:t>2</w:t>
            </w:r>
          </w:p>
        </w:tc>
        <w:tc>
          <w:tcPr>
            <w:tcW w:w="1843" w:type="dxa"/>
          </w:tcPr>
          <w:p w:rsidR="006F750C" w:rsidRPr="00E17FE7" w:rsidRDefault="006F750C" w:rsidP="005C396F">
            <w:pPr>
              <w:pStyle w:val="TAC"/>
              <w:rPr>
                <w:rFonts w:eastAsia="바탕"/>
              </w:rPr>
            </w:pPr>
            <w:r w:rsidRPr="00E17FE7">
              <w:rPr>
                <w:rFonts w:eastAsia="바탕"/>
              </w:rPr>
              <w:t>60</w:t>
            </w:r>
          </w:p>
        </w:tc>
        <w:tc>
          <w:tcPr>
            <w:tcW w:w="1843" w:type="dxa"/>
          </w:tcPr>
          <w:p w:rsidR="006F750C" w:rsidRDefault="006F750C" w:rsidP="005C396F">
            <w:pPr>
              <w:pStyle w:val="TAC"/>
              <w:rPr>
                <w:lang w:val="en-US" w:eastAsia="zh-CN"/>
              </w:rPr>
            </w:pPr>
            <w:r>
              <w:rPr>
                <w:rFonts w:hint="eastAsia"/>
                <w:lang w:val="en-US" w:eastAsia="zh-CN"/>
              </w:rPr>
              <w:t>1</w:t>
            </w:r>
          </w:p>
        </w:tc>
      </w:tr>
      <w:tr w:rsidR="006F750C" w:rsidTr="005C396F">
        <w:trPr>
          <w:jc w:val="center"/>
        </w:trPr>
        <w:tc>
          <w:tcPr>
            <w:tcW w:w="1129" w:type="dxa"/>
          </w:tcPr>
          <w:p w:rsidR="006F750C" w:rsidRPr="00E17FE7" w:rsidRDefault="006F750C" w:rsidP="005C396F">
            <w:pPr>
              <w:pStyle w:val="TAC"/>
              <w:rPr>
                <w:rFonts w:eastAsia="바탕"/>
              </w:rPr>
            </w:pPr>
            <w:r w:rsidRPr="00E17FE7">
              <w:rPr>
                <w:rFonts w:eastAsia="바탕"/>
              </w:rPr>
              <w:t>3</w:t>
            </w:r>
          </w:p>
        </w:tc>
        <w:tc>
          <w:tcPr>
            <w:tcW w:w="1843" w:type="dxa"/>
          </w:tcPr>
          <w:p w:rsidR="006F750C" w:rsidRPr="00E17FE7" w:rsidRDefault="006F750C" w:rsidP="005C396F">
            <w:pPr>
              <w:pStyle w:val="TAC"/>
              <w:rPr>
                <w:rFonts w:eastAsia="바탕"/>
              </w:rPr>
            </w:pPr>
            <w:r w:rsidRPr="00E17FE7">
              <w:rPr>
                <w:rFonts w:eastAsia="바탕"/>
              </w:rPr>
              <w:t>120</w:t>
            </w:r>
          </w:p>
        </w:tc>
        <w:tc>
          <w:tcPr>
            <w:tcW w:w="1843" w:type="dxa"/>
          </w:tcPr>
          <w:p w:rsidR="006F750C" w:rsidRDefault="006F750C" w:rsidP="005C396F">
            <w:pPr>
              <w:pStyle w:val="TAC"/>
              <w:rPr>
                <w:lang w:val="en-US" w:eastAsia="zh-CN"/>
              </w:rPr>
            </w:pPr>
            <w:r>
              <w:rPr>
                <w:rFonts w:hint="eastAsia"/>
                <w:lang w:val="en-US" w:eastAsia="zh-CN"/>
              </w:rPr>
              <w:t>2</w:t>
            </w:r>
          </w:p>
        </w:tc>
      </w:tr>
    </w:tbl>
    <w:p w:rsidR="005B2E3C" w:rsidRDefault="005B2E3C" w:rsidP="009654CC">
      <w:pPr>
        <w:spacing w:line="276" w:lineRule="auto"/>
        <w:jc w:val="both"/>
        <w:rPr>
          <w:lang w:val="en-US" w:eastAsia="ko-KR"/>
        </w:rPr>
      </w:pPr>
    </w:p>
    <w:p w:rsidR="005A5623" w:rsidRDefault="00D85D2C" w:rsidP="009654CC">
      <w:pPr>
        <w:spacing w:line="276" w:lineRule="auto"/>
        <w:jc w:val="both"/>
        <w:rPr>
          <w:lang w:val="en-US" w:eastAsia="ko-KR"/>
        </w:rPr>
      </w:pPr>
      <w:r>
        <w:rPr>
          <w:rFonts w:hint="eastAsia"/>
          <w:lang w:val="en-US" w:eastAsia="ko-KR"/>
        </w:rPr>
        <w:t xml:space="preserve">For CA or DC, interruption can be introduced by SRS antenna port switching during guard period of Y symbols. </w:t>
      </w:r>
      <w:r>
        <w:rPr>
          <w:lang w:val="en-US" w:eastAsia="ko-KR"/>
        </w:rPr>
        <w:t xml:space="preserve">In general, slot level interruption can be considered, but </w:t>
      </w:r>
      <w:r w:rsidR="00936170">
        <w:rPr>
          <w:lang w:val="en-US" w:eastAsia="ko-KR"/>
        </w:rPr>
        <w:t xml:space="preserve">to define efficient interruption duration, symbol level interruption could be investigated since SRS is transmitted at the last x symbols of UL slot. Especially, if SRS antenna switching is performed in partial DL/UL slot, DL symbols cannot be interrupted in the slot. </w:t>
      </w:r>
    </w:p>
    <w:p w:rsidR="005B2E3C" w:rsidRDefault="005B2E3C" w:rsidP="009654CC">
      <w:pPr>
        <w:spacing w:line="276" w:lineRule="auto"/>
        <w:jc w:val="both"/>
        <w:rPr>
          <w:lang w:val="en-US" w:eastAsia="ko-KR"/>
        </w:rPr>
      </w:pPr>
    </w:p>
    <w:p w:rsidR="005A5623" w:rsidRDefault="005A5623" w:rsidP="00A72439">
      <w:pPr>
        <w:pStyle w:val="a0"/>
        <w:numPr>
          <w:ilvl w:val="0"/>
          <w:numId w:val="19"/>
        </w:numPr>
        <w:rPr>
          <w:lang w:val="en-US" w:eastAsia="ko-KR"/>
        </w:rPr>
      </w:pPr>
      <w:r w:rsidRPr="002D3290">
        <w:rPr>
          <w:rFonts w:hint="eastAsia"/>
          <w:b/>
          <w:i/>
          <w:lang w:val="en-US" w:eastAsia="ko-KR"/>
        </w:rPr>
        <w:t>Propo</w:t>
      </w:r>
      <w:r w:rsidR="002D3290">
        <w:rPr>
          <w:rFonts w:hint="eastAsia"/>
          <w:b/>
          <w:i/>
          <w:lang w:val="en-US" w:eastAsia="ko-KR"/>
        </w:rPr>
        <w:t>sal 1</w:t>
      </w:r>
      <w:r w:rsidR="002D3290">
        <w:rPr>
          <w:b/>
          <w:i/>
          <w:lang w:val="en-US" w:eastAsia="ko-KR"/>
        </w:rPr>
        <w:t>:</w:t>
      </w:r>
      <w:r w:rsidR="002D3290" w:rsidRPr="002D3290">
        <w:rPr>
          <w:lang w:val="en-US" w:eastAsia="ko-KR"/>
        </w:rPr>
        <w:t xml:space="preserve"> Symbol level</w:t>
      </w:r>
      <w:r w:rsidR="00E530D1">
        <w:rPr>
          <w:lang w:val="en-US" w:eastAsia="ko-KR"/>
        </w:rPr>
        <w:t xml:space="preserve"> (DL or UL symbols) </w:t>
      </w:r>
      <w:r w:rsidR="002D3290" w:rsidRPr="002D3290">
        <w:rPr>
          <w:lang w:val="en-US" w:eastAsia="ko-KR"/>
        </w:rPr>
        <w:t xml:space="preserve">interruption </w:t>
      </w:r>
      <w:r w:rsidR="002D3290">
        <w:rPr>
          <w:lang w:val="en-US" w:eastAsia="ko-KR"/>
        </w:rPr>
        <w:t xml:space="preserve">due to SRS antenna switching </w:t>
      </w:r>
      <w:r w:rsidR="002D3290" w:rsidRPr="002D3290">
        <w:rPr>
          <w:lang w:val="en-US" w:eastAsia="ko-KR"/>
        </w:rPr>
        <w:t>should be considered</w:t>
      </w:r>
      <w:r w:rsidR="002D3290">
        <w:rPr>
          <w:lang w:val="en-US" w:eastAsia="ko-KR"/>
        </w:rPr>
        <w:t>.</w:t>
      </w:r>
    </w:p>
    <w:p w:rsidR="002D3290" w:rsidRDefault="002D3290" w:rsidP="002D3290">
      <w:pPr>
        <w:pStyle w:val="a0"/>
        <w:rPr>
          <w:lang w:val="en-US" w:eastAsia="ko-KR"/>
        </w:rPr>
      </w:pPr>
    </w:p>
    <w:p w:rsidR="002D3290" w:rsidRDefault="00E530D1" w:rsidP="002D3290">
      <w:pPr>
        <w:pStyle w:val="a0"/>
        <w:rPr>
          <w:lang w:val="en-US" w:eastAsia="ko-KR"/>
        </w:rPr>
      </w:pPr>
      <w:r>
        <w:rPr>
          <w:rFonts w:hint="eastAsia"/>
          <w:lang w:val="en-US" w:eastAsia="ko-KR"/>
        </w:rPr>
        <w:t xml:space="preserve">Depending on the </w:t>
      </w:r>
      <w:r>
        <w:rPr>
          <w:lang w:val="en-US" w:eastAsia="ko-KR"/>
        </w:rPr>
        <w:t>indicated</w:t>
      </w:r>
      <w:r>
        <w:rPr>
          <w:rFonts w:hint="eastAsia"/>
          <w:lang w:val="en-US" w:eastAsia="ko-KR"/>
        </w:rPr>
        <w:t xml:space="preserve"> </w:t>
      </w:r>
      <w:r w:rsidR="00A72439">
        <w:rPr>
          <w:lang w:val="en-US" w:eastAsia="ko-KR"/>
        </w:rPr>
        <w:t xml:space="preserve">UE capability </w:t>
      </w:r>
      <w:r w:rsidR="00A72439" w:rsidRPr="00A72439">
        <w:rPr>
          <w:i/>
          <w:lang w:val="en-US" w:eastAsia="ko-KR"/>
        </w:rPr>
        <w:t>supportedSRS-T</w:t>
      </w:r>
      <w:r w:rsidRPr="00A72439">
        <w:rPr>
          <w:i/>
          <w:lang w:val="en-US" w:eastAsia="ko-KR"/>
        </w:rPr>
        <w:t>xPortSwitch</w:t>
      </w:r>
      <w:r>
        <w:rPr>
          <w:lang w:val="en-US" w:eastAsia="ko-KR"/>
        </w:rPr>
        <w:t xml:space="preserve">, the configuration of number of SRS resource sets is different and the required number of slots for SRS antenna switching could be different. Therefore, the interruption requirements should be defined depending the capability. </w:t>
      </w:r>
    </w:p>
    <w:p w:rsidR="00E530D1" w:rsidRDefault="00E530D1" w:rsidP="002D3290">
      <w:pPr>
        <w:pStyle w:val="a0"/>
        <w:rPr>
          <w:lang w:val="en-US" w:eastAsia="ko-KR"/>
        </w:rPr>
      </w:pPr>
    </w:p>
    <w:p w:rsidR="00E530D1" w:rsidRPr="00E530D1" w:rsidRDefault="00E530D1" w:rsidP="00A72439">
      <w:pPr>
        <w:pStyle w:val="a0"/>
        <w:numPr>
          <w:ilvl w:val="0"/>
          <w:numId w:val="19"/>
        </w:numPr>
        <w:rPr>
          <w:lang w:val="en-US" w:eastAsia="ko-KR"/>
        </w:rPr>
      </w:pPr>
      <w:r w:rsidRPr="00E530D1">
        <w:rPr>
          <w:b/>
          <w:i/>
          <w:lang w:val="en-US" w:eastAsia="ko-KR"/>
        </w:rPr>
        <w:t xml:space="preserve">Proposal 2: </w:t>
      </w:r>
      <w:r>
        <w:rPr>
          <w:lang w:val="en-US" w:eastAsia="ko-KR"/>
        </w:rPr>
        <w:t xml:space="preserve">Depending on UE capability </w:t>
      </w:r>
      <w:r w:rsidRPr="00E530D1">
        <w:rPr>
          <w:i/>
          <w:lang w:val="en-US" w:eastAsia="ko-KR"/>
        </w:rPr>
        <w:t>supportedSRS-TxPortSwitch</w:t>
      </w:r>
      <w:r>
        <w:rPr>
          <w:lang w:val="en-US" w:eastAsia="ko-KR"/>
        </w:rPr>
        <w:t xml:space="preserve">, the interruption requirements should be defined. </w:t>
      </w:r>
    </w:p>
    <w:p w:rsidR="002D3290" w:rsidRDefault="002D3290" w:rsidP="002D3290">
      <w:pPr>
        <w:pStyle w:val="a0"/>
        <w:rPr>
          <w:lang w:val="en-US" w:eastAsia="ko-KR"/>
        </w:rPr>
      </w:pPr>
    </w:p>
    <w:p w:rsidR="00A72439" w:rsidRDefault="00A72439" w:rsidP="002D3290">
      <w:pPr>
        <w:pStyle w:val="a0"/>
        <w:rPr>
          <w:lang w:val="en-US" w:eastAsia="ko-KR"/>
        </w:rPr>
      </w:pPr>
      <w:r>
        <w:rPr>
          <w:lang w:val="en-US" w:eastAsia="ko-KR"/>
        </w:rPr>
        <w:t>Since different</w:t>
      </w:r>
      <w:r>
        <w:rPr>
          <w:rFonts w:hint="eastAsia"/>
          <w:lang w:val="en-US" w:eastAsia="ko-KR"/>
        </w:rPr>
        <w:t xml:space="preserve"> </w:t>
      </w:r>
      <w:r>
        <w:rPr>
          <w:lang w:val="en-US" w:eastAsia="ko-KR"/>
        </w:rPr>
        <w:t xml:space="preserve">SCS and sync/async for CA or DC (EN-DC/NE-DC/NR-DC) can be configured, interruption requirements should be considered </w:t>
      </w:r>
      <w:r w:rsidR="0037327C">
        <w:rPr>
          <w:rFonts w:hint="eastAsia"/>
          <w:lang w:val="en-US" w:eastAsia="ko-KR"/>
        </w:rPr>
        <w:t xml:space="preserve">for </w:t>
      </w:r>
      <w:r>
        <w:rPr>
          <w:lang w:val="en-US" w:eastAsia="ko-KR"/>
        </w:rPr>
        <w:t xml:space="preserve">all these cases. </w:t>
      </w:r>
    </w:p>
    <w:p w:rsidR="00A72439" w:rsidRDefault="00A72439" w:rsidP="002D3290">
      <w:pPr>
        <w:pStyle w:val="a0"/>
        <w:rPr>
          <w:lang w:val="en-US" w:eastAsia="ko-KR"/>
        </w:rPr>
      </w:pPr>
    </w:p>
    <w:p w:rsidR="00A72439" w:rsidRDefault="00A72439" w:rsidP="00A72439">
      <w:pPr>
        <w:pStyle w:val="a0"/>
        <w:numPr>
          <w:ilvl w:val="0"/>
          <w:numId w:val="19"/>
        </w:numPr>
        <w:rPr>
          <w:lang w:val="en-US" w:eastAsia="ko-KR"/>
        </w:rPr>
      </w:pPr>
      <w:r w:rsidRPr="00A72439">
        <w:rPr>
          <w:rFonts w:hint="eastAsia"/>
          <w:b/>
          <w:i/>
          <w:lang w:val="en-US" w:eastAsia="ko-KR"/>
        </w:rPr>
        <w:t>Proposal 3:</w:t>
      </w:r>
      <w:r>
        <w:rPr>
          <w:rFonts w:hint="eastAsia"/>
          <w:lang w:val="en-US" w:eastAsia="ko-KR"/>
        </w:rPr>
        <w:t xml:space="preserve"> </w:t>
      </w:r>
      <w:r>
        <w:rPr>
          <w:lang w:val="en-US" w:eastAsia="ko-KR"/>
        </w:rPr>
        <w:t>Interruption requirements should be considered for different SCS and sync/async cases.</w:t>
      </w:r>
    </w:p>
    <w:p w:rsidR="00A72439" w:rsidRPr="002D3290" w:rsidRDefault="00A72439" w:rsidP="00A72439">
      <w:pPr>
        <w:pStyle w:val="a0"/>
        <w:rPr>
          <w:lang w:val="en-US" w:eastAsia="ko-KR"/>
        </w:rPr>
      </w:pPr>
    </w:p>
    <w:p w:rsidR="005B2E3C" w:rsidRDefault="005B2E3C" w:rsidP="005B2E3C">
      <w:pPr>
        <w:pStyle w:val="2"/>
        <w:rPr>
          <w:lang w:val="en-US" w:eastAsia="ko-KR"/>
        </w:rPr>
      </w:pPr>
      <w:r>
        <w:rPr>
          <w:lang w:val="en-US" w:eastAsia="ko-KR"/>
        </w:rPr>
        <w:t>Other</w:t>
      </w:r>
    </w:p>
    <w:p w:rsidR="005B2E3C" w:rsidRDefault="00A72439" w:rsidP="009654CC">
      <w:pPr>
        <w:spacing w:line="276" w:lineRule="auto"/>
        <w:jc w:val="both"/>
        <w:rPr>
          <w:lang w:val="en-US" w:eastAsia="ko-KR"/>
        </w:rPr>
      </w:pPr>
      <w:r>
        <w:rPr>
          <w:rFonts w:hint="eastAsia"/>
          <w:lang w:val="en-US" w:eastAsia="ko-KR"/>
        </w:rPr>
        <w:t>SRS antenna switching can be overlapped with other measurement such as L1</w:t>
      </w:r>
      <w:r>
        <w:rPr>
          <w:lang w:val="en-US" w:eastAsia="ko-KR"/>
        </w:rPr>
        <w:t>/</w:t>
      </w:r>
      <w:r>
        <w:rPr>
          <w:rFonts w:hint="eastAsia"/>
          <w:lang w:val="en-US" w:eastAsia="ko-KR"/>
        </w:rPr>
        <w:t>L3 measurement</w:t>
      </w:r>
      <w:r w:rsidR="00AF6ACD">
        <w:rPr>
          <w:lang w:val="en-US" w:eastAsia="ko-KR"/>
        </w:rPr>
        <w:t xml:space="preserve">, RLM, beam management, and so on. In current RAN4 RRM specification, not all overlapping cases have been defined. So, </w:t>
      </w:r>
      <w:r w:rsidR="00210206">
        <w:rPr>
          <w:lang w:val="en-US" w:eastAsia="ko-KR"/>
        </w:rPr>
        <w:t>no requirements are defined for overlapping cases between SRS antenna switching and other measurements.</w:t>
      </w:r>
    </w:p>
    <w:p w:rsidR="00210206" w:rsidRDefault="00210206" w:rsidP="009654CC">
      <w:pPr>
        <w:spacing w:line="276" w:lineRule="auto"/>
        <w:jc w:val="both"/>
        <w:rPr>
          <w:lang w:val="en-US" w:eastAsia="ko-KR"/>
        </w:rPr>
      </w:pPr>
    </w:p>
    <w:p w:rsidR="00210206" w:rsidRPr="00210206" w:rsidRDefault="00210206" w:rsidP="00210206">
      <w:pPr>
        <w:pStyle w:val="ad"/>
        <w:numPr>
          <w:ilvl w:val="0"/>
          <w:numId w:val="19"/>
        </w:numPr>
        <w:spacing w:line="276" w:lineRule="auto"/>
        <w:ind w:leftChars="0"/>
        <w:jc w:val="both"/>
        <w:rPr>
          <w:lang w:val="en-US" w:eastAsia="ko-KR"/>
        </w:rPr>
      </w:pPr>
      <w:r w:rsidRPr="00210206">
        <w:rPr>
          <w:rFonts w:hint="eastAsia"/>
          <w:b/>
          <w:i/>
          <w:lang w:val="en-US" w:eastAsia="ko-KR"/>
        </w:rPr>
        <w:t>Proposal 4:</w:t>
      </w:r>
      <w:r>
        <w:rPr>
          <w:rFonts w:hint="eastAsia"/>
          <w:lang w:val="en-US" w:eastAsia="ko-KR"/>
        </w:rPr>
        <w:t xml:space="preserve"> Do not define requirements for overlapping cases between SRS antenna switching and other measurements. </w:t>
      </w:r>
    </w:p>
    <w:p w:rsidR="00A72439" w:rsidRDefault="00A72439"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210206">
        <w:rPr>
          <w:lang w:val="en-US" w:eastAsia="ko-KR"/>
        </w:rPr>
        <w:t>SRS antenna switching issues</w:t>
      </w:r>
      <w:r w:rsidR="00CF2A12">
        <w:rPr>
          <w:lang w:val="en-US" w:eastAsia="ko-KR"/>
        </w:rPr>
        <w:t>.</w:t>
      </w:r>
      <w:r w:rsidR="003F345F">
        <w:rPr>
          <w:lang w:val="en-US" w:eastAsia="ko-KR"/>
        </w:rPr>
        <w:t xml:space="preserve"> We propose</w:t>
      </w:r>
    </w:p>
    <w:p w:rsidR="003F345F" w:rsidRPr="00CF2A12" w:rsidRDefault="003F345F" w:rsidP="00CF2A12">
      <w:pPr>
        <w:spacing w:line="276" w:lineRule="auto"/>
        <w:ind w:left="400"/>
        <w:jc w:val="both"/>
        <w:rPr>
          <w:lang w:val="en-US" w:eastAsia="ko-KR"/>
        </w:rPr>
      </w:pPr>
    </w:p>
    <w:p w:rsidR="003F345F" w:rsidRDefault="00210206" w:rsidP="00210206">
      <w:pPr>
        <w:pStyle w:val="a0"/>
        <w:numPr>
          <w:ilvl w:val="0"/>
          <w:numId w:val="19"/>
        </w:numPr>
        <w:rPr>
          <w:lang w:val="en-US" w:eastAsia="ko-KR"/>
        </w:rPr>
      </w:pPr>
      <w:r w:rsidRPr="002D3290">
        <w:rPr>
          <w:rFonts w:hint="eastAsia"/>
          <w:b/>
          <w:i/>
          <w:lang w:val="en-US" w:eastAsia="ko-KR"/>
        </w:rPr>
        <w:t>Propo</w:t>
      </w:r>
      <w:r>
        <w:rPr>
          <w:rFonts w:hint="eastAsia"/>
          <w:b/>
          <w:i/>
          <w:lang w:val="en-US" w:eastAsia="ko-KR"/>
        </w:rPr>
        <w:t>sal 1</w:t>
      </w:r>
      <w:r>
        <w:rPr>
          <w:b/>
          <w:i/>
          <w:lang w:val="en-US" w:eastAsia="ko-KR"/>
        </w:rPr>
        <w:t>:</w:t>
      </w:r>
      <w:r w:rsidRPr="002D3290">
        <w:rPr>
          <w:lang w:val="en-US" w:eastAsia="ko-KR"/>
        </w:rPr>
        <w:t xml:space="preserve"> Symbol level</w:t>
      </w:r>
      <w:r>
        <w:rPr>
          <w:lang w:val="en-US" w:eastAsia="ko-KR"/>
        </w:rPr>
        <w:t xml:space="preserve"> (DL or UL symbols) </w:t>
      </w:r>
      <w:r w:rsidRPr="002D3290">
        <w:rPr>
          <w:lang w:val="en-US" w:eastAsia="ko-KR"/>
        </w:rPr>
        <w:t xml:space="preserve">interruption </w:t>
      </w:r>
      <w:r>
        <w:rPr>
          <w:lang w:val="en-US" w:eastAsia="ko-KR"/>
        </w:rPr>
        <w:t xml:space="preserve">due to SRS antenna switching </w:t>
      </w:r>
      <w:r w:rsidRPr="002D3290">
        <w:rPr>
          <w:lang w:val="en-US" w:eastAsia="ko-KR"/>
        </w:rPr>
        <w:t>should be considered</w:t>
      </w:r>
      <w:r>
        <w:rPr>
          <w:lang w:val="en-US" w:eastAsia="ko-KR"/>
        </w:rPr>
        <w:t>.</w:t>
      </w:r>
    </w:p>
    <w:p w:rsidR="00210206" w:rsidRDefault="00210206" w:rsidP="00210206">
      <w:pPr>
        <w:pStyle w:val="a0"/>
        <w:numPr>
          <w:ilvl w:val="0"/>
          <w:numId w:val="19"/>
        </w:numPr>
        <w:rPr>
          <w:lang w:val="en-US" w:eastAsia="ko-KR"/>
        </w:rPr>
      </w:pPr>
      <w:r w:rsidRPr="00E530D1">
        <w:rPr>
          <w:b/>
          <w:i/>
          <w:lang w:val="en-US" w:eastAsia="ko-KR"/>
        </w:rPr>
        <w:t xml:space="preserve">Proposal 2: </w:t>
      </w:r>
      <w:r>
        <w:rPr>
          <w:lang w:val="en-US" w:eastAsia="ko-KR"/>
        </w:rPr>
        <w:t xml:space="preserve">Depending on UE capability </w:t>
      </w:r>
      <w:r w:rsidRPr="00E530D1">
        <w:rPr>
          <w:i/>
          <w:lang w:val="en-US" w:eastAsia="ko-KR"/>
        </w:rPr>
        <w:t>supportedSRS-TxPortSwitch</w:t>
      </w:r>
      <w:r>
        <w:rPr>
          <w:lang w:val="en-US" w:eastAsia="ko-KR"/>
        </w:rPr>
        <w:t xml:space="preserve">, the interruption requirements should be defined. </w:t>
      </w:r>
    </w:p>
    <w:p w:rsidR="00210206" w:rsidRDefault="00210206" w:rsidP="00210206">
      <w:pPr>
        <w:pStyle w:val="a0"/>
        <w:numPr>
          <w:ilvl w:val="0"/>
          <w:numId w:val="19"/>
        </w:numPr>
        <w:rPr>
          <w:lang w:val="en-US" w:eastAsia="ko-KR"/>
        </w:rPr>
      </w:pPr>
      <w:r w:rsidRPr="00A72439">
        <w:rPr>
          <w:rFonts w:hint="eastAsia"/>
          <w:b/>
          <w:i/>
          <w:lang w:val="en-US" w:eastAsia="ko-KR"/>
        </w:rPr>
        <w:t>Proposal 3:</w:t>
      </w:r>
      <w:r>
        <w:rPr>
          <w:rFonts w:hint="eastAsia"/>
          <w:lang w:val="en-US" w:eastAsia="ko-KR"/>
        </w:rPr>
        <w:t xml:space="preserve"> </w:t>
      </w:r>
      <w:r>
        <w:rPr>
          <w:lang w:val="en-US" w:eastAsia="ko-KR"/>
        </w:rPr>
        <w:t>Interruption requirements should be considered for different SCS and sync/async cases.</w:t>
      </w:r>
    </w:p>
    <w:p w:rsidR="00210206" w:rsidRPr="00210206" w:rsidRDefault="00210206" w:rsidP="00210206">
      <w:pPr>
        <w:pStyle w:val="ad"/>
        <w:numPr>
          <w:ilvl w:val="0"/>
          <w:numId w:val="19"/>
        </w:numPr>
        <w:spacing w:line="276" w:lineRule="auto"/>
        <w:ind w:leftChars="0"/>
        <w:jc w:val="both"/>
        <w:rPr>
          <w:lang w:val="en-US" w:eastAsia="ko-KR"/>
        </w:rPr>
      </w:pPr>
      <w:r w:rsidRPr="00210206">
        <w:rPr>
          <w:rFonts w:hint="eastAsia"/>
          <w:b/>
          <w:i/>
          <w:lang w:val="en-US" w:eastAsia="ko-KR"/>
        </w:rPr>
        <w:t>Proposal 4:</w:t>
      </w:r>
      <w:r>
        <w:rPr>
          <w:rFonts w:hint="eastAsia"/>
          <w:lang w:val="en-US" w:eastAsia="ko-KR"/>
        </w:rPr>
        <w:t xml:space="preserve"> Do not define requirements for overlapping cases between SRS antenna switching and other measurements. </w:t>
      </w:r>
    </w:p>
    <w:p w:rsidR="00210206" w:rsidRPr="00210206" w:rsidRDefault="00210206" w:rsidP="003F345F">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A1987" w:rsidRDefault="00A869F6" w:rsidP="0008671B">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CD0965">
        <w:rPr>
          <w:lang w:val="en-US" w:eastAsia="ko-KR"/>
        </w:rPr>
        <w:t>P</w:t>
      </w:r>
      <w:r w:rsidR="005700D6">
        <w:rPr>
          <w:lang w:val="en-US" w:eastAsia="ko-KR"/>
        </w:rPr>
        <w:t>-20</w:t>
      </w:r>
      <w:r w:rsidR="00CD0965">
        <w:rPr>
          <w:lang w:val="en-US" w:eastAsia="ko-KR"/>
        </w:rPr>
        <w:t>2053</w:t>
      </w:r>
      <w:r w:rsidR="00C06E2A">
        <w:rPr>
          <w:lang w:val="en-US" w:eastAsia="ko-KR"/>
        </w:rPr>
        <w:t>, “</w:t>
      </w:r>
      <w:r w:rsidR="00CD0965">
        <w:rPr>
          <w:lang w:val="en-US" w:eastAsia="ko-KR"/>
        </w:rPr>
        <w:t>WID of Rel-17 NR RRM further enhancement</w:t>
      </w:r>
      <w:r w:rsidR="00C06E2A">
        <w:rPr>
          <w:lang w:val="en-US" w:eastAsia="ko-KR"/>
        </w:rPr>
        <w:t xml:space="preserve">,” </w:t>
      </w:r>
      <w:r w:rsidR="00CD0965">
        <w:rPr>
          <w:lang w:val="en-US" w:eastAsia="ko-KR"/>
        </w:rPr>
        <w:t>Apple, Intel</w:t>
      </w:r>
      <w:r w:rsidR="00974335">
        <w:rPr>
          <w:lang w:val="en-US" w:eastAsia="ko-KR"/>
        </w:rPr>
        <w:t>.</w:t>
      </w:r>
    </w:p>
    <w:p w:rsidR="00752799" w:rsidRDefault="00752799" w:rsidP="00CD0965">
      <w:pPr>
        <w:pStyle w:val="a0"/>
        <w:rPr>
          <w:lang w:val="en-US" w:eastAsia="ko-KR"/>
        </w:rPr>
      </w:pPr>
      <w:r>
        <w:rPr>
          <w:lang w:val="en-US" w:eastAsia="ko-KR"/>
        </w:rPr>
        <w:t>[2] R4</w:t>
      </w:r>
      <w:r w:rsidR="00CD0965">
        <w:rPr>
          <w:lang w:val="en-US" w:eastAsia="ko-KR"/>
        </w:rPr>
        <w:t>-2017265, “</w:t>
      </w:r>
      <w:r w:rsidR="00CD0965" w:rsidRPr="00CD0965">
        <w:rPr>
          <w:lang w:val="en-US" w:eastAsia="ko-KR"/>
        </w:rPr>
        <w:t>Work plan for R17 Further RRM enhancement for NR and MR-DC WI</w:t>
      </w:r>
      <w:r w:rsidR="00CD0965">
        <w:rPr>
          <w:lang w:val="en-US" w:eastAsia="ko-KR"/>
        </w:rPr>
        <w:t>,” Apple.</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ED9" w:rsidRDefault="00240ED9" w:rsidP="00D306DF">
      <w:r>
        <w:separator/>
      </w:r>
    </w:p>
  </w:endnote>
  <w:endnote w:type="continuationSeparator" w:id="0">
    <w:p w:rsidR="00240ED9" w:rsidRDefault="00240ED9"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ED9" w:rsidRDefault="00240ED9" w:rsidP="00D306DF">
      <w:r>
        <w:separator/>
      </w:r>
    </w:p>
  </w:footnote>
  <w:footnote w:type="continuationSeparator" w:id="0">
    <w:p w:rsidR="00240ED9" w:rsidRDefault="00240ED9"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1"/>
  </w:num>
  <w:num w:numId="3">
    <w:abstractNumId w:val="7"/>
  </w:num>
  <w:num w:numId="4">
    <w:abstractNumId w:val="8"/>
  </w:num>
  <w:num w:numId="5">
    <w:abstractNumId w:val="5"/>
  </w:num>
  <w:num w:numId="6">
    <w:abstractNumId w:val="10"/>
  </w:num>
  <w:num w:numId="7">
    <w:abstractNumId w:val="14"/>
  </w:num>
  <w:num w:numId="8">
    <w:abstractNumId w:val="1"/>
  </w:num>
  <w:num w:numId="9">
    <w:abstractNumId w:val="4"/>
  </w:num>
  <w:num w:numId="10">
    <w:abstractNumId w:val="12"/>
  </w:num>
  <w:num w:numId="11">
    <w:abstractNumId w:val="9"/>
  </w:num>
  <w:num w:numId="12">
    <w:abstractNumId w:val="9"/>
  </w:num>
  <w:num w:numId="13">
    <w:abstractNumId w:val="6"/>
  </w:num>
  <w:num w:numId="14">
    <w:abstractNumId w:val="0"/>
  </w:num>
  <w:num w:numId="15">
    <w:abstractNumId w:val="0"/>
  </w:num>
  <w:num w:numId="16">
    <w:abstractNumId w:val="3"/>
  </w:num>
  <w:num w:numId="17">
    <w:abstractNumId w:val="2"/>
  </w:num>
  <w:num w:numId="18">
    <w:abstractNumId w:val="9"/>
  </w:num>
  <w:num w:numId="1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72AB"/>
    <w:rsid w:val="000778BA"/>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B15B8"/>
    <w:rsid w:val="000B17F6"/>
    <w:rsid w:val="000B1964"/>
    <w:rsid w:val="000B2503"/>
    <w:rsid w:val="000B26BE"/>
    <w:rsid w:val="000B36F2"/>
    <w:rsid w:val="000B3E6D"/>
    <w:rsid w:val="000B7771"/>
    <w:rsid w:val="000B799B"/>
    <w:rsid w:val="000C15D6"/>
    <w:rsid w:val="000C1B7F"/>
    <w:rsid w:val="000C62E1"/>
    <w:rsid w:val="000C71C8"/>
    <w:rsid w:val="000D0030"/>
    <w:rsid w:val="000D0D95"/>
    <w:rsid w:val="000D1C1B"/>
    <w:rsid w:val="000D28A2"/>
    <w:rsid w:val="000D3113"/>
    <w:rsid w:val="000D39B2"/>
    <w:rsid w:val="000D563E"/>
    <w:rsid w:val="000E05E0"/>
    <w:rsid w:val="000E07E1"/>
    <w:rsid w:val="000E0CE9"/>
    <w:rsid w:val="000E126C"/>
    <w:rsid w:val="000E1C2A"/>
    <w:rsid w:val="000E2407"/>
    <w:rsid w:val="000E34D2"/>
    <w:rsid w:val="000E37BB"/>
    <w:rsid w:val="000E3CA0"/>
    <w:rsid w:val="000E4B62"/>
    <w:rsid w:val="000E5BE2"/>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21DFB"/>
    <w:rsid w:val="0012269A"/>
    <w:rsid w:val="00123C65"/>
    <w:rsid w:val="00123FC1"/>
    <w:rsid w:val="0012436A"/>
    <w:rsid w:val="00124BC8"/>
    <w:rsid w:val="0012596B"/>
    <w:rsid w:val="00126C25"/>
    <w:rsid w:val="00126E69"/>
    <w:rsid w:val="00127C4C"/>
    <w:rsid w:val="00130DBB"/>
    <w:rsid w:val="0013116E"/>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6A2E"/>
    <w:rsid w:val="001E70DA"/>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D2EC5"/>
    <w:rsid w:val="002D3290"/>
    <w:rsid w:val="002D32BD"/>
    <w:rsid w:val="002D4249"/>
    <w:rsid w:val="002D46F5"/>
    <w:rsid w:val="002D58FC"/>
    <w:rsid w:val="002D5FB2"/>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4814"/>
    <w:rsid w:val="00315CEE"/>
    <w:rsid w:val="0031610C"/>
    <w:rsid w:val="003161F4"/>
    <w:rsid w:val="00317322"/>
    <w:rsid w:val="00320970"/>
    <w:rsid w:val="003217F5"/>
    <w:rsid w:val="00322E62"/>
    <w:rsid w:val="00324523"/>
    <w:rsid w:val="00325759"/>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327C"/>
    <w:rsid w:val="00374646"/>
    <w:rsid w:val="00375D16"/>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70C8"/>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E31"/>
    <w:rsid w:val="003F7499"/>
    <w:rsid w:val="00402707"/>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726"/>
    <w:rsid w:val="004814AC"/>
    <w:rsid w:val="004818BC"/>
    <w:rsid w:val="00481D86"/>
    <w:rsid w:val="00481F00"/>
    <w:rsid w:val="0048230F"/>
    <w:rsid w:val="00482570"/>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500D6"/>
    <w:rsid w:val="0055020F"/>
    <w:rsid w:val="005503D6"/>
    <w:rsid w:val="00552F63"/>
    <w:rsid w:val="00554ECC"/>
    <w:rsid w:val="005554F3"/>
    <w:rsid w:val="00555608"/>
    <w:rsid w:val="005557B6"/>
    <w:rsid w:val="00561877"/>
    <w:rsid w:val="00562FF9"/>
    <w:rsid w:val="0056318B"/>
    <w:rsid w:val="00565E01"/>
    <w:rsid w:val="00566A81"/>
    <w:rsid w:val="005671F4"/>
    <w:rsid w:val="005678CA"/>
    <w:rsid w:val="005700D6"/>
    <w:rsid w:val="005739B5"/>
    <w:rsid w:val="005746F4"/>
    <w:rsid w:val="005763A9"/>
    <w:rsid w:val="005801FB"/>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C142E"/>
    <w:rsid w:val="005C1457"/>
    <w:rsid w:val="005C282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20C85"/>
    <w:rsid w:val="00620E9E"/>
    <w:rsid w:val="00621498"/>
    <w:rsid w:val="00622C87"/>
    <w:rsid w:val="00622DB2"/>
    <w:rsid w:val="00622DBC"/>
    <w:rsid w:val="00622EC0"/>
    <w:rsid w:val="0062492A"/>
    <w:rsid w:val="00625E84"/>
    <w:rsid w:val="00625FA9"/>
    <w:rsid w:val="006269E9"/>
    <w:rsid w:val="0062745A"/>
    <w:rsid w:val="00627BF8"/>
    <w:rsid w:val="006310C1"/>
    <w:rsid w:val="00634297"/>
    <w:rsid w:val="00636788"/>
    <w:rsid w:val="0063708D"/>
    <w:rsid w:val="0064053D"/>
    <w:rsid w:val="006413A4"/>
    <w:rsid w:val="00644ABF"/>
    <w:rsid w:val="0064686E"/>
    <w:rsid w:val="00646E27"/>
    <w:rsid w:val="00647BD5"/>
    <w:rsid w:val="00651102"/>
    <w:rsid w:val="00652326"/>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2D7F"/>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40E8"/>
    <w:rsid w:val="006F4583"/>
    <w:rsid w:val="006F750C"/>
    <w:rsid w:val="006F7562"/>
    <w:rsid w:val="00700A2E"/>
    <w:rsid w:val="007022B4"/>
    <w:rsid w:val="007043CE"/>
    <w:rsid w:val="007060E3"/>
    <w:rsid w:val="00710705"/>
    <w:rsid w:val="00711095"/>
    <w:rsid w:val="0071117C"/>
    <w:rsid w:val="00713847"/>
    <w:rsid w:val="00713C04"/>
    <w:rsid w:val="00714555"/>
    <w:rsid w:val="00715759"/>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FF1"/>
    <w:rsid w:val="00747E29"/>
    <w:rsid w:val="00750216"/>
    <w:rsid w:val="007520D6"/>
    <w:rsid w:val="00752799"/>
    <w:rsid w:val="00752AC2"/>
    <w:rsid w:val="007560F4"/>
    <w:rsid w:val="007566AB"/>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800781"/>
    <w:rsid w:val="008012A9"/>
    <w:rsid w:val="008041A0"/>
    <w:rsid w:val="00805C11"/>
    <w:rsid w:val="00805C46"/>
    <w:rsid w:val="0080624A"/>
    <w:rsid w:val="0080628D"/>
    <w:rsid w:val="008062F5"/>
    <w:rsid w:val="00807EF6"/>
    <w:rsid w:val="00807FEC"/>
    <w:rsid w:val="00810BF0"/>
    <w:rsid w:val="008115CE"/>
    <w:rsid w:val="00811D50"/>
    <w:rsid w:val="00812E85"/>
    <w:rsid w:val="00813EF9"/>
    <w:rsid w:val="00814D44"/>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6336"/>
    <w:rsid w:val="008808CE"/>
    <w:rsid w:val="00880D51"/>
    <w:rsid w:val="00880F56"/>
    <w:rsid w:val="008811BC"/>
    <w:rsid w:val="008824D3"/>
    <w:rsid w:val="00882DC9"/>
    <w:rsid w:val="00884F1A"/>
    <w:rsid w:val="00885906"/>
    <w:rsid w:val="00885F81"/>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0520"/>
    <w:rsid w:val="008C1684"/>
    <w:rsid w:val="008C4B9C"/>
    <w:rsid w:val="008C725F"/>
    <w:rsid w:val="008C7D76"/>
    <w:rsid w:val="008D179B"/>
    <w:rsid w:val="008D2EC1"/>
    <w:rsid w:val="008D3001"/>
    <w:rsid w:val="008D40B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3D6D"/>
    <w:rsid w:val="009149FC"/>
    <w:rsid w:val="009167DB"/>
    <w:rsid w:val="00917030"/>
    <w:rsid w:val="009203DF"/>
    <w:rsid w:val="00920769"/>
    <w:rsid w:val="00921F7D"/>
    <w:rsid w:val="00923A90"/>
    <w:rsid w:val="00923AFC"/>
    <w:rsid w:val="00923B0B"/>
    <w:rsid w:val="00923D70"/>
    <w:rsid w:val="00924F20"/>
    <w:rsid w:val="00925C5F"/>
    <w:rsid w:val="00926166"/>
    <w:rsid w:val="0092731E"/>
    <w:rsid w:val="00927C82"/>
    <w:rsid w:val="009315C8"/>
    <w:rsid w:val="00931AEF"/>
    <w:rsid w:val="00934323"/>
    <w:rsid w:val="00935843"/>
    <w:rsid w:val="00936170"/>
    <w:rsid w:val="00937117"/>
    <w:rsid w:val="0094034A"/>
    <w:rsid w:val="00940A9B"/>
    <w:rsid w:val="00941813"/>
    <w:rsid w:val="00941D1C"/>
    <w:rsid w:val="0094372D"/>
    <w:rsid w:val="00943AD8"/>
    <w:rsid w:val="009444AC"/>
    <w:rsid w:val="00946585"/>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DA"/>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2AB3"/>
    <w:rsid w:val="00A03647"/>
    <w:rsid w:val="00A040FE"/>
    <w:rsid w:val="00A0436B"/>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745A"/>
    <w:rsid w:val="00A60FFF"/>
    <w:rsid w:val="00A61C7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6362"/>
    <w:rsid w:val="00B67237"/>
    <w:rsid w:val="00B67FE2"/>
    <w:rsid w:val="00B70AB5"/>
    <w:rsid w:val="00B71B4F"/>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516A"/>
    <w:rsid w:val="00C3642A"/>
    <w:rsid w:val="00C3687F"/>
    <w:rsid w:val="00C36FEA"/>
    <w:rsid w:val="00C377B7"/>
    <w:rsid w:val="00C401BA"/>
    <w:rsid w:val="00C4066B"/>
    <w:rsid w:val="00C41264"/>
    <w:rsid w:val="00C41892"/>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F0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54CC"/>
    <w:rsid w:val="00CA5508"/>
    <w:rsid w:val="00CA5895"/>
    <w:rsid w:val="00CA66BE"/>
    <w:rsid w:val="00CA7609"/>
    <w:rsid w:val="00CB1A2F"/>
    <w:rsid w:val="00CB1AB8"/>
    <w:rsid w:val="00CB2087"/>
    <w:rsid w:val="00CB45C7"/>
    <w:rsid w:val="00CB4B07"/>
    <w:rsid w:val="00CB4E1E"/>
    <w:rsid w:val="00CB7C7A"/>
    <w:rsid w:val="00CC125B"/>
    <w:rsid w:val="00CC1BF1"/>
    <w:rsid w:val="00CC3698"/>
    <w:rsid w:val="00CC4136"/>
    <w:rsid w:val="00CC417F"/>
    <w:rsid w:val="00CC419A"/>
    <w:rsid w:val="00CC5AB1"/>
    <w:rsid w:val="00CC6B07"/>
    <w:rsid w:val="00CC736E"/>
    <w:rsid w:val="00CC7CD3"/>
    <w:rsid w:val="00CD07B0"/>
    <w:rsid w:val="00CD0965"/>
    <w:rsid w:val="00CD0AD0"/>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53A7"/>
    <w:rsid w:val="00D0591E"/>
    <w:rsid w:val="00D05FB6"/>
    <w:rsid w:val="00D0769F"/>
    <w:rsid w:val="00D07E91"/>
    <w:rsid w:val="00D1005B"/>
    <w:rsid w:val="00D13AE1"/>
    <w:rsid w:val="00D14705"/>
    <w:rsid w:val="00D16294"/>
    <w:rsid w:val="00D17124"/>
    <w:rsid w:val="00D2178D"/>
    <w:rsid w:val="00D21FEC"/>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7AF9"/>
    <w:rsid w:val="00DE7D3E"/>
    <w:rsid w:val="00DF1FCF"/>
    <w:rsid w:val="00DF22A5"/>
    <w:rsid w:val="00DF26D2"/>
    <w:rsid w:val="00DF39E3"/>
    <w:rsid w:val="00DF3C0C"/>
    <w:rsid w:val="00DF500F"/>
    <w:rsid w:val="00DF5AEE"/>
    <w:rsid w:val="00DF662A"/>
    <w:rsid w:val="00DF6F77"/>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B3A"/>
    <w:rsid w:val="00E93CD9"/>
    <w:rsid w:val="00E9440A"/>
    <w:rsid w:val="00E9613C"/>
    <w:rsid w:val="00E97722"/>
    <w:rsid w:val="00E97B87"/>
    <w:rsid w:val="00EA213E"/>
    <w:rsid w:val="00EA2518"/>
    <w:rsid w:val="00EA2543"/>
    <w:rsid w:val="00EA30AC"/>
    <w:rsid w:val="00EA4D3D"/>
    <w:rsid w:val="00EA6D39"/>
    <w:rsid w:val="00EA7470"/>
    <w:rsid w:val="00EA74C5"/>
    <w:rsid w:val="00EB01F9"/>
    <w:rsid w:val="00EB0D40"/>
    <w:rsid w:val="00EB20CB"/>
    <w:rsid w:val="00EB2E06"/>
    <w:rsid w:val="00EB36E6"/>
    <w:rsid w:val="00EB61E8"/>
    <w:rsid w:val="00EB64F0"/>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1017"/>
    <w:rsid w:val="00EE1DAA"/>
    <w:rsid w:val="00EE3C05"/>
    <w:rsid w:val="00EE5E9A"/>
    <w:rsid w:val="00EE6051"/>
    <w:rsid w:val="00EE79EC"/>
    <w:rsid w:val="00EF1F81"/>
    <w:rsid w:val="00EF298C"/>
    <w:rsid w:val="00EF4913"/>
    <w:rsid w:val="00EF6A96"/>
    <w:rsid w:val="00EF6C69"/>
    <w:rsid w:val="00EF7173"/>
    <w:rsid w:val="00EF7FE6"/>
    <w:rsid w:val="00F00C72"/>
    <w:rsid w:val="00F01F99"/>
    <w:rsid w:val="00F02612"/>
    <w:rsid w:val="00F02B1A"/>
    <w:rsid w:val="00F02BE3"/>
    <w:rsid w:val="00F037BC"/>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C83AB-045E-4A05-B1B1-4531CEB5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3584</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Hwang2</cp:lastModifiedBy>
  <cp:revision>2</cp:revision>
  <dcterms:created xsi:type="dcterms:W3CDTF">2021-01-15T04:10:00Z</dcterms:created>
  <dcterms:modified xsi:type="dcterms:W3CDTF">2021-01-15T04:10:00Z</dcterms:modified>
</cp:coreProperties>
</file>