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9C14F" w14:textId="1CD973F7" w:rsidR="00A563E3" w:rsidRPr="00DB3907" w:rsidRDefault="00A563E3" w:rsidP="00A563E3">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2E6E5E">
        <w:rPr>
          <w:rFonts w:cs="Arial"/>
          <w:sz w:val="24"/>
          <w:szCs w:val="24"/>
          <w:lang w:val="de-DE"/>
        </w:rPr>
        <w:t>7</w:t>
      </w:r>
      <w:r>
        <w:rPr>
          <w:rFonts w:cs="Arial"/>
          <w:sz w:val="24"/>
          <w:szCs w:val="24"/>
          <w:lang w:val="de-DE"/>
        </w:rPr>
        <w:t>-e</w:t>
      </w:r>
      <w:r w:rsidRPr="00DB3907">
        <w:rPr>
          <w:rFonts w:cs="Arial"/>
          <w:sz w:val="24"/>
          <w:szCs w:val="24"/>
          <w:lang w:val="de-DE"/>
        </w:rPr>
        <w:tab/>
        <w:t>R4-</w:t>
      </w:r>
      <w:r>
        <w:rPr>
          <w:rFonts w:cs="Arial"/>
          <w:sz w:val="24"/>
          <w:szCs w:val="24"/>
          <w:lang w:val="de-DE"/>
        </w:rPr>
        <w:t>20</w:t>
      </w:r>
      <w:r w:rsidR="0005327D">
        <w:rPr>
          <w:rFonts w:cs="Arial"/>
          <w:sz w:val="24"/>
          <w:szCs w:val="24"/>
          <w:lang w:val="de-DE"/>
        </w:rPr>
        <w:t>16437</w:t>
      </w:r>
      <w:bookmarkStart w:id="0" w:name="_GoBack"/>
      <w:bookmarkEnd w:id="0"/>
    </w:p>
    <w:p w14:paraId="6E79AB25" w14:textId="63047769" w:rsidR="00A563E3" w:rsidRPr="00DB3907" w:rsidRDefault="002E6E5E" w:rsidP="00A563E3">
      <w:pPr>
        <w:pStyle w:val="Header"/>
        <w:tabs>
          <w:tab w:val="left" w:pos="6521"/>
        </w:tabs>
        <w:rPr>
          <w:rFonts w:cs="Arial"/>
          <w:sz w:val="24"/>
          <w:szCs w:val="24"/>
        </w:rPr>
      </w:pPr>
      <w:r>
        <w:rPr>
          <w:rFonts w:cs="Arial"/>
          <w:sz w:val="24"/>
          <w:szCs w:val="24"/>
        </w:rPr>
        <w:t>Nov</w:t>
      </w:r>
      <w:r w:rsidR="00A563E3">
        <w:rPr>
          <w:rFonts w:cs="Arial"/>
          <w:sz w:val="24"/>
          <w:szCs w:val="24"/>
        </w:rPr>
        <w:t xml:space="preserve"> </w:t>
      </w:r>
      <w:r>
        <w:rPr>
          <w:rFonts w:cs="Arial"/>
          <w:sz w:val="24"/>
          <w:szCs w:val="24"/>
        </w:rPr>
        <w:t>2</w:t>
      </w:r>
      <w:r>
        <w:rPr>
          <w:rFonts w:cs="Arial"/>
          <w:sz w:val="24"/>
          <w:szCs w:val="24"/>
          <w:vertAlign w:val="superscript"/>
        </w:rPr>
        <w:t>nd</w:t>
      </w:r>
      <w:r w:rsidR="00A563E3">
        <w:rPr>
          <w:rFonts w:cs="Arial"/>
          <w:sz w:val="24"/>
          <w:szCs w:val="24"/>
        </w:rPr>
        <w:t xml:space="preserve"> ‒ </w:t>
      </w:r>
      <w:r>
        <w:rPr>
          <w:rFonts w:cs="Arial"/>
          <w:sz w:val="24"/>
          <w:szCs w:val="24"/>
        </w:rPr>
        <w:t>13</w:t>
      </w:r>
      <w:r w:rsidR="00A563E3">
        <w:rPr>
          <w:rFonts w:cs="Arial"/>
          <w:sz w:val="24"/>
          <w:szCs w:val="24"/>
          <w:vertAlign w:val="superscript"/>
        </w:rPr>
        <w:t>th</w:t>
      </w:r>
      <w:r w:rsidR="00A563E3">
        <w:rPr>
          <w:rFonts w:cs="Arial"/>
          <w:sz w:val="24"/>
          <w:szCs w:val="24"/>
        </w:rPr>
        <w:t>, 2020</w:t>
      </w:r>
    </w:p>
    <w:p w14:paraId="4CA7942A" w14:textId="77777777" w:rsidR="00A563E3" w:rsidRPr="00DB3907" w:rsidRDefault="00A563E3" w:rsidP="00A563E3">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09593466"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CD5CD5">
        <w:rPr>
          <w:rFonts w:ascii="Arial" w:hAnsi="Arial"/>
          <w:sz w:val="24"/>
          <w:lang w:val="en-US"/>
        </w:rPr>
        <w:t>7.1.2.2</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4CFD752D"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56380">
        <w:rPr>
          <w:rFonts w:ascii="Arial" w:hAnsi="Arial"/>
          <w:sz w:val="24"/>
          <w:lang w:val="en-US"/>
        </w:rPr>
        <w:t>Reference sensitivity</w:t>
      </w:r>
      <w:r w:rsidR="002E6E5E">
        <w:rPr>
          <w:rFonts w:ascii="Arial" w:hAnsi="Arial"/>
          <w:sz w:val="24"/>
          <w:lang w:val="en-US"/>
        </w:rPr>
        <w:t xml:space="preserve"> for NR-U</w:t>
      </w:r>
      <w:r w:rsidR="00756380">
        <w:rPr>
          <w:rFonts w:ascii="Arial" w:hAnsi="Arial"/>
          <w:sz w:val="24"/>
          <w:lang w:val="en-US"/>
        </w:rPr>
        <w:t xml:space="preserve"> band n96</w:t>
      </w:r>
    </w:p>
    <w:p w14:paraId="013F978F" w14:textId="5EDB7CD0"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DC3A53">
        <w:rPr>
          <w:rFonts w:ascii="Arial" w:hAnsi="Arial"/>
          <w:sz w:val="24"/>
          <w:lang w:val="en-US"/>
        </w:rPr>
        <w:t>Discussion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E80A246" w14:textId="7D46AF01" w:rsidR="00EC5D39" w:rsidRDefault="002E6E5E" w:rsidP="00EC0D60">
      <w:pPr>
        <w:rPr>
          <w:lang w:val="en-US"/>
        </w:rPr>
      </w:pPr>
      <w:r>
        <w:rPr>
          <w:lang w:val="en-US"/>
        </w:rPr>
        <w:t xml:space="preserve">A CR [1] was agreed to introduce the UE RF requirements for NR-U in Band n46 and Band n96.  However, a few of the specifications are in square bracket to enable further confirmation.  This contribution discusses reference sensitivity </w:t>
      </w:r>
      <w:r w:rsidR="00853E2E">
        <w:rPr>
          <w:lang w:val="en-US"/>
        </w:rPr>
        <w:t>which was agreed in a square bracketed range</w:t>
      </w:r>
      <w:r w:rsidR="007B3A0B">
        <w:rPr>
          <w:lang w:val="en-US"/>
        </w:rPr>
        <w:t>.</w:t>
      </w:r>
    </w:p>
    <w:p w14:paraId="10F6602E" w14:textId="1D13CCA0" w:rsidR="007E1E78" w:rsidRDefault="007E1E78" w:rsidP="0099327E">
      <w:pPr>
        <w:pStyle w:val="Heading1"/>
        <w:tabs>
          <w:tab w:val="clear" w:pos="432"/>
          <w:tab w:val="num" w:pos="522"/>
        </w:tabs>
        <w:ind w:left="522" w:hanging="522"/>
        <w:rPr>
          <w:lang w:val="en-US"/>
        </w:rPr>
      </w:pPr>
      <w:r>
        <w:rPr>
          <w:lang w:val="en-US"/>
        </w:rPr>
        <w:t>Discussion</w:t>
      </w:r>
    </w:p>
    <w:p w14:paraId="75C13E58" w14:textId="4563013B" w:rsidR="002E3E3C" w:rsidRDefault="002E6E5E" w:rsidP="00C031BA">
      <w:pPr>
        <w:pStyle w:val="Heading2"/>
        <w:rPr>
          <w:lang w:val="en-US"/>
        </w:rPr>
      </w:pPr>
      <w:r>
        <w:rPr>
          <w:lang w:val="en-US"/>
        </w:rPr>
        <w:t>Reference sensitivity for Band n96</w:t>
      </w:r>
    </w:p>
    <w:p w14:paraId="64CE038F" w14:textId="6831F127" w:rsidR="002765D8" w:rsidRDefault="002E6E5E" w:rsidP="00CA2ED0">
      <w:pPr>
        <w:rPr>
          <w:lang w:val="en-US"/>
        </w:rPr>
      </w:pPr>
      <w:r>
        <w:rPr>
          <w:lang w:val="en-US"/>
        </w:rPr>
        <w:t>A value of reference sensitivity for Band n96 could not be agreed by consensus; rather, a range of values in square brackets was agreed as follows</w:t>
      </w:r>
    </w:p>
    <w:p w14:paraId="1C870600" w14:textId="77777777" w:rsidR="002E6E5E" w:rsidRDefault="002E6E5E" w:rsidP="002E6E5E">
      <w:pPr>
        <w:pStyle w:val="TH"/>
      </w:pPr>
      <w:bookmarkStart w:id="1" w:name="_Hlk507958268"/>
      <w:r w:rsidRPr="001C0CC4">
        <w:t>Table 7.3</w:t>
      </w:r>
      <w:r>
        <w:t>F</w:t>
      </w:r>
      <w:r w:rsidRPr="001C0CC4">
        <w:t>.2-1</w:t>
      </w:r>
      <w:bookmarkEnd w:id="1"/>
      <w:r w:rsidRPr="001C0CC4">
        <w:t>: Two antenna port reference sensitivity QPSK PREFSENS</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2E6E5E" w14:paraId="6496EAC3" w14:textId="77777777" w:rsidTr="004414F5">
        <w:trPr>
          <w:jc w:val="center"/>
        </w:trPr>
        <w:tc>
          <w:tcPr>
            <w:tcW w:w="5360" w:type="dxa"/>
            <w:gridSpan w:val="6"/>
          </w:tcPr>
          <w:p w14:paraId="02FDFB1B" w14:textId="77777777" w:rsidR="002E6E5E" w:rsidRPr="00452BC9" w:rsidRDefault="002E6E5E" w:rsidP="004414F5">
            <w:pPr>
              <w:pStyle w:val="FL"/>
              <w:spacing w:before="0" w:after="0"/>
              <w:rPr>
                <w:sz w:val="18"/>
                <w:szCs w:val="18"/>
              </w:rPr>
            </w:pPr>
            <w:r>
              <w:rPr>
                <w:sz w:val="18"/>
                <w:szCs w:val="18"/>
              </w:rPr>
              <w:t>Operating band / SCS / Channel bandwidth</w:t>
            </w:r>
          </w:p>
        </w:tc>
      </w:tr>
      <w:tr w:rsidR="002E6E5E" w14:paraId="7C622753" w14:textId="77777777" w:rsidTr="004414F5">
        <w:trPr>
          <w:jc w:val="center"/>
        </w:trPr>
        <w:tc>
          <w:tcPr>
            <w:tcW w:w="1068" w:type="dxa"/>
          </w:tcPr>
          <w:p w14:paraId="0CB91E47" w14:textId="77777777" w:rsidR="002E6E5E" w:rsidRPr="00452BC9" w:rsidRDefault="002E6E5E" w:rsidP="004414F5">
            <w:pPr>
              <w:pStyle w:val="FL"/>
              <w:spacing w:before="0" w:after="0"/>
              <w:rPr>
                <w:sz w:val="18"/>
                <w:szCs w:val="18"/>
              </w:rPr>
            </w:pPr>
            <w:r w:rsidRPr="00452BC9">
              <w:rPr>
                <w:sz w:val="18"/>
                <w:szCs w:val="18"/>
              </w:rPr>
              <w:t>Operating Band</w:t>
            </w:r>
          </w:p>
        </w:tc>
        <w:tc>
          <w:tcPr>
            <w:tcW w:w="723" w:type="dxa"/>
          </w:tcPr>
          <w:p w14:paraId="34CB2F55" w14:textId="77777777" w:rsidR="002E6E5E" w:rsidRPr="00452BC9" w:rsidRDefault="002E6E5E" w:rsidP="004414F5">
            <w:pPr>
              <w:pStyle w:val="FL"/>
              <w:spacing w:before="0" w:after="0"/>
              <w:rPr>
                <w:sz w:val="18"/>
                <w:szCs w:val="18"/>
              </w:rPr>
            </w:pPr>
            <w:r w:rsidRPr="00452BC9">
              <w:rPr>
                <w:sz w:val="18"/>
                <w:szCs w:val="18"/>
              </w:rPr>
              <w:t>SCS kHz</w:t>
            </w:r>
          </w:p>
        </w:tc>
        <w:tc>
          <w:tcPr>
            <w:tcW w:w="904" w:type="dxa"/>
          </w:tcPr>
          <w:p w14:paraId="71E3A9CA" w14:textId="77777777" w:rsidR="002E6E5E" w:rsidRPr="00452BC9" w:rsidRDefault="002E6E5E" w:rsidP="004414F5">
            <w:pPr>
              <w:pStyle w:val="FL"/>
              <w:spacing w:before="0" w:after="0"/>
              <w:rPr>
                <w:sz w:val="18"/>
                <w:szCs w:val="18"/>
              </w:rPr>
            </w:pPr>
            <w:r>
              <w:rPr>
                <w:sz w:val="18"/>
                <w:szCs w:val="18"/>
              </w:rPr>
              <w:t>20 MHz (dBm)</w:t>
            </w:r>
          </w:p>
        </w:tc>
        <w:tc>
          <w:tcPr>
            <w:tcW w:w="900" w:type="dxa"/>
          </w:tcPr>
          <w:p w14:paraId="45F5A963" w14:textId="77777777" w:rsidR="002E6E5E" w:rsidRDefault="002E6E5E" w:rsidP="004414F5">
            <w:pPr>
              <w:pStyle w:val="FL"/>
              <w:spacing w:before="0" w:after="0"/>
              <w:rPr>
                <w:sz w:val="18"/>
                <w:szCs w:val="18"/>
              </w:rPr>
            </w:pPr>
            <w:r>
              <w:rPr>
                <w:sz w:val="18"/>
                <w:szCs w:val="18"/>
              </w:rPr>
              <w:t>40 MHz (dBm)</w:t>
            </w:r>
          </w:p>
        </w:tc>
        <w:tc>
          <w:tcPr>
            <w:tcW w:w="900" w:type="dxa"/>
          </w:tcPr>
          <w:p w14:paraId="7C70104E" w14:textId="77777777" w:rsidR="002E6E5E" w:rsidRDefault="002E6E5E" w:rsidP="004414F5">
            <w:pPr>
              <w:pStyle w:val="FL"/>
              <w:spacing w:before="0" w:after="0"/>
              <w:rPr>
                <w:sz w:val="18"/>
                <w:szCs w:val="18"/>
              </w:rPr>
            </w:pPr>
            <w:r>
              <w:rPr>
                <w:sz w:val="18"/>
                <w:szCs w:val="18"/>
              </w:rPr>
              <w:t>60 MHz (dBm)</w:t>
            </w:r>
          </w:p>
        </w:tc>
        <w:tc>
          <w:tcPr>
            <w:tcW w:w="865" w:type="dxa"/>
          </w:tcPr>
          <w:p w14:paraId="722E7C44" w14:textId="77777777" w:rsidR="002E6E5E" w:rsidRDefault="002E6E5E" w:rsidP="004414F5">
            <w:pPr>
              <w:pStyle w:val="FL"/>
              <w:spacing w:before="0" w:after="0"/>
              <w:rPr>
                <w:sz w:val="18"/>
                <w:szCs w:val="18"/>
              </w:rPr>
            </w:pPr>
            <w:r>
              <w:rPr>
                <w:sz w:val="18"/>
                <w:szCs w:val="18"/>
              </w:rPr>
              <w:t>80 MHz (dBm)</w:t>
            </w:r>
          </w:p>
        </w:tc>
      </w:tr>
      <w:tr w:rsidR="002E6E5E" w14:paraId="4BDAFE81" w14:textId="77777777" w:rsidTr="002E6E5E">
        <w:trPr>
          <w:jc w:val="center"/>
        </w:trPr>
        <w:tc>
          <w:tcPr>
            <w:tcW w:w="1068" w:type="dxa"/>
            <w:vMerge w:val="restart"/>
            <w:vAlign w:val="center"/>
          </w:tcPr>
          <w:p w14:paraId="5B16192E" w14:textId="77777777" w:rsidR="002E6E5E" w:rsidRPr="00452BC9" w:rsidRDefault="002E6E5E" w:rsidP="004414F5">
            <w:pPr>
              <w:pStyle w:val="FL"/>
              <w:spacing w:before="0" w:after="0"/>
              <w:rPr>
                <w:sz w:val="18"/>
                <w:szCs w:val="18"/>
              </w:rPr>
            </w:pPr>
            <w:r>
              <w:rPr>
                <w:b w:val="0"/>
                <w:bCs/>
                <w:sz w:val="18"/>
                <w:szCs w:val="18"/>
              </w:rPr>
              <w:t>n9</w:t>
            </w:r>
            <w:r w:rsidRPr="00452BC9">
              <w:rPr>
                <w:b w:val="0"/>
                <w:bCs/>
                <w:sz w:val="18"/>
                <w:szCs w:val="18"/>
              </w:rPr>
              <w:t>6</w:t>
            </w:r>
          </w:p>
        </w:tc>
        <w:tc>
          <w:tcPr>
            <w:tcW w:w="723" w:type="dxa"/>
          </w:tcPr>
          <w:p w14:paraId="79D0E48E" w14:textId="77777777" w:rsidR="002E6E5E" w:rsidRPr="00452BC9" w:rsidRDefault="002E6E5E" w:rsidP="004414F5">
            <w:pPr>
              <w:pStyle w:val="FL"/>
              <w:spacing w:before="0" w:after="0"/>
              <w:rPr>
                <w:b w:val="0"/>
                <w:bCs/>
                <w:sz w:val="18"/>
                <w:szCs w:val="18"/>
              </w:rPr>
            </w:pPr>
            <w:r w:rsidRPr="00452BC9">
              <w:rPr>
                <w:b w:val="0"/>
                <w:bCs/>
                <w:sz w:val="18"/>
                <w:szCs w:val="18"/>
              </w:rPr>
              <w:t>15</w:t>
            </w:r>
          </w:p>
        </w:tc>
        <w:tc>
          <w:tcPr>
            <w:tcW w:w="904" w:type="dxa"/>
            <w:vAlign w:val="center"/>
          </w:tcPr>
          <w:p w14:paraId="5DDD1C89" w14:textId="77777777" w:rsidR="002E6E5E" w:rsidRPr="00452BC9" w:rsidRDefault="002E6E5E" w:rsidP="004414F5">
            <w:pPr>
              <w:pStyle w:val="FL"/>
              <w:spacing w:before="0" w:after="0"/>
              <w:rPr>
                <w:rFonts w:cs="Arial"/>
                <w:b w:val="0"/>
                <w:bCs/>
                <w:sz w:val="18"/>
                <w:szCs w:val="18"/>
              </w:rPr>
            </w:pPr>
            <w:r>
              <w:rPr>
                <w:rFonts w:cs="Arial"/>
                <w:b w:val="0"/>
                <w:bCs/>
                <w:sz w:val="18"/>
                <w:szCs w:val="18"/>
              </w:rPr>
              <w:t>[</w:t>
            </w:r>
            <w:r w:rsidRPr="00452BC9">
              <w:rPr>
                <w:rFonts w:cs="Arial"/>
                <w:b w:val="0"/>
                <w:bCs/>
                <w:sz w:val="18"/>
                <w:szCs w:val="18"/>
              </w:rPr>
              <w:t>-89.</w:t>
            </w:r>
            <w:r>
              <w:rPr>
                <w:rFonts w:cs="Arial"/>
                <w:b w:val="0"/>
                <w:bCs/>
                <w:sz w:val="18"/>
                <w:szCs w:val="18"/>
              </w:rPr>
              <w:t>7 to - 87.3]</w:t>
            </w:r>
          </w:p>
        </w:tc>
        <w:tc>
          <w:tcPr>
            <w:tcW w:w="900" w:type="dxa"/>
            <w:vAlign w:val="bottom"/>
          </w:tcPr>
          <w:p w14:paraId="069CA4D7" w14:textId="77777777" w:rsidR="002E6E5E" w:rsidRPr="00452BC9" w:rsidRDefault="002E6E5E" w:rsidP="004414F5">
            <w:pPr>
              <w:pStyle w:val="FL"/>
              <w:spacing w:before="0" w:after="0"/>
              <w:rPr>
                <w:rFonts w:cs="Arial"/>
                <w:b w:val="0"/>
                <w:bCs/>
                <w:color w:val="000000"/>
                <w:sz w:val="18"/>
                <w:szCs w:val="18"/>
              </w:rPr>
            </w:pPr>
            <w:r>
              <w:rPr>
                <w:rFonts w:cs="Arial"/>
                <w:b w:val="0"/>
                <w:bCs/>
                <w:color w:val="000000"/>
                <w:sz w:val="18"/>
                <w:szCs w:val="18"/>
              </w:rPr>
              <w:t>[</w:t>
            </w:r>
            <w:r w:rsidRPr="00452BC9">
              <w:rPr>
                <w:rFonts w:cs="Arial"/>
                <w:b w:val="0"/>
                <w:bCs/>
                <w:color w:val="000000"/>
                <w:sz w:val="18"/>
                <w:szCs w:val="18"/>
              </w:rPr>
              <w:t>-86.</w:t>
            </w:r>
            <w:r>
              <w:rPr>
                <w:rFonts w:cs="Arial"/>
                <w:b w:val="0"/>
                <w:bCs/>
                <w:color w:val="000000"/>
                <w:sz w:val="18"/>
                <w:szCs w:val="18"/>
              </w:rPr>
              <w:t>6 to -84.2]</w:t>
            </w:r>
          </w:p>
        </w:tc>
        <w:tc>
          <w:tcPr>
            <w:tcW w:w="900" w:type="dxa"/>
            <w:vAlign w:val="center"/>
          </w:tcPr>
          <w:p w14:paraId="426C8341" w14:textId="77777777" w:rsidR="002E6E5E" w:rsidRPr="00452BC9" w:rsidRDefault="002E6E5E" w:rsidP="004414F5">
            <w:pPr>
              <w:pStyle w:val="FL"/>
              <w:spacing w:before="0" w:after="0"/>
              <w:rPr>
                <w:rFonts w:cs="Arial"/>
                <w:b w:val="0"/>
                <w:bCs/>
                <w:color w:val="000000"/>
                <w:sz w:val="18"/>
                <w:szCs w:val="18"/>
              </w:rPr>
            </w:pPr>
          </w:p>
        </w:tc>
        <w:tc>
          <w:tcPr>
            <w:tcW w:w="865" w:type="dxa"/>
            <w:vAlign w:val="center"/>
          </w:tcPr>
          <w:p w14:paraId="57F42276" w14:textId="77777777" w:rsidR="002E6E5E" w:rsidRPr="00452BC9" w:rsidRDefault="002E6E5E" w:rsidP="004414F5">
            <w:pPr>
              <w:pStyle w:val="FL"/>
              <w:spacing w:before="0" w:after="0"/>
              <w:rPr>
                <w:rFonts w:cs="Arial"/>
                <w:b w:val="0"/>
                <w:bCs/>
                <w:color w:val="000000"/>
                <w:sz w:val="18"/>
                <w:szCs w:val="18"/>
              </w:rPr>
            </w:pPr>
          </w:p>
        </w:tc>
      </w:tr>
      <w:tr w:rsidR="002E6E5E" w14:paraId="2FA4F5D2" w14:textId="77777777" w:rsidTr="004414F5">
        <w:trPr>
          <w:jc w:val="center"/>
        </w:trPr>
        <w:tc>
          <w:tcPr>
            <w:tcW w:w="1068" w:type="dxa"/>
            <w:vMerge/>
          </w:tcPr>
          <w:p w14:paraId="2B627B73" w14:textId="77777777" w:rsidR="002E6E5E" w:rsidRPr="00452BC9" w:rsidRDefault="002E6E5E" w:rsidP="004414F5">
            <w:pPr>
              <w:pStyle w:val="FL"/>
              <w:spacing w:before="0" w:after="0"/>
              <w:rPr>
                <w:sz w:val="18"/>
                <w:szCs w:val="18"/>
              </w:rPr>
            </w:pPr>
          </w:p>
        </w:tc>
        <w:tc>
          <w:tcPr>
            <w:tcW w:w="723" w:type="dxa"/>
          </w:tcPr>
          <w:p w14:paraId="7C26A36B" w14:textId="77777777" w:rsidR="002E6E5E" w:rsidRPr="00452BC9" w:rsidRDefault="002E6E5E" w:rsidP="004414F5">
            <w:pPr>
              <w:pStyle w:val="FL"/>
              <w:spacing w:before="0" w:after="0"/>
              <w:rPr>
                <w:b w:val="0"/>
                <w:bCs/>
                <w:sz w:val="18"/>
                <w:szCs w:val="18"/>
              </w:rPr>
            </w:pPr>
            <w:r w:rsidRPr="00452BC9">
              <w:rPr>
                <w:b w:val="0"/>
                <w:bCs/>
                <w:sz w:val="18"/>
                <w:szCs w:val="18"/>
              </w:rPr>
              <w:t>30</w:t>
            </w:r>
          </w:p>
        </w:tc>
        <w:tc>
          <w:tcPr>
            <w:tcW w:w="904" w:type="dxa"/>
            <w:vAlign w:val="center"/>
          </w:tcPr>
          <w:p w14:paraId="71584C5C" w14:textId="77777777" w:rsidR="002E6E5E" w:rsidRPr="00452BC9" w:rsidRDefault="002E6E5E" w:rsidP="004414F5">
            <w:pPr>
              <w:pStyle w:val="FL"/>
              <w:spacing w:before="0" w:after="0"/>
              <w:rPr>
                <w:rFonts w:cs="Arial"/>
                <w:b w:val="0"/>
                <w:bCs/>
                <w:sz w:val="18"/>
                <w:szCs w:val="18"/>
              </w:rPr>
            </w:pPr>
            <w:r>
              <w:rPr>
                <w:rFonts w:cs="Arial"/>
                <w:b w:val="0"/>
                <w:bCs/>
                <w:sz w:val="18"/>
                <w:szCs w:val="18"/>
              </w:rPr>
              <w:t>[</w:t>
            </w:r>
            <w:r w:rsidRPr="00452BC9">
              <w:rPr>
                <w:rFonts w:cs="Arial"/>
                <w:b w:val="0"/>
                <w:bCs/>
                <w:sz w:val="18"/>
                <w:szCs w:val="18"/>
              </w:rPr>
              <w:t>-89.</w:t>
            </w:r>
            <w:r>
              <w:rPr>
                <w:rFonts w:cs="Arial"/>
                <w:b w:val="0"/>
                <w:bCs/>
                <w:sz w:val="18"/>
                <w:szCs w:val="18"/>
              </w:rPr>
              <w:t>9 to -87.5]</w:t>
            </w:r>
          </w:p>
        </w:tc>
        <w:tc>
          <w:tcPr>
            <w:tcW w:w="900" w:type="dxa"/>
            <w:vAlign w:val="bottom"/>
          </w:tcPr>
          <w:p w14:paraId="63765570" w14:textId="77777777" w:rsidR="002E6E5E" w:rsidRPr="00452BC9" w:rsidRDefault="002E6E5E" w:rsidP="004414F5">
            <w:pPr>
              <w:pStyle w:val="FL"/>
              <w:spacing w:before="0" w:after="0"/>
              <w:rPr>
                <w:rFonts w:cs="Arial"/>
                <w:b w:val="0"/>
                <w:bCs/>
                <w:color w:val="000000"/>
                <w:sz w:val="18"/>
                <w:szCs w:val="18"/>
              </w:rPr>
            </w:pPr>
            <w:r>
              <w:rPr>
                <w:rFonts w:cs="Arial"/>
                <w:b w:val="0"/>
                <w:bCs/>
                <w:color w:val="000000"/>
                <w:sz w:val="18"/>
                <w:szCs w:val="18"/>
              </w:rPr>
              <w:t>[</w:t>
            </w:r>
            <w:r w:rsidRPr="00452BC9">
              <w:rPr>
                <w:rFonts w:cs="Arial"/>
                <w:b w:val="0"/>
                <w:bCs/>
                <w:color w:val="000000"/>
                <w:sz w:val="18"/>
                <w:szCs w:val="18"/>
              </w:rPr>
              <w:t>-86.</w:t>
            </w:r>
            <w:r>
              <w:rPr>
                <w:rFonts w:cs="Arial"/>
                <w:b w:val="0"/>
                <w:bCs/>
                <w:color w:val="000000"/>
                <w:sz w:val="18"/>
                <w:szCs w:val="18"/>
              </w:rPr>
              <w:t>7 to -84.3]</w:t>
            </w:r>
          </w:p>
        </w:tc>
        <w:tc>
          <w:tcPr>
            <w:tcW w:w="900" w:type="dxa"/>
            <w:vAlign w:val="bottom"/>
          </w:tcPr>
          <w:p w14:paraId="4DB898CE" w14:textId="77777777" w:rsidR="002E6E5E" w:rsidRPr="00452BC9" w:rsidRDefault="002E6E5E" w:rsidP="004414F5">
            <w:pPr>
              <w:pStyle w:val="FL"/>
              <w:spacing w:before="0" w:after="0"/>
              <w:rPr>
                <w:rFonts w:cs="Arial"/>
                <w:b w:val="0"/>
                <w:bCs/>
                <w:color w:val="000000"/>
                <w:sz w:val="18"/>
                <w:szCs w:val="18"/>
              </w:rPr>
            </w:pPr>
            <w:r>
              <w:rPr>
                <w:rFonts w:cs="Arial"/>
                <w:b w:val="0"/>
                <w:bCs/>
                <w:color w:val="000000"/>
                <w:sz w:val="18"/>
                <w:szCs w:val="18"/>
              </w:rPr>
              <w:t>[</w:t>
            </w:r>
            <w:r w:rsidRPr="00452BC9">
              <w:rPr>
                <w:rFonts w:cs="Arial"/>
                <w:b w:val="0"/>
                <w:bCs/>
                <w:color w:val="000000"/>
                <w:sz w:val="18"/>
                <w:szCs w:val="18"/>
              </w:rPr>
              <w:t>-84.</w:t>
            </w:r>
            <w:r>
              <w:rPr>
                <w:rFonts w:cs="Arial"/>
                <w:b w:val="0"/>
                <w:bCs/>
                <w:color w:val="000000"/>
                <w:sz w:val="18"/>
                <w:szCs w:val="18"/>
              </w:rPr>
              <w:t>8 to -82.4]</w:t>
            </w:r>
          </w:p>
        </w:tc>
        <w:tc>
          <w:tcPr>
            <w:tcW w:w="865" w:type="dxa"/>
            <w:vAlign w:val="bottom"/>
          </w:tcPr>
          <w:p w14:paraId="3DCAFEFD" w14:textId="77777777" w:rsidR="002E6E5E" w:rsidRPr="00452BC9" w:rsidRDefault="002E6E5E" w:rsidP="004414F5">
            <w:pPr>
              <w:pStyle w:val="FL"/>
              <w:spacing w:before="0" w:after="0"/>
              <w:rPr>
                <w:rFonts w:cs="Arial"/>
                <w:b w:val="0"/>
                <w:bCs/>
                <w:color w:val="000000"/>
                <w:sz w:val="18"/>
                <w:szCs w:val="18"/>
              </w:rPr>
            </w:pPr>
            <w:r>
              <w:rPr>
                <w:rFonts w:cs="Arial"/>
                <w:b w:val="0"/>
                <w:bCs/>
                <w:color w:val="000000"/>
                <w:sz w:val="18"/>
                <w:szCs w:val="18"/>
              </w:rPr>
              <w:t>[</w:t>
            </w:r>
            <w:r w:rsidRPr="00452BC9">
              <w:rPr>
                <w:rFonts w:cs="Arial"/>
                <w:b w:val="0"/>
                <w:bCs/>
                <w:color w:val="000000"/>
                <w:sz w:val="18"/>
                <w:szCs w:val="18"/>
              </w:rPr>
              <w:t>-83.</w:t>
            </w:r>
            <w:r>
              <w:rPr>
                <w:rFonts w:cs="Arial"/>
                <w:b w:val="0"/>
                <w:bCs/>
                <w:color w:val="000000"/>
                <w:sz w:val="18"/>
                <w:szCs w:val="18"/>
              </w:rPr>
              <w:t>6 to -81.2]</w:t>
            </w:r>
          </w:p>
        </w:tc>
      </w:tr>
    </w:tbl>
    <w:p w14:paraId="66773ED2" w14:textId="77777777" w:rsidR="002E6E5E" w:rsidRPr="001C0CC4" w:rsidRDefault="002E6E5E" w:rsidP="002E6E5E"/>
    <w:p w14:paraId="5EFD4DC4" w14:textId="44EC1A26" w:rsidR="002E6E5E" w:rsidRDefault="002E6E5E" w:rsidP="00CA2ED0">
      <w:pPr>
        <w:rPr>
          <w:lang w:val="en-US"/>
        </w:rPr>
      </w:pPr>
      <w:r>
        <w:rPr>
          <w:lang w:val="en-US"/>
        </w:rPr>
        <w:t>The reference sensitivity values at the lower end of the range coincide with those of Band n46 [</w:t>
      </w:r>
      <w:r w:rsidR="007B3A0B">
        <w:rPr>
          <w:lang w:val="en-US"/>
        </w:rPr>
        <w:t>2</w:t>
      </w:r>
      <w:r>
        <w:rPr>
          <w:lang w:val="en-US"/>
        </w:rPr>
        <w:t xml:space="preserve">], while those at the upper end of the range </w:t>
      </w:r>
      <w:r w:rsidR="00BB69DC">
        <w:rPr>
          <w:lang w:val="en-US"/>
        </w:rPr>
        <w:t xml:space="preserve">proposed by one company </w:t>
      </w:r>
      <w:r>
        <w:rPr>
          <w:lang w:val="en-US"/>
        </w:rPr>
        <w:t xml:space="preserve">are degraded by additional 2.4 dB </w:t>
      </w:r>
      <w:r w:rsidR="004B5C9A">
        <w:rPr>
          <w:lang w:val="en-US"/>
        </w:rPr>
        <w:t>discussed during RAN4 #96-e</w:t>
      </w:r>
      <w:r w:rsidR="00BB69DC">
        <w:rPr>
          <w:lang w:val="en-US"/>
        </w:rPr>
        <w:t xml:space="preserve"> and captured in the email discussion summary </w:t>
      </w:r>
      <w:r>
        <w:rPr>
          <w:lang w:val="en-US"/>
        </w:rPr>
        <w:t>[</w:t>
      </w:r>
      <w:r w:rsidR="00BB69DC">
        <w:rPr>
          <w:lang w:val="en-US"/>
        </w:rPr>
        <w:t>3</w:t>
      </w:r>
      <w:r>
        <w:rPr>
          <w:lang w:val="en-US"/>
        </w:rPr>
        <w:t>].</w:t>
      </w:r>
      <w:r w:rsidR="00482B34">
        <w:rPr>
          <w:lang w:val="en-US"/>
        </w:rPr>
        <w:t xml:space="preserve">  These value are obtained using noise figure </w:t>
      </w:r>
      <w:r w:rsidR="007B3A0B">
        <w:rPr>
          <w:lang w:val="en-US"/>
        </w:rPr>
        <w:t xml:space="preserve">(including FE loss) </w:t>
      </w:r>
      <w:r w:rsidR="00482B34">
        <w:rPr>
          <w:lang w:val="en-US"/>
        </w:rPr>
        <w:t xml:space="preserve">assumptions of 13 dB and </w:t>
      </w:r>
      <w:r w:rsidR="00482B34" w:rsidRPr="00BB69DC">
        <w:rPr>
          <w:lang w:val="en-US"/>
        </w:rPr>
        <w:t>15.4 dB, respectively.</w:t>
      </w:r>
    </w:p>
    <w:p w14:paraId="600B65FC" w14:textId="7E26E063" w:rsidR="00482B34" w:rsidRDefault="00482B34" w:rsidP="00CA2ED0">
      <w:pPr>
        <w:rPr>
          <w:lang w:val="en-US"/>
        </w:rPr>
      </w:pPr>
      <w:r>
        <w:rPr>
          <w:lang w:val="en-US"/>
        </w:rPr>
        <w:t>The justification for the lower value is given in [</w:t>
      </w:r>
      <w:r w:rsidR="004B5C9A">
        <w:rPr>
          <w:lang w:val="en-US"/>
        </w:rPr>
        <w:t>4</w:t>
      </w:r>
      <w:r>
        <w:rPr>
          <w:lang w:val="en-US"/>
        </w:rPr>
        <w:t xml:space="preserve">].  </w:t>
      </w:r>
    </w:p>
    <w:p w14:paraId="5C726707" w14:textId="70505EDA" w:rsidR="00482B34" w:rsidRDefault="00482B34" w:rsidP="00CA2ED0">
      <w:pPr>
        <w:rPr>
          <w:lang w:val="en-US"/>
        </w:rPr>
      </w:pPr>
      <w:r>
        <w:rPr>
          <w:lang w:val="en-US"/>
        </w:rPr>
        <w:t xml:space="preserve">On the other hand, the following counter-arguments were asserted </w:t>
      </w:r>
      <w:r w:rsidR="00BB69DC">
        <w:rPr>
          <w:lang w:val="en-US"/>
        </w:rPr>
        <w:t xml:space="preserve">by one company </w:t>
      </w:r>
      <w:r>
        <w:rPr>
          <w:lang w:val="en-US"/>
        </w:rPr>
        <w:t>in [</w:t>
      </w:r>
      <w:r w:rsidR="00BB69DC">
        <w:rPr>
          <w:lang w:val="en-US"/>
        </w:rPr>
        <w:t xml:space="preserve">3] </w:t>
      </w:r>
      <w:r>
        <w:rPr>
          <w:lang w:val="en-US"/>
        </w:rPr>
        <w:t>and subsequent meeting discussion where the larger value was proposed.</w:t>
      </w:r>
    </w:p>
    <w:p w14:paraId="78037D7C" w14:textId="1D3CD125" w:rsidR="00482B34" w:rsidRDefault="00613428" w:rsidP="00CA2ED0">
      <w:pPr>
        <w:rPr>
          <w:lang w:val="en-US"/>
        </w:rPr>
      </w:pPr>
      <w:r>
        <w:rPr>
          <w:lang w:val="en-US"/>
        </w:rPr>
        <w:t>1.  The analysis provided in [</w:t>
      </w:r>
      <w:r w:rsidR="004B5C9A">
        <w:rPr>
          <w:lang w:val="en-US"/>
        </w:rPr>
        <w:t>4</w:t>
      </w:r>
      <w:r>
        <w:rPr>
          <w:lang w:val="en-US"/>
        </w:rPr>
        <w:t>] is applicable for module-based front-end solutions</w:t>
      </w:r>
      <w:r w:rsidR="00BB69DC">
        <w:rPr>
          <w:lang w:val="en-US"/>
        </w:rPr>
        <w:t xml:space="preserve"> with small trace loss</w:t>
      </w:r>
      <w:r>
        <w:rPr>
          <w:lang w:val="en-US"/>
        </w:rPr>
        <w:t>, but discrete solutions are expected to exhibit larger losses,</w:t>
      </w:r>
    </w:p>
    <w:p w14:paraId="1911D23D" w14:textId="2426C5B0" w:rsidR="00613428" w:rsidRDefault="00613428" w:rsidP="00CA2ED0">
      <w:pPr>
        <w:rPr>
          <w:lang w:val="en-US"/>
        </w:rPr>
      </w:pPr>
      <w:r>
        <w:rPr>
          <w:lang w:val="en-US"/>
        </w:rPr>
        <w:t>2.  The assumed front-end architecture assumes a single front-end signal path for both 5 GHz and 6 GHz frequency ranges; hence, a switch and its loss is needed to be able to separate the two</w:t>
      </w:r>
      <w:r w:rsidR="00BB69DC">
        <w:rPr>
          <w:lang w:val="en-US"/>
        </w:rPr>
        <w:t xml:space="preserve"> (comment in [5])</w:t>
      </w:r>
    </w:p>
    <w:p w14:paraId="35878180" w14:textId="17A02F40" w:rsidR="00613428" w:rsidRDefault="00613428" w:rsidP="00CA2ED0">
      <w:pPr>
        <w:rPr>
          <w:lang w:val="en-US"/>
        </w:rPr>
      </w:pPr>
      <w:r>
        <w:rPr>
          <w:lang w:val="en-US"/>
        </w:rPr>
        <w:t>3.  The reference sensitivity is not sufficient to accommodate the additional insertion loss of filters to enable simultaneous Tx/Rx operation between Band n96 and other bands</w:t>
      </w:r>
    </w:p>
    <w:p w14:paraId="7741721A" w14:textId="5C33208A" w:rsidR="00613428" w:rsidRDefault="00613428" w:rsidP="00CA2ED0">
      <w:pPr>
        <w:rPr>
          <w:lang w:val="en-US"/>
        </w:rPr>
      </w:pPr>
      <w:r>
        <w:rPr>
          <w:lang w:val="en-US"/>
        </w:rPr>
        <w:t>4.  The noise figure of the LNA</w:t>
      </w:r>
      <w:r w:rsidR="00BB69DC">
        <w:rPr>
          <w:lang w:val="en-US"/>
        </w:rPr>
        <w:t xml:space="preserve"> increases at the higher Band n96 frequency range compared to Band n46 frequency range.</w:t>
      </w:r>
    </w:p>
    <w:p w14:paraId="4E442EF8" w14:textId="28CACCBE" w:rsidR="00613428" w:rsidRDefault="00613428" w:rsidP="00055F49">
      <w:pPr>
        <w:rPr>
          <w:lang w:val="en-US"/>
        </w:rPr>
      </w:pPr>
    </w:p>
    <w:p w14:paraId="1E0D2864" w14:textId="31A7D7B0" w:rsidR="00FD44AA" w:rsidRDefault="00FD44AA" w:rsidP="00FD44AA">
      <w:pPr>
        <w:pStyle w:val="Heading3"/>
        <w:rPr>
          <w:lang w:val="en-US"/>
        </w:rPr>
      </w:pPr>
      <w:r>
        <w:rPr>
          <w:lang w:val="en-US"/>
        </w:rPr>
        <w:lastRenderedPageBreak/>
        <w:t>Noise figure assumption relative to other bands</w:t>
      </w:r>
    </w:p>
    <w:p w14:paraId="6D91EA32" w14:textId="737D03F1" w:rsidR="00672F36" w:rsidRDefault="00563B05" w:rsidP="00CA2ED0">
      <w:pPr>
        <w:rPr>
          <w:lang w:val="en-US"/>
        </w:rPr>
      </w:pPr>
      <w:r>
        <w:rPr>
          <w:lang w:val="en-US"/>
        </w:rPr>
        <w:t xml:space="preserve">Compared to Band n46, the same NF value of 13 dB is proposed for Band n96.  A NF of 13 dB represents the highest NF of any FR1 band.  This is due to the higher insertion losses, lower gains, and higher noise at the higher frequencies.  For reference, the </w:t>
      </w:r>
      <w:r w:rsidR="00672F36">
        <w:rPr>
          <w:lang w:val="en-US"/>
        </w:rPr>
        <w:t>NF for lower frequency FR1 bands is typically in the range of 9 to 12 dB.  At even higher frequencies in FR2, the assumed NF is also 9 dB at 28 GHz and possibly 13 dB at 47 GHz.  The FR2 assumptions reflect an expectation that the FR2 receiver front-end is simpler than the front-end for FR1 with fewer bands to multiplex and aggregate with increasing loss from 28 GHz to 47 GHz.  Thus, a proposed NF exceeding 13 dB does not appear justified for Band n96.</w:t>
      </w:r>
    </w:p>
    <w:p w14:paraId="199F8013" w14:textId="76767CF7" w:rsidR="00FD44AA" w:rsidRDefault="00FD44AA" w:rsidP="00FD44AA">
      <w:pPr>
        <w:pStyle w:val="Heading3"/>
        <w:rPr>
          <w:lang w:val="en-US"/>
        </w:rPr>
      </w:pPr>
      <w:r>
        <w:rPr>
          <w:lang w:val="en-US"/>
        </w:rPr>
        <w:t>Insertion loss due to filtering requirement</w:t>
      </w:r>
    </w:p>
    <w:p w14:paraId="7C52933A" w14:textId="4117FA2E" w:rsidR="00672F36" w:rsidRDefault="00672F36" w:rsidP="00CA2ED0">
      <w:pPr>
        <w:rPr>
          <w:lang w:val="en-US"/>
        </w:rPr>
      </w:pPr>
      <w:r>
        <w:rPr>
          <w:lang w:val="en-US"/>
        </w:rPr>
        <w:t xml:space="preserve">One argument that has been made for increased NF in Band n96 is to accommodate the additional insertion loss when a front-end filter is required to enable concurrent Tx/Rx in a carrier aggregation or dual connectivity configuration with a band at 3.5 GHz.  Indeed, it is expected that the insertion loss will increase due to the need for additional filtering.  However, the effect of this additional insertion loss is not conventionally captured in the reference sensitivity requirement for the band, but rather as a </w:t>
      </w:r>
      <w:r w:rsidRPr="0051085A">
        <w:rPr>
          <w:rFonts w:ascii="Symbol" w:hAnsi="Symbol"/>
          <w:lang w:val="en-US"/>
        </w:rPr>
        <w:t>D</w:t>
      </w:r>
      <w:r>
        <w:rPr>
          <w:lang w:val="en-US"/>
        </w:rPr>
        <w:t>R</w:t>
      </w:r>
      <w:r w:rsidRPr="0051085A">
        <w:rPr>
          <w:vertAlign w:val="subscript"/>
          <w:lang w:val="en-US"/>
        </w:rPr>
        <w:t>IB</w:t>
      </w:r>
      <w:r>
        <w:rPr>
          <w:lang w:val="en-US"/>
        </w:rPr>
        <w:t xml:space="preserve"> allowance when the UE supports the CA or DC configuration.  It is also noted that the </w:t>
      </w:r>
      <w:r w:rsidR="0051085A" w:rsidRPr="0051085A">
        <w:rPr>
          <w:rFonts w:ascii="Symbol" w:hAnsi="Symbol"/>
          <w:lang w:val="en-US"/>
        </w:rPr>
        <w:t>D</w:t>
      </w:r>
      <w:r w:rsidR="0051085A">
        <w:rPr>
          <w:lang w:val="en-US"/>
        </w:rPr>
        <w:t>R</w:t>
      </w:r>
      <w:r w:rsidR="0051085A" w:rsidRPr="0051085A">
        <w:rPr>
          <w:vertAlign w:val="subscript"/>
          <w:lang w:val="en-US"/>
        </w:rPr>
        <w:t>IB</w:t>
      </w:r>
      <w:r w:rsidR="0051085A">
        <w:rPr>
          <w:lang w:val="en-US"/>
        </w:rPr>
        <w:t xml:space="preserve"> </w:t>
      </w:r>
      <w:r>
        <w:rPr>
          <w:lang w:val="en-US"/>
        </w:rPr>
        <w:t xml:space="preserve">allowance is made available even under single carrier operation since the additional insertion loss in the front-end is always present </w:t>
      </w:r>
      <w:r w:rsidR="0051085A">
        <w:rPr>
          <w:lang w:val="en-US"/>
        </w:rPr>
        <w:t xml:space="preserve">in a UE that </w:t>
      </w:r>
      <w:r>
        <w:rPr>
          <w:lang w:val="en-US"/>
        </w:rPr>
        <w:t xml:space="preserve">supports the CA or DC configuration.  Thus, </w:t>
      </w:r>
      <w:r w:rsidR="0051085A">
        <w:rPr>
          <w:lang w:val="en-US"/>
        </w:rPr>
        <w:t xml:space="preserve">the argument to degrade single carrier Band n96 reference sensitivity to accommodate potential CA or DC configurations is misplaced.  That argument should be made for determining </w:t>
      </w:r>
      <w:r w:rsidR="0051085A" w:rsidRPr="0051085A">
        <w:rPr>
          <w:rFonts w:ascii="Symbol" w:hAnsi="Symbol"/>
          <w:lang w:val="en-US"/>
        </w:rPr>
        <w:t>D</w:t>
      </w:r>
      <w:r w:rsidR="0051085A">
        <w:rPr>
          <w:lang w:val="en-US"/>
        </w:rPr>
        <w:t>R</w:t>
      </w:r>
      <w:r w:rsidR="0051085A" w:rsidRPr="0051085A">
        <w:rPr>
          <w:vertAlign w:val="subscript"/>
          <w:lang w:val="en-US"/>
        </w:rPr>
        <w:t>IB</w:t>
      </w:r>
      <w:r w:rsidR="0051085A">
        <w:rPr>
          <w:lang w:val="en-US"/>
        </w:rPr>
        <w:t xml:space="preserve"> values when CA/DC combinations are studied in the future.</w:t>
      </w:r>
    </w:p>
    <w:p w14:paraId="66111BA5" w14:textId="0C22BE16" w:rsidR="00FD44AA" w:rsidRDefault="00FD44AA" w:rsidP="00FD44AA">
      <w:pPr>
        <w:pStyle w:val="Heading3"/>
        <w:rPr>
          <w:lang w:val="en-US"/>
        </w:rPr>
      </w:pPr>
      <w:r>
        <w:rPr>
          <w:lang w:val="en-US"/>
        </w:rPr>
        <w:t>Insertion loss due to front-end switching</w:t>
      </w:r>
    </w:p>
    <w:p w14:paraId="6B360292" w14:textId="36966F7F" w:rsidR="0051085A" w:rsidRDefault="0051085A" w:rsidP="00CA2ED0">
      <w:pPr>
        <w:rPr>
          <w:lang w:val="en-US"/>
        </w:rPr>
      </w:pPr>
      <w:r>
        <w:rPr>
          <w:lang w:val="en-US"/>
        </w:rPr>
        <w:t xml:space="preserve">Another argument </w:t>
      </w:r>
      <w:r w:rsidR="00EE6D39">
        <w:rPr>
          <w:lang w:val="en-US"/>
        </w:rPr>
        <w:t>to relax the NF is that the front-end architecture used in the evaluation is incorrect</w:t>
      </w:r>
      <w:r w:rsidR="00336801">
        <w:rPr>
          <w:lang w:val="en-US"/>
        </w:rPr>
        <w:t xml:space="preserve"> (see email summary comment in [</w:t>
      </w:r>
      <w:r w:rsidR="009E63C8">
        <w:rPr>
          <w:lang w:val="en-US"/>
        </w:rPr>
        <w:t>5</w:t>
      </w:r>
      <w:r w:rsidR="00336801">
        <w:rPr>
          <w:lang w:val="en-US"/>
        </w:rPr>
        <w:t>])</w:t>
      </w:r>
      <w:r w:rsidR="00EE6D39">
        <w:rPr>
          <w:lang w:val="en-US"/>
        </w:rPr>
        <w:t>.</w:t>
      </w:r>
      <w:r w:rsidR="00D12CB4">
        <w:rPr>
          <w:lang w:val="en-US"/>
        </w:rPr>
        <w:t xml:space="preserve">  The assumed front-end architecture</w:t>
      </w:r>
      <w:r w:rsidR="00F34BB9">
        <w:rPr>
          <w:lang w:val="en-US"/>
        </w:rPr>
        <w:t xml:space="preserve"> does not properly include the necessary switch</w:t>
      </w:r>
      <w:r w:rsidR="00336801">
        <w:rPr>
          <w:lang w:val="en-US"/>
        </w:rPr>
        <w:t xml:space="preserve"> to isolate Band n79, n46, and n96 from one another.  </w:t>
      </w:r>
      <w:r w:rsidR="005B1789">
        <w:rPr>
          <w:lang w:val="en-US"/>
        </w:rPr>
        <w:t>Hence</w:t>
      </w:r>
      <w:r w:rsidR="00336801">
        <w:rPr>
          <w:lang w:val="en-US"/>
        </w:rPr>
        <w:t>, the insertion loss of this switch is not included in the proposed NF.  In fact, the proponents of this argument further suggest that Band n79 reference sensitivity shall be revisited</w:t>
      </w:r>
      <w:r w:rsidR="005B1789">
        <w:rPr>
          <w:lang w:val="en-US"/>
        </w:rPr>
        <w:t xml:space="preserve"> to account for the IL of the switch</w:t>
      </w:r>
      <w:r w:rsidR="00336801">
        <w:rPr>
          <w:lang w:val="en-US"/>
        </w:rPr>
        <w:t xml:space="preserve"> as a consequence of introducing Band n46 and n96.  </w:t>
      </w:r>
      <w:r w:rsidR="00FD44AA">
        <w:rPr>
          <w:lang w:val="en-US"/>
        </w:rPr>
        <w:t xml:space="preserve">There is merit to this argument as it is expected that the complexity of the front-end does increase as the number of supported bands increases.  In fact, there was discussion in the context of Rel-10 carrier aggregation that the allowed Tx and Rx relaxations might scale according to the number of bands supported by the UE.  However, no such concept could be agreed and instead, it was assumed that over time the number of supported bands would increase but the technology would also improve to reduce insertion loss.  These two effects might counteract one another.  Therefore, RAN4 has not generally agreed to increased relaxation when a new band is introduced requiring additional switching and complexity in the front-end.  </w:t>
      </w:r>
    </w:p>
    <w:p w14:paraId="4135A8AB" w14:textId="264D4B82" w:rsidR="00FD44AA" w:rsidRDefault="00FD44AA" w:rsidP="00FD44AA">
      <w:pPr>
        <w:pStyle w:val="Heading3"/>
        <w:rPr>
          <w:lang w:val="en-US"/>
        </w:rPr>
      </w:pPr>
      <w:r>
        <w:rPr>
          <w:lang w:val="en-US"/>
        </w:rPr>
        <w:t>Other factors</w:t>
      </w:r>
    </w:p>
    <w:p w14:paraId="20CB761D" w14:textId="5119C5F3" w:rsidR="00B11F52" w:rsidRDefault="00FD44AA" w:rsidP="00CA2ED0">
      <w:pPr>
        <w:rPr>
          <w:lang w:val="en-US"/>
        </w:rPr>
      </w:pPr>
      <w:r>
        <w:rPr>
          <w:lang w:val="en-US"/>
        </w:rPr>
        <w:t xml:space="preserve">Finally, other factors were also argued to justify a reference sensitivity relaxation.  For example, the </w:t>
      </w:r>
      <w:r w:rsidR="009E63C8">
        <w:rPr>
          <w:lang w:val="en-US"/>
        </w:rPr>
        <w:t>summary</w:t>
      </w:r>
      <w:r w:rsidR="00B76B2C">
        <w:rPr>
          <w:lang w:val="en-US"/>
        </w:rPr>
        <w:t xml:space="preserve"> on front-end loss </w:t>
      </w:r>
      <w:r w:rsidR="009E63C8">
        <w:rPr>
          <w:lang w:val="en-US"/>
        </w:rPr>
        <w:t xml:space="preserve">presented </w:t>
      </w:r>
      <w:r w:rsidR="00B76B2C">
        <w:rPr>
          <w:lang w:val="en-US"/>
        </w:rPr>
        <w:t>in [</w:t>
      </w:r>
      <w:r w:rsidR="009E63C8">
        <w:rPr>
          <w:lang w:val="en-US"/>
        </w:rPr>
        <w:t>4</w:t>
      </w:r>
      <w:r w:rsidR="00B76B2C">
        <w:rPr>
          <w:lang w:val="en-US"/>
        </w:rPr>
        <w:t xml:space="preserve">] is applicable to module-based designs, but discrete designs might have more loss.  The inherent noise figure achievable in the LNA at higher frequencies is larger.  </w:t>
      </w:r>
      <w:r w:rsidR="00E3427B">
        <w:rPr>
          <w:lang w:val="en-US"/>
        </w:rPr>
        <w:t xml:space="preserve">Indeed, discrete designs may exhibit larger trace losses than those </w:t>
      </w:r>
      <w:r w:rsidR="00DC47DD">
        <w:rPr>
          <w:lang w:val="en-US"/>
        </w:rPr>
        <w:t xml:space="preserve">observed </w:t>
      </w:r>
      <w:r w:rsidR="00E3427B">
        <w:rPr>
          <w:lang w:val="en-US"/>
        </w:rPr>
        <w:t xml:space="preserve">within modules; however, the incremental increase in insertion loss is not expected to be large since otherwise, </w:t>
      </w:r>
      <w:r w:rsidR="00DC47DD">
        <w:rPr>
          <w:lang w:val="en-US"/>
        </w:rPr>
        <w:t>discrete</w:t>
      </w:r>
      <w:r w:rsidR="00E3427B">
        <w:rPr>
          <w:lang w:val="en-US"/>
        </w:rPr>
        <w:t xml:space="preserve"> designs would not be competitive.  </w:t>
      </w:r>
      <w:r w:rsidR="00DC47DD">
        <w:rPr>
          <w:lang w:val="en-US"/>
        </w:rPr>
        <w:t xml:space="preserve">The NF does tend to diminish as the frequency increases; however, as noted above, the NF at 28 GHz is still assumed to be </w:t>
      </w:r>
      <w:r w:rsidR="00273C65">
        <w:rPr>
          <w:lang w:val="en-US"/>
        </w:rPr>
        <w:t>9</w:t>
      </w:r>
      <w:r w:rsidR="00DC47DD">
        <w:rPr>
          <w:lang w:val="en-US"/>
        </w:rPr>
        <w:t xml:space="preserve"> dB.  As another data point, the noise figure </w:t>
      </w:r>
      <w:r w:rsidR="00B11F52">
        <w:rPr>
          <w:lang w:val="en-US"/>
        </w:rPr>
        <w:t xml:space="preserve">has been evaluated in the Study Item for the 7 to 24 GHz frequency range where a NF of 9 dB was agreed for the UE at 10 GHz </w:t>
      </w:r>
      <w:r w:rsidR="00756380">
        <w:rPr>
          <w:lang w:val="en-US"/>
        </w:rPr>
        <w:t>(</w:t>
      </w:r>
      <w:r w:rsidR="00B11F52">
        <w:rPr>
          <w:lang w:val="en-US"/>
        </w:rPr>
        <w:t>TR 38.820</w:t>
      </w:r>
      <w:r w:rsidR="00756380">
        <w:rPr>
          <w:lang w:val="en-US"/>
        </w:rPr>
        <w:t>, sub-clause 5.5.1.3.2)</w:t>
      </w:r>
      <w:r w:rsidR="00B11F52">
        <w:rPr>
          <w:lang w:val="en-US"/>
        </w:rPr>
        <w:t xml:space="preserve">.  Similarly, in the Study Item for 6 to 10 GHz frequency range, the same value of 9 dB NF has been </w:t>
      </w:r>
      <w:r w:rsidR="00273C65">
        <w:rPr>
          <w:lang w:val="en-US"/>
        </w:rPr>
        <w:t xml:space="preserve">proposed </w:t>
      </w:r>
      <w:r w:rsidR="00B11F52">
        <w:rPr>
          <w:lang w:val="en-US"/>
        </w:rPr>
        <w:t>[</w:t>
      </w:r>
      <w:r w:rsidR="00756380">
        <w:rPr>
          <w:lang w:val="en-US"/>
        </w:rPr>
        <w:t>6</w:t>
      </w:r>
      <w:r w:rsidR="00273C65">
        <w:rPr>
          <w:lang w:val="en-US"/>
        </w:rPr>
        <w:t>].  Thus, the previous studies did not find a justification to increase the NF beyond even 9 dB for frequencies of 6 GHz, 10 GHz, and 28 GHz.  Therefore, 13 dB NF already seems excessive with respect to these other conclusions and anything higher would be without basis.</w:t>
      </w:r>
    </w:p>
    <w:p w14:paraId="17ECDF7D" w14:textId="2C69CED8" w:rsidR="00FA01C7" w:rsidRDefault="00FA01C7" w:rsidP="00FA01C7">
      <w:pPr>
        <w:pStyle w:val="Heading1"/>
        <w:tabs>
          <w:tab w:val="clear" w:pos="432"/>
          <w:tab w:val="num" w:pos="522"/>
        </w:tabs>
        <w:ind w:left="522" w:hanging="522"/>
        <w:rPr>
          <w:lang w:val="en-US"/>
        </w:rPr>
      </w:pPr>
      <w:r>
        <w:rPr>
          <w:lang w:val="en-US"/>
        </w:rPr>
        <w:t>Conclusion</w:t>
      </w:r>
    </w:p>
    <w:p w14:paraId="0E5C0033" w14:textId="259E68B5" w:rsidR="00AE5A64" w:rsidRDefault="00AE5A64" w:rsidP="00A0551F">
      <w:pPr>
        <w:rPr>
          <w:lang w:val="en-US"/>
        </w:rPr>
      </w:pPr>
      <w:r>
        <w:rPr>
          <w:lang w:val="en-US"/>
        </w:rPr>
        <w:t>This contribution discusses reference sensitivity for Band n96.</w:t>
      </w:r>
      <w:r w:rsidR="00EB49B8">
        <w:rPr>
          <w:lang w:val="en-US"/>
        </w:rPr>
        <w:t xml:space="preserve">  It is proposed to adopt the same value as already agreed for Band n46, which is already significantly relaxed compared to other 3GPP bands and compared to studies conducted by RAN4 in the context of IMT parameters in the same frequency range.  The counter-arguments regarding additional insertion loss due to filtering and switching are accommodated by </w:t>
      </w:r>
      <w:r w:rsidR="00EB49B8" w:rsidRPr="0051085A">
        <w:rPr>
          <w:rFonts w:ascii="Symbol" w:hAnsi="Symbol"/>
          <w:lang w:val="en-US"/>
        </w:rPr>
        <w:t>D</w:t>
      </w:r>
      <w:r w:rsidR="00EB49B8">
        <w:rPr>
          <w:lang w:val="en-US"/>
        </w:rPr>
        <w:t>R</w:t>
      </w:r>
      <w:r w:rsidR="00EB49B8" w:rsidRPr="0051085A">
        <w:rPr>
          <w:vertAlign w:val="subscript"/>
          <w:lang w:val="en-US"/>
        </w:rPr>
        <w:t>IB</w:t>
      </w:r>
      <w:r w:rsidR="00EB49B8">
        <w:rPr>
          <w:lang w:val="en-US"/>
        </w:rPr>
        <w:t xml:space="preserve"> allowances where it has already been agreed that these allowances do not scale according to the number of bands supported by the device.  Thus, there is insufficient technical justification to motivate an further dilution of reference sensitivity in Band n96.</w:t>
      </w:r>
    </w:p>
    <w:p w14:paraId="370EE77B" w14:textId="77777777" w:rsidR="0090577D" w:rsidRDefault="0090577D" w:rsidP="00AE5A64">
      <w:pPr>
        <w:pStyle w:val="Heading1"/>
        <w:numPr>
          <w:ilvl w:val="0"/>
          <w:numId w:val="0"/>
        </w:numPr>
        <w:rPr>
          <w:lang w:val="en-US"/>
        </w:rPr>
      </w:pPr>
      <w:r>
        <w:rPr>
          <w:lang w:val="en-US"/>
        </w:rPr>
        <w:lastRenderedPageBreak/>
        <w:t>Reference</w:t>
      </w:r>
    </w:p>
    <w:p w14:paraId="15DE1E78" w14:textId="33FE95FE" w:rsidR="002E6E5E" w:rsidRDefault="00A563E3" w:rsidP="001219FC">
      <w:pPr>
        <w:numPr>
          <w:ilvl w:val="0"/>
          <w:numId w:val="2"/>
        </w:numPr>
        <w:tabs>
          <w:tab w:val="left" w:pos="1080"/>
        </w:tabs>
        <w:rPr>
          <w:lang w:val="en-US" w:eastAsia="x-none"/>
        </w:rPr>
      </w:pPr>
      <w:bookmarkStart w:id="2" w:name="_Hlk859252"/>
      <w:r>
        <w:rPr>
          <w:lang w:val="en-US" w:eastAsia="x-none"/>
        </w:rPr>
        <w:t>R</w:t>
      </w:r>
      <w:r w:rsidR="007E0D73">
        <w:rPr>
          <w:lang w:val="en-US" w:eastAsia="x-none"/>
        </w:rPr>
        <w:t>P-20</w:t>
      </w:r>
      <w:r w:rsidR="002E6E5E">
        <w:rPr>
          <w:lang w:val="en-US" w:eastAsia="x-none"/>
        </w:rPr>
        <w:t>2117</w:t>
      </w:r>
      <w:r w:rsidR="007E0D73">
        <w:rPr>
          <w:lang w:val="en-US" w:eastAsia="x-none"/>
        </w:rPr>
        <w:t>, “</w:t>
      </w:r>
      <w:r w:rsidR="002E6E5E">
        <w:rPr>
          <w:lang w:val="en-US" w:eastAsia="x-none"/>
        </w:rPr>
        <w:t xml:space="preserve">Introduction of NR-based access to unlicensed spectrum,” </w:t>
      </w:r>
      <w:r w:rsidR="002E6E5E" w:rsidRPr="002E6E5E">
        <w:rPr>
          <w:lang w:val="en-US" w:eastAsia="x-none"/>
        </w:rPr>
        <w:t>Qualcomm Incorporated, Nokia, AT&amp;T, Charter Communications, Inc., Verizon, Samsung, LGE, Skyworks Solutions, Inc.</w:t>
      </w:r>
    </w:p>
    <w:p w14:paraId="2996DF60" w14:textId="3AD69A41" w:rsidR="007B3A0B" w:rsidRPr="004B5C9A" w:rsidRDefault="007B3A0B" w:rsidP="004B5C9A">
      <w:pPr>
        <w:numPr>
          <w:ilvl w:val="0"/>
          <w:numId w:val="2"/>
        </w:numPr>
        <w:tabs>
          <w:tab w:val="left" w:pos="1080"/>
        </w:tabs>
        <w:rPr>
          <w:lang w:val="en-US" w:eastAsia="x-none"/>
        </w:rPr>
      </w:pPr>
      <w:r>
        <w:rPr>
          <w:lang w:val="en-US" w:eastAsia="x-none"/>
        </w:rPr>
        <w:t>R4-2002092, “Band n46 reference sensitivity,” Qualcomm Incorporated</w:t>
      </w:r>
    </w:p>
    <w:p w14:paraId="74844FA9" w14:textId="20B3D8AE" w:rsidR="004B5C9A" w:rsidRDefault="004B5C9A" w:rsidP="001219FC">
      <w:pPr>
        <w:numPr>
          <w:ilvl w:val="0"/>
          <w:numId w:val="2"/>
        </w:numPr>
        <w:tabs>
          <w:tab w:val="left" w:pos="1080"/>
        </w:tabs>
        <w:rPr>
          <w:lang w:val="en-US" w:eastAsia="x-none"/>
        </w:rPr>
      </w:pPr>
      <w:r>
        <w:rPr>
          <w:lang w:val="en-US" w:eastAsia="x-none"/>
        </w:rPr>
        <w:t>R4-</w:t>
      </w:r>
      <w:r w:rsidR="00BB69DC">
        <w:rPr>
          <w:lang w:val="en-US" w:eastAsia="x-none"/>
        </w:rPr>
        <w:t xml:space="preserve">2011847, “Email discussion summary for </w:t>
      </w:r>
      <w:r w:rsidR="00BB69DC" w:rsidRPr="00BB69DC">
        <w:rPr>
          <w:lang w:val="en-US" w:eastAsia="x-none"/>
        </w:rPr>
        <w:t>RAN4#96e_#107_NR_unlic_UE_RF</w:t>
      </w:r>
      <w:r w:rsidR="00BB69DC">
        <w:rPr>
          <w:lang w:val="en-US" w:eastAsia="x-none"/>
        </w:rPr>
        <w:t>,” Moderator (Qualcomm Incorporated)</w:t>
      </w:r>
    </w:p>
    <w:p w14:paraId="4141083B" w14:textId="68817A82" w:rsidR="004B5C9A" w:rsidRDefault="004B5C9A" w:rsidP="001219FC">
      <w:pPr>
        <w:numPr>
          <w:ilvl w:val="0"/>
          <w:numId w:val="2"/>
        </w:numPr>
        <w:tabs>
          <w:tab w:val="left" w:pos="1080"/>
        </w:tabs>
        <w:rPr>
          <w:lang w:val="en-US" w:eastAsia="x-none"/>
        </w:rPr>
      </w:pPr>
      <w:r>
        <w:rPr>
          <w:lang w:val="en-US" w:eastAsia="x-none"/>
        </w:rPr>
        <w:t>R4-2011344, “Simulation results  for NR-U bands n46 and n96,” Qualcomm Incorporated</w:t>
      </w:r>
    </w:p>
    <w:p w14:paraId="4A45AD22" w14:textId="04A4FAC3" w:rsidR="004B5C9A" w:rsidRDefault="00BB69DC" w:rsidP="001219FC">
      <w:pPr>
        <w:numPr>
          <w:ilvl w:val="0"/>
          <w:numId w:val="2"/>
        </w:numPr>
        <w:tabs>
          <w:tab w:val="left" w:pos="1080"/>
        </w:tabs>
        <w:rPr>
          <w:lang w:val="en-US" w:eastAsia="x-none"/>
        </w:rPr>
      </w:pPr>
      <w:r>
        <w:rPr>
          <w:lang w:val="en-US" w:eastAsia="x-none"/>
        </w:rPr>
        <w:t>RP-202046, “</w:t>
      </w:r>
      <w:r w:rsidRPr="00BB69DC">
        <w:rPr>
          <w:lang w:val="en-US" w:eastAsia="x-none"/>
        </w:rPr>
        <w:t>Moderator's summary for email discussion [89E][09][R16_NR-U] Intermediate round</w:t>
      </w:r>
      <w:r>
        <w:rPr>
          <w:lang w:val="en-US" w:eastAsia="x-none"/>
        </w:rPr>
        <w:t>,” Nokia</w:t>
      </w:r>
    </w:p>
    <w:p w14:paraId="4834BBEB" w14:textId="1F0C7B46" w:rsidR="00BB69DC" w:rsidRDefault="00756380" w:rsidP="001219FC">
      <w:pPr>
        <w:numPr>
          <w:ilvl w:val="0"/>
          <w:numId w:val="2"/>
        </w:numPr>
        <w:tabs>
          <w:tab w:val="left" w:pos="1080"/>
        </w:tabs>
        <w:rPr>
          <w:lang w:val="en-US" w:eastAsia="x-none"/>
        </w:rPr>
      </w:pPr>
      <w:r>
        <w:rPr>
          <w:lang w:val="en-US" w:eastAsia="x-none"/>
        </w:rPr>
        <w:t>R4-2011828, “TP to TR 38.921: UE IMT technology related parameters,” Huawei</w:t>
      </w:r>
      <w:bookmarkEnd w:id="2"/>
    </w:p>
    <w:sectPr w:rsidR="00BB69DC"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4ABC8" w14:textId="77777777" w:rsidR="00061C06" w:rsidRDefault="00061C06">
      <w:r>
        <w:separator/>
      </w:r>
    </w:p>
  </w:endnote>
  <w:endnote w:type="continuationSeparator" w:id="0">
    <w:p w14:paraId="1A2C25B5" w14:textId="77777777" w:rsidR="00061C06" w:rsidRDefault="00061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686264" w:rsidRDefault="006862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686264" w:rsidRDefault="0068626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16CC7" w14:textId="77777777" w:rsidR="00061C06" w:rsidRDefault="00061C06">
      <w:r>
        <w:separator/>
      </w:r>
    </w:p>
  </w:footnote>
  <w:footnote w:type="continuationSeparator" w:id="0">
    <w:p w14:paraId="69D1A305" w14:textId="77777777" w:rsidR="00061C06" w:rsidRDefault="00061C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DD13CB"/>
    <w:multiLevelType w:val="hybridMultilevel"/>
    <w:tmpl w:val="1D3ABC6E"/>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FFF6063"/>
    <w:multiLevelType w:val="hybridMultilevel"/>
    <w:tmpl w:val="F6B894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8801BDD"/>
    <w:multiLevelType w:val="hybridMultilevel"/>
    <w:tmpl w:val="295C3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686F3D"/>
    <w:multiLevelType w:val="hybridMultilevel"/>
    <w:tmpl w:val="7CC05BD4"/>
    <w:lvl w:ilvl="0" w:tplc="E202EFA6">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91D2CD6"/>
    <w:multiLevelType w:val="hybridMultilevel"/>
    <w:tmpl w:val="94F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19"/>
  </w:num>
  <w:num w:numId="4">
    <w:abstractNumId w:val="21"/>
  </w:num>
  <w:num w:numId="5">
    <w:abstractNumId w:val="16"/>
  </w:num>
  <w:num w:numId="6">
    <w:abstractNumId w:val="7"/>
  </w:num>
  <w:num w:numId="7">
    <w:abstractNumId w:val="3"/>
  </w:num>
  <w:num w:numId="8">
    <w:abstractNumId w:val="18"/>
  </w:num>
  <w:num w:numId="9">
    <w:abstractNumId w:val="8"/>
  </w:num>
  <w:num w:numId="10">
    <w:abstractNumId w:val="15"/>
  </w:num>
  <w:num w:numId="11">
    <w:abstractNumId w:val="23"/>
  </w:num>
  <w:num w:numId="12">
    <w:abstractNumId w:val="6"/>
  </w:num>
  <w:num w:numId="13">
    <w:abstractNumId w:val="14"/>
  </w:num>
  <w:num w:numId="14">
    <w:abstractNumId w:val="4"/>
  </w:num>
  <w:num w:numId="15">
    <w:abstractNumId w:val="13"/>
  </w:num>
  <w:num w:numId="16">
    <w:abstractNumId w:val="22"/>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2"/>
  </w:num>
  <w:num w:numId="19">
    <w:abstractNumId w:val="10"/>
  </w:num>
  <w:num w:numId="20">
    <w:abstractNumId w:val="11"/>
  </w:num>
  <w:num w:numId="21">
    <w:abstractNumId w:val="20"/>
  </w:num>
  <w:num w:numId="22">
    <w:abstractNumId w:val="5"/>
  </w:num>
  <w:num w:numId="23">
    <w:abstractNumId w:val="1"/>
  </w:num>
  <w:num w:numId="2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4"/>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D01"/>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584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27D"/>
    <w:rsid w:val="00053989"/>
    <w:rsid w:val="00053E42"/>
    <w:rsid w:val="000549BA"/>
    <w:rsid w:val="000550EF"/>
    <w:rsid w:val="000555F0"/>
    <w:rsid w:val="00055B21"/>
    <w:rsid w:val="00055F49"/>
    <w:rsid w:val="00056C5E"/>
    <w:rsid w:val="00057B8F"/>
    <w:rsid w:val="000601B0"/>
    <w:rsid w:val="000605D7"/>
    <w:rsid w:val="00060DD0"/>
    <w:rsid w:val="00061B50"/>
    <w:rsid w:val="00061C06"/>
    <w:rsid w:val="00062AE2"/>
    <w:rsid w:val="00062E5A"/>
    <w:rsid w:val="00062F52"/>
    <w:rsid w:val="00063B14"/>
    <w:rsid w:val="0006427B"/>
    <w:rsid w:val="000642D1"/>
    <w:rsid w:val="000643A3"/>
    <w:rsid w:val="0006440F"/>
    <w:rsid w:val="000648F2"/>
    <w:rsid w:val="00064DFA"/>
    <w:rsid w:val="00065C27"/>
    <w:rsid w:val="00066EEB"/>
    <w:rsid w:val="000671C6"/>
    <w:rsid w:val="00067594"/>
    <w:rsid w:val="00070561"/>
    <w:rsid w:val="00070ECC"/>
    <w:rsid w:val="00072354"/>
    <w:rsid w:val="000724BF"/>
    <w:rsid w:val="00072597"/>
    <w:rsid w:val="000725AA"/>
    <w:rsid w:val="00072830"/>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31"/>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5C"/>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3601"/>
    <w:rsid w:val="000C47C2"/>
    <w:rsid w:val="000C4A55"/>
    <w:rsid w:val="000C4A63"/>
    <w:rsid w:val="000C4A8B"/>
    <w:rsid w:val="000C52D6"/>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951"/>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DA0"/>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CC9"/>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60"/>
    <w:rsid w:val="001B4DD5"/>
    <w:rsid w:val="001B58A4"/>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974"/>
    <w:rsid w:val="002420FA"/>
    <w:rsid w:val="0024341E"/>
    <w:rsid w:val="00243E31"/>
    <w:rsid w:val="0024423D"/>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3C65"/>
    <w:rsid w:val="00274205"/>
    <w:rsid w:val="0027453E"/>
    <w:rsid w:val="00274925"/>
    <w:rsid w:val="00274FBC"/>
    <w:rsid w:val="0027504A"/>
    <w:rsid w:val="002757F6"/>
    <w:rsid w:val="00275B1A"/>
    <w:rsid w:val="00275C3D"/>
    <w:rsid w:val="00275CFF"/>
    <w:rsid w:val="00276223"/>
    <w:rsid w:val="002765D8"/>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263"/>
    <w:rsid w:val="002865FA"/>
    <w:rsid w:val="002866C4"/>
    <w:rsid w:val="0028685E"/>
    <w:rsid w:val="002869C0"/>
    <w:rsid w:val="002900D1"/>
    <w:rsid w:val="00290FB2"/>
    <w:rsid w:val="0029101E"/>
    <w:rsid w:val="0029138C"/>
    <w:rsid w:val="002921C4"/>
    <w:rsid w:val="0029239C"/>
    <w:rsid w:val="0029286C"/>
    <w:rsid w:val="002932EC"/>
    <w:rsid w:val="0029582E"/>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D9E"/>
    <w:rsid w:val="002E1E16"/>
    <w:rsid w:val="002E1E6C"/>
    <w:rsid w:val="002E1FA4"/>
    <w:rsid w:val="002E20FA"/>
    <w:rsid w:val="002E272E"/>
    <w:rsid w:val="002E2BE9"/>
    <w:rsid w:val="002E3BD7"/>
    <w:rsid w:val="002E3E3C"/>
    <w:rsid w:val="002E407E"/>
    <w:rsid w:val="002E4193"/>
    <w:rsid w:val="002E4241"/>
    <w:rsid w:val="002E4880"/>
    <w:rsid w:val="002E4A76"/>
    <w:rsid w:val="002E4D02"/>
    <w:rsid w:val="002E55A2"/>
    <w:rsid w:val="002E5C6F"/>
    <w:rsid w:val="002E6E5E"/>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AB4"/>
    <w:rsid w:val="00306C15"/>
    <w:rsid w:val="0030710A"/>
    <w:rsid w:val="00307F1E"/>
    <w:rsid w:val="00310331"/>
    <w:rsid w:val="0031040B"/>
    <w:rsid w:val="003109C2"/>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20AB6"/>
    <w:rsid w:val="00320B8A"/>
    <w:rsid w:val="0032195A"/>
    <w:rsid w:val="00321A07"/>
    <w:rsid w:val="00322083"/>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6801"/>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7BE"/>
    <w:rsid w:val="003534A5"/>
    <w:rsid w:val="00353D8F"/>
    <w:rsid w:val="00354768"/>
    <w:rsid w:val="00355206"/>
    <w:rsid w:val="003557D8"/>
    <w:rsid w:val="00356C16"/>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947"/>
    <w:rsid w:val="00371E22"/>
    <w:rsid w:val="003720AD"/>
    <w:rsid w:val="003727A4"/>
    <w:rsid w:val="00372B4A"/>
    <w:rsid w:val="00373574"/>
    <w:rsid w:val="00373AF1"/>
    <w:rsid w:val="003753E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41E2"/>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ABD"/>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8CD"/>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0A2"/>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DE2"/>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2B34"/>
    <w:rsid w:val="0048385F"/>
    <w:rsid w:val="00483B86"/>
    <w:rsid w:val="00483C46"/>
    <w:rsid w:val="00483CF6"/>
    <w:rsid w:val="004845C1"/>
    <w:rsid w:val="0048493E"/>
    <w:rsid w:val="00484AB9"/>
    <w:rsid w:val="004852CF"/>
    <w:rsid w:val="0048547C"/>
    <w:rsid w:val="004854C9"/>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5C9A"/>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07F"/>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085A"/>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396"/>
    <w:rsid w:val="00543BDB"/>
    <w:rsid w:val="00543E5A"/>
    <w:rsid w:val="0054477C"/>
    <w:rsid w:val="00544811"/>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6E"/>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B05"/>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4B1"/>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1789"/>
    <w:rsid w:val="005B21F0"/>
    <w:rsid w:val="005B2846"/>
    <w:rsid w:val="005B2C09"/>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2CAC"/>
    <w:rsid w:val="005E362E"/>
    <w:rsid w:val="005E3C68"/>
    <w:rsid w:val="005E4A35"/>
    <w:rsid w:val="005E534E"/>
    <w:rsid w:val="005E56ED"/>
    <w:rsid w:val="005E5729"/>
    <w:rsid w:val="005E597B"/>
    <w:rsid w:val="005E59A8"/>
    <w:rsid w:val="005E5CBA"/>
    <w:rsid w:val="005E5CD5"/>
    <w:rsid w:val="005E684F"/>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428"/>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2F36"/>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D9"/>
    <w:rsid w:val="006775CE"/>
    <w:rsid w:val="0067770C"/>
    <w:rsid w:val="00677BA5"/>
    <w:rsid w:val="006804C1"/>
    <w:rsid w:val="0068130C"/>
    <w:rsid w:val="00681863"/>
    <w:rsid w:val="00681879"/>
    <w:rsid w:val="00681C86"/>
    <w:rsid w:val="00681E48"/>
    <w:rsid w:val="006837E1"/>
    <w:rsid w:val="00683A6E"/>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4E8"/>
    <w:rsid w:val="006957D1"/>
    <w:rsid w:val="00695D19"/>
    <w:rsid w:val="00696D35"/>
    <w:rsid w:val="00697217"/>
    <w:rsid w:val="0069757C"/>
    <w:rsid w:val="006A094D"/>
    <w:rsid w:val="006A0A88"/>
    <w:rsid w:val="006A0FC3"/>
    <w:rsid w:val="006A1103"/>
    <w:rsid w:val="006A16CD"/>
    <w:rsid w:val="006A16FF"/>
    <w:rsid w:val="006A17A4"/>
    <w:rsid w:val="006A1A4D"/>
    <w:rsid w:val="006A1BF6"/>
    <w:rsid w:val="006A202E"/>
    <w:rsid w:val="006A2312"/>
    <w:rsid w:val="006A2474"/>
    <w:rsid w:val="006A28BE"/>
    <w:rsid w:val="006A28F4"/>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251"/>
    <w:rsid w:val="006F0ACE"/>
    <w:rsid w:val="006F1573"/>
    <w:rsid w:val="006F1BAC"/>
    <w:rsid w:val="006F1CD3"/>
    <w:rsid w:val="006F1F48"/>
    <w:rsid w:val="006F1FCF"/>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B27"/>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750"/>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380"/>
    <w:rsid w:val="00756EDA"/>
    <w:rsid w:val="00757096"/>
    <w:rsid w:val="0075711F"/>
    <w:rsid w:val="00757F25"/>
    <w:rsid w:val="007601B6"/>
    <w:rsid w:val="00760F1F"/>
    <w:rsid w:val="0076193C"/>
    <w:rsid w:val="007620EB"/>
    <w:rsid w:val="0076227C"/>
    <w:rsid w:val="00762293"/>
    <w:rsid w:val="00762588"/>
    <w:rsid w:val="00763C37"/>
    <w:rsid w:val="0076433C"/>
    <w:rsid w:val="007646C3"/>
    <w:rsid w:val="00764ABF"/>
    <w:rsid w:val="00764F6B"/>
    <w:rsid w:val="00765328"/>
    <w:rsid w:val="007663F2"/>
    <w:rsid w:val="007664C6"/>
    <w:rsid w:val="00766A38"/>
    <w:rsid w:val="00766CB7"/>
    <w:rsid w:val="00767F66"/>
    <w:rsid w:val="00770C66"/>
    <w:rsid w:val="00771750"/>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214"/>
    <w:rsid w:val="007B050D"/>
    <w:rsid w:val="007B0C6C"/>
    <w:rsid w:val="007B0D5D"/>
    <w:rsid w:val="007B0DE3"/>
    <w:rsid w:val="007B1635"/>
    <w:rsid w:val="007B1E57"/>
    <w:rsid w:val="007B2724"/>
    <w:rsid w:val="007B27D2"/>
    <w:rsid w:val="007B2EAC"/>
    <w:rsid w:val="007B3395"/>
    <w:rsid w:val="007B3A0B"/>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0D73"/>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99A"/>
    <w:rsid w:val="007F2B6A"/>
    <w:rsid w:val="007F3094"/>
    <w:rsid w:val="007F321F"/>
    <w:rsid w:val="007F4C7A"/>
    <w:rsid w:val="007F51CC"/>
    <w:rsid w:val="007F5F94"/>
    <w:rsid w:val="007F6F18"/>
    <w:rsid w:val="007F7987"/>
    <w:rsid w:val="008000EE"/>
    <w:rsid w:val="00800130"/>
    <w:rsid w:val="0080055A"/>
    <w:rsid w:val="008008A4"/>
    <w:rsid w:val="00800BA3"/>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3F"/>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3E2E"/>
    <w:rsid w:val="0085400A"/>
    <w:rsid w:val="0085443D"/>
    <w:rsid w:val="00854E3F"/>
    <w:rsid w:val="0085554B"/>
    <w:rsid w:val="0085616A"/>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0BB"/>
    <w:rsid w:val="00874DFD"/>
    <w:rsid w:val="00874E35"/>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828"/>
    <w:rsid w:val="00885C1D"/>
    <w:rsid w:val="00885CB4"/>
    <w:rsid w:val="008863FC"/>
    <w:rsid w:val="00886758"/>
    <w:rsid w:val="00887156"/>
    <w:rsid w:val="0088723B"/>
    <w:rsid w:val="00890197"/>
    <w:rsid w:val="008909EB"/>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2D8"/>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319A"/>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3EA8"/>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46E"/>
    <w:rsid w:val="009E48F6"/>
    <w:rsid w:val="009E4C74"/>
    <w:rsid w:val="009E5FE9"/>
    <w:rsid w:val="009E63C8"/>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57"/>
    <w:rsid w:val="00A15FFD"/>
    <w:rsid w:val="00A16631"/>
    <w:rsid w:val="00A16647"/>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6ED"/>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3E3"/>
    <w:rsid w:val="00A56A0E"/>
    <w:rsid w:val="00A56DCF"/>
    <w:rsid w:val="00A57C83"/>
    <w:rsid w:val="00A57D58"/>
    <w:rsid w:val="00A60442"/>
    <w:rsid w:val="00A605DA"/>
    <w:rsid w:val="00A60D41"/>
    <w:rsid w:val="00A61769"/>
    <w:rsid w:val="00A61962"/>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7F1"/>
    <w:rsid w:val="00A958A5"/>
    <w:rsid w:val="00A95ED3"/>
    <w:rsid w:val="00A966AD"/>
    <w:rsid w:val="00A971F8"/>
    <w:rsid w:val="00A9739A"/>
    <w:rsid w:val="00A97B21"/>
    <w:rsid w:val="00A97CDF"/>
    <w:rsid w:val="00AA00B9"/>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2C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A64"/>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1F52"/>
    <w:rsid w:val="00B121C9"/>
    <w:rsid w:val="00B128D7"/>
    <w:rsid w:val="00B12B67"/>
    <w:rsid w:val="00B12D6A"/>
    <w:rsid w:val="00B13D1E"/>
    <w:rsid w:val="00B14745"/>
    <w:rsid w:val="00B153E3"/>
    <w:rsid w:val="00B157E5"/>
    <w:rsid w:val="00B1623F"/>
    <w:rsid w:val="00B162B7"/>
    <w:rsid w:val="00B2023A"/>
    <w:rsid w:val="00B2068B"/>
    <w:rsid w:val="00B207E9"/>
    <w:rsid w:val="00B20AC8"/>
    <w:rsid w:val="00B20C4A"/>
    <w:rsid w:val="00B20C77"/>
    <w:rsid w:val="00B211BF"/>
    <w:rsid w:val="00B2152F"/>
    <w:rsid w:val="00B21ECA"/>
    <w:rsid w:val="00B2267D"/>
    <w:rsid w:val="00B22C12"/>
    <w:rsid w:val="00B22E28"/>
    <w:rsid w:val="00B23059"/>
    <w:rsid w:val="00B23562"/>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3C"/>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B2C"/>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9DC"/>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799"/>
    <w:rsid w:val="00BE287E"/>
    <w:rsid w:val="00BE2BB2"/>
    <w:rsid w:val="00BE3383"/>
    <w:rsid w:val="00BE38EB"/>
    <w:rsid w:val="00BE3E92"/>
    <w:rsid w:val="00BE3F08"/>
    <w:rsid w:val="00BE4B1B"/>
    <w:rsid w:val="00BE4DB0"/>
    <w:rsid w:val="00BE78AF"/>
    <w:rsid w:val="00BE7F67"/>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1BA"/>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3D3"/>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370"/>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008"/>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859"/>
    <w:rsid w:val="00C5497A"/>
    <w:rsid w:val="00C55E50"/>
    <w:rsid w:val="00C55F10"/>
    <w:rsid w:val="00C56370"/>
    <w:rsid w:val="00C571F6"/>
    <w:rsid w:val="00C5751B"/>
    <w:rsid w:val="00C60DE1"/>
    <w:rsid w:val="00C6124F"/>
    <w:rsid w:val="00C615C8"/>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138C"/>
    <w:rsid w:val="00CA215A"/>
    <w:rsid w:val="00CA29D5"/>
    <w:rsid w:val="00CA2ED0"/>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4F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5CD5"/>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CB4"/>
    <w:rsid w:val="00D12F86"/>
    <w:rsid w:val="00D132B1"/>
    <w:rsid w:val="00D13FC2"/>
    <w:rsid w:val="00D14749"/>
    <w:rsid w:val="00D1499B"/>
    <w:rsid w:val="00D14C4B"/>
    <w:rsid w:val="00D14D64"/>
    <w:rsid w:val="00D157C1"/>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655"/>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E8"/>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56C7B"/>
    <w:rsid w:val="00D60342"/>
    <w:rsid w:val="00D60E23"/>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7DD"/>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0B7"/>
    <w:rsid w:val="00DF118A"/>
    <w:rsid w:val="00DF1281"/>
    <w:rsid w:val="00DF1627"/>
    <w:rsid w:val="00DF199B"/>
    <w:rsid w:val="00DF1E2D"/>
    <w:rsid w:val="00DF201C"/>
    <w:rsid w:val="00DF255E"/>
    <w:rsid w:val="00DF2ECA"/>
    <w:rsid w:val="00DF34F9"/>
    <w:rsid w:val="00DF4C20"/>
    <w:rsid w:val="00DF4C7C"/>
    <w:rsid w:val="00DF51C0"/>
    <w:rsid w:val="00DF53E9"/>
    <w:rsid w:val="00DF54A5"/>
    <w:rsid w:val="00DF5633"/>
    <w:rsid w:val="00DF6058"/>
    <w:rsid w:val="00DF6787"/>
    <w:rsid w:val="00DF7330"/>
    <w:rsid w:val="00DF79C3"/>
    <w:rsid w:val="00DF7C4C"/>
    <w:rsid w:val="00DF7EB3"/>
    <w:rsid w:val="00E0019F"/>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5E1"/>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27B"/>
    <w:rsid w:val="00E343BD"/>
    <w:rsid w:val="00E35A26"/>
    <w:rsid w:val="00E35B6C"/>
    <w:rsid w:val="00E36B2F"/>
    <w:rsid w:val="00E36B42"/>
    <w:rsid w:val="00E36D90"/>
    <w:rsid w:val="00E371C2"/>
    <w:rsid w:val="00E374C5"/>
    <w:rsid w:val="00E377D8"/>
    <w:rsid w:val="00E403AD"/>
    <w:rsid w:val="00E408DB"/>
    <w:rsid w:val="00E40900"/>
    <w:rsid w:val="00E412E7"/>
    <w:rsid w:val="00E413B2"/>
    <w:rsid w:val="00E423DD"/>
    <w:rsid w:val="00E4265A"/>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93F"/>
    <w:rsid w:val="00E474E8"/>
    <w:rsid w:val="00E5057C"/>
    <w:rsid w:val="00E50A41"/>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1D2"/>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1B7F"/>
    <w:rsid w:val="00EB21F4"/>
    <w:rsid w:val="00EB2235"/>
    <w:rsid w:val="00EB24B0"/>
    <w:rsid w:val="00EB26A9"/>
    <w:rsid w:val="00EB31EB"/>
    <w:rsid w:val="00EB33EC"/>
    <w:rsid w:val="00EB3778"/>
    <w:rsid w:val="00EB3C09"/>
    <w:rsid w:val="00EB410E"/>
    <w:rsid w:val="00EB420B"/>
    <w:rsid w:val="00EB43BD"/>
    <w:rsid w:val="00EB48D3"/>
    <w:rsid w:val="00EB49B8"/>
    <w:rsid w:val="00EB5C05"/>
    <w:rsid w:val="00EB658B"/>
    <w:rsid w:val="00EB668F"/>
    <w:rsid w:val="00EB6EEC"/>
    <w:rsid w:val="00EB760C"/>
    <w:rsid w:val="00EB7844"/>
    <w:rsid w:val="00EB793A"/>
    <w:rsid w:val="00EC02AE"/>
    <w:rsid w:val="00EC0C2B"/>
    <w:rsid w:val="00EC0D60"/>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5D39"/>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6D39"/>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0E7C"/>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4BB9"/>
    <w:rsid w:val="00F354C9"/>
    <w:rsid w:val="00F35682"/>
    <w:rsid w:val="00F3615B"/>
    <w:rsid w:val="00F368B6"/>
    <w:rsid w:val="00F36A11"/>
    <w:rsid w:val="00F36C90"/>
    <w:rsid w:val="00F36D83"/>
    <w:rsid w:val="00F3756B"/>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354"/>
    <w:rsid w:val="00FC6995"/>
    <w:rsid w:val="00FD09D0"/>
    <w:rsid w:val="00FD0AAD"/>
    <w:rsid w:val="00FD0D8C"/>
    <w:rsid w:val="00FD1000"/>
    <w:rsid w:val="00FD1527"/>
    <w:rsid w:val="00FD1F75"/>
    <w:rsid w:val="00FD33DB"/>
    <w:rsid w:val="00FD44AA"/>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932"/>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99"/>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99"/>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customStyle="1" w:styleId="FL">
    <w:name w:val="FL"/>
    <w:basedOn w:val="Normal"/>
    <w:rsid w:val="002E6E5E"/>
    <w:pPr>
      <w:keepNext/>
      <w:keepLines/>
      <w:overflowPunct w:val="0"/>
      <w:autoSpaceDE w:val="0"/>
      <w:autoSpaceDN w:val="0"/>
      <w:adjustRightInd w:val="0"/>
      <w:spacing w:before="60"/>
      <w:jc w:val="center"/>
      <w:textAlignment w:val="baseline"/>
    </w:pPr>
    <w:rPr>
      <w:rFonts w:ascii="Arial" w:eastAsiaTheme="minorEastAsia"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013F2-3572-4380-8E59-6C6A2D9FC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1200</Words>
  <Characters>6840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2020-10-23T20:05:00Z</dcterms:created>
  <dcterms:modified xsi:type="dcterms:W3CDTF">2020-10-23T20:05:00Z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