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7BF57" w14:textId="25298BDC" w:rsidR="00F769B2" w:rsidRPr="00F769B2" w:rsidRDefault="00F769B2" w:rsidP="00F769B2">
      <w:pPr>
        <w:pStyle w:val="a3"/>
        <w:rPr>
          <w:rFonts w:cs="Arial"/>
          <w:noProof w:val="0"/>
          <w:sz w:val="24"/>
          <w:szCs w:val="24"/>
        </w:rPr>
      </w:pPr>
      <w:r w:rsidRPr="00F769B2">
        <w:rPr>
          <w:rFonts w:cs="Arial"/>
          <w:noProof w:val="0"/>
          <w:sz w:val="24"/>
          <w:szCs w:val="24"/>
        </w:rPr>
        <w:t xml:space="preserve">3GPP TSG-RAN WG4 Meeting # 97-e </w:t>
      </w:r>
      <w:r w:rsidRPr="00F769B2">
        <w:rPr>
          <w:rFonts w:cs="Arial"/>
          <w:noProof w:val="0"/>
          <w:sz w:val="24"/>
          <w:szCs w:val="24"/>
        </w:rPr>
        <w:tab/>
      </w:r>
      <w:r>
        <w:rPr>
          <w:rFonts w:cs="Arial"/>
          <w:noProof w:val="0"/>
          <w:sz w:val="24"/>
          <w:szCs w:val="24"/>
        </w:rPr>
        <w:t xml:space="preserve">                              </w:t>
      </w:r>
      <w:r w:rsidR="00313F83" w:rsidRPr="00313F83">
        <w:rPr>
          <w:rFonts w:cs="Arial"/>
          <w:noProof w:val="0"/>
          <w:sz w:val="24"/>
          <w:szCs w:val="24"/>
        </w:rPr>
        <w:t>R4-2015526</w:t>
      </w:r>
    </w:p>
    <w:p w14:paraId="63686C3E" w14:textId="30242C39" w:rsidR="00DF0231" w:rsidRPr="00F714A7" w:rsidRDefault="00F769B2" w:rsidP="00F769B2">
      <w:pPr>
        <w:pStyle w:val="a3"/>
        <w:rPr>
          <w:rFonts w:eastAsia="宋体"/>
          <w:noProof w:val="0"/>
          <w:sz w:val="24"/>
          <w:szCs w:val="24"/>
          <w:lang w:eastAsia="zh-CN"/>
        </w:rPr>
      </w:pPr>
      <w:r w:rsidRPr="00F769B2">
        <w:rPr>
          <w:rFonts w:cs="Arial"/>
          <w:noProof w:val="0"/>
          <w:sz w:val="24"/>
          <w:szCs w:val="24"/>
        </w:rPr>
        <w:t>Electronic Meeting, 2-13 Nov., 2020</w:t>
      </w: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156F6DD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65E2F">
        <w:rPr>
          <w:rFonts w:ascii="Arial" w:hAnsi="Arial"/>
          <w:sz w:val="24"/>
          <w:lang w:val="en-US"/>
        </w:rPr>
        <w:t>7.1.</w:t>
      </w:r>
      <w:r w:rsidR="00911B28">
        <w:rPr>
          <w:rFonts w:ascii="Arial" w:hAnsi="Arial"/>
          <w:sz w:val="24"/>
          <w:lang w:val="en-US"/>
        </w:rPr>
        <w:t>7</w:t>
      </w:r>
      <w:r w:rsidR="00D65E2F">
        <w:rPr>
          <w:rFonts w:ascii="Arial" w:hAnsi="Arial"/>
          <w:sz w:val="24"/>
          <w:lang w:val="en-US"/>
        </w:rPr>
        <w:t>.</w:t>
      </w:r>
      <w:r w:rsidR="00F769B2">
        <w:rPr>
          <w:rFonts w:ascii="Arial" w:hAnsi="Arial"/>
          <w:sz w:val="24"/>
          <w:lang w:val="en-US"/>
        </w:rPr>
        <w:t>1</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1906DAC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30AFC" w:rsidRPr="00130AFC">
        <w:rPr>
          <w:rFonts w:ascii="Arial" w:hAnsi="Arial"/>
          <w:sz w:val="24"/>
          <w:lang w:val="en-US"/>
        </w:rPr>
        <w:t>Discussion on performance requirements for RSSI measurement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2C158FE6"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2428D6">
        <w:rPr>
          <w:rFonts w:eastAsiaTheme="minorEastAsia"/>
          <w:lang w:val="en-US" w:eastAsia="zh-CN"/>
        </w:rPr>
        <w:t>6</w:t>
      </w:r>
      <w:r w:rsidR="00F714A7">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 xml:space="preserve">the </w:t>
      </w:r>
      <w:r w:rsidR="0037134C">
        <w:rPr>
          <w:rFonts w:eastAsiaTheme="minorEastAsia"/>
          <w:lang w:val="en-US" w:eastAsia="zh-CN"/>
        </w:rPr>
        <w:t>RSSI/CO measurement</w:t>
      </w:r>
      <w:r w:rsidR="00E97466">
        <w:rPr>
          <w:rFonts w:eastAsiaTheme="minorEastAsia"/>
          <w:lang w:val="en-US" w:eastAsia="zh-CN"/>
        </w:rPr>
        <w:t xml:space="preserve"> requirements</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xml:space="preserve">. </w:t>
      </w:r>
      <w:r w:rsidR="0037134C">
        <w:rPr>
          <w:rFonts w:eastAsiaTheme="minorEastAsia"/>
          <w:lang w:val="en-US" w:eastAsia="zh-CN"/>
        </w:rPr>
        <w:t>We further provide our views on the performance requirements related to RSSI/CO measurement</w:t>
      </w:r>
    </w:p>
    <w:p w14:paraId="6D78271B" w14:textId="77777777" w:rsidR="00DF0231" w:rsidRDefault="00DF0231" w:rsidP="00DF0231">
      <w:pPr>
        <w:pStyle w:val="1"/>
        <w:numPr>
          <w:ilvl w:val="0"/>
          <w:numId w:val="1"/>
        </w:numPr>
        <w:rPr>
          <w:lang w:val="en-US"/>
        </w:rPr>
      </w:pPr>
      <w:r w:rsidRPr="002D2977">
        <w:rPr>
          <w:lang w:val="en-US"/>
        </w:rPr>
        <w:t>Discussion</w:t>
      </w:r>
    </w:p>
    <w:p w14:paraId="7A14DB4A" w14:textId="179C367B" w:rsidR="0037134C" w:rsidRDefault="0037134C" w:rsidP="00D53A4A">
      <w:pPr>
        <w:rPr>
          <w:rFonts w:eastAsiaTheme="minorEastAsia"/>
          <w:lang w:val="en-US" w:eastAsia="zh-CN"/>
        </w:rPr>
      </w:pPr>
      <w:r w:rsidRPr="0037134C">
        <w:rPr>
          <w:rFonts w:eastAsiaTheme="minorEastAsia"/>
          <w:lang w:val="en-US" w:eastAsia="zh-CN"/>
        </w:rPr>
        <w:t>One of the remaining issues about RSSI/CO measurement is the measurement BW which has been discussed for several meetings and it suggested to discuss it in the performance part.</w:t>
      </w:r>
      <w:r>
        <w:rPr>
          <w:rFonts w:eastAsiaTheme="minorEastAsia"/>
          <w:lang w:val="en-US" w:eastAsia="zh-CN"/>
        </w:rPr>
        <w:t xml:space="preserve"> The options on the table are as follows:</w:t>
      </w:r>
    </w:p>
    <w:tbl>
      <w:tblPr>
        <w:tblStyle w:val="a7"/>
        <w:tblW w:w="0" w:type="auto"/>
        <w:tblLook w:val="04A0" w:firstRow="1" w:lastRow="0" w:firstColumn="1" w:lastColumn="0" w:noHBand="0" w:noVBand="1"/>
      </w:tblPr>
      <w:tblGrid>
        <w:gridCol w:w="9562"/>
      </w:tblGrid>
      <w:tr w:rsidR="0037134C" w14:paraId="0EF2C677" w14:textId="77777777" w:rsidTr="0037134C">
        <w:tc>
          <w:tcPr>
            <w:tcW w:w="9562" w:type="dxa"/>
          </w:tcPr>
          <w:p w14:paraId="75D6563B" w14:textId="3E595358" w:rsidR="0037134C" w:rsidRPr="0037134C" w:rsidRDefault="0037134C" w:rsidP="0037134C">
            <w:pPr>
              <w:rPr>
                <w:rFonts w:eastAsiaTheme="minorEastAsia"/>
                <w:lang w:val="en-US" w:eastAsia="zh-CN"/>
              </w:rPr>
            </w:pPr>
            <w:r w:rsidRPr="0037134C">
              <w:rPr>
                <w:rFonts w:eastAsiaTheme="minorEastAsia"/>
                <w:lang w:val="en-US" w:eastAsia="zh-CN"/>
              </w:rPr>
              <w:t xml:space="preserve">Option 1: RSSI measurement bandwidth is the LBT bandwidth </w:t>
            </w:r>
          </w:p>
          <w:p w14:paraId="69E4F0B2" w14:textId="65DFF2F5" w:rsidR="0037134C" w:rsidRDefault="0037134C" w:rsidP="00D53A4A">
            <w:pPr>
              <w:rPr>
                <w:rFonts w:eastAsiaTheme="minorEastAsia"/>
                <w:lang w:val="en-US" w:eastAsia="zh-CN"/>
              </w:rPr>
            </w:pPr>
            <w:r>
              <w:rPr>
                <w:rFonts w:eastAsiaTheme="minorEastAsia"/>
                <w:lang w:val="en-US" w:eastAsia="zh-CN"/>
              </w:rPr>
              <w:t xml:space="preserve">Option 2: </w:t>
            </w:r>
            <w:r w:rsidRPr="0037134C">
              <w:rPr>
                <w:rFonts w:eastAsiaTheme="minorEastAsia"/>
                <w:lang w:val="en-US" w:eastAsia="zh-CN"/>
              </w:rPr>
              <w:t>The discussion can take place in the performance work</w:t>
            </w:r>
          </w:p>
        </w:tc>
      </w:tr>
    </w:tbl>
    <w:p w14:paraId="1BD2E42A" w14:textId="77777777" w:rsidR="0037134C" w:rsidRDefault="0037134C" w:rsidP="00D53A4A">
      <w:pPr>
        <w:rPr>
          <w:rFonts w:eastAsiaTheme="minorEastAsia"/>
          <w:lang w:val="en-US" w:eastAsia="zh-CN"/>
        </w:rPr>
      </w:pPr>
    </w:p>
    <w:p w14:paraId="12598035" w14:textId="2BEF4660" w:rsidR="006A14CC" w:rsidRDefault="0037134C" w:rsidP="00D53A4A">
      <w:pPr>
        <w:rPr>
          <w:rFonts w:eastAsiaTheme="minorEastAsia"/>
          <w:lang w:val="en-US" w:eastAsia="zh-CN"/>
        </w:rPr>
      </w:pPr>
      <w:r>
        <w:rPr>
          <w:rFonts w:eastAsiaTheme="minorEastAsia"/>
          <w:lang w:val="en-US" w:eastAsia="zh-CN"/>
        </w:rPr>
        <w:t>Companies supporting option 2 hold that the measurement BW is up to UE implementation provided that the measurement accuracy requirements could be fulfilled. However, from our understanding, what is more essential is whether the measurement report could be regarded as accurate</w:t>
      </w:r>
      <w:r w:rsidR="00C73AE0">
        <w:rPr>
          <w:rFonts w:eastAsiaTheme="minorEastAsia"/>
          <w:lang w:val="en-US" w:eastAsia="zh-CN"/>
        </w:rPr>
        <w:t xml:space="preserve"> or ideal</w:t>
      </w:r>
      <w:r>
        <w:rPr>
          <w:rFonts w:eastAsiaTheme="minorEastAsia"/>
          <w:lang w:val="en-US" w:eastAsia="zh-CN"/>
        </w:rPr>
        <w:t>.</w:t>
      </w:r>
      <w:r w:rsidR="006A14CC">
        <w:rPr>
          <w:rFonts w:eastAsiaTheme="minorEastAsia"/>
          <w:lang w:val="en-US" w:eastAsia="zh-CN"/>
        </w:rPr>
        <w:t xml:space="preserve"> Different from the RSSI measurement in LAA, where the measurement result over different bandwidth is normalized to 6 RB, it was agreed in RAN4#94e-bis meeting that UE shall not normalize the RSSI measurement for reporting. Thus, if it </w:t>
      </w:r>
      <w:r w:rsidR="00C73AE0">
        <w:rPr>
          <w:rFonts w:eastAsiaTheme="minorEastAsia"/>
          <w:lang w:val="en-US" w:eastAsia="zh-CN"/>
        </w:rPr>
        <w:t xml:space="preserve">is </w:t>
      </w:r>
      <w:r w:rsidR="006A14CC">
        <w:rPr>
          <w:rFonts w:eastAsiaTheme="minorEastAsia"/>
          <w:lang w:val="en-US" w:eastAsia="zh-CN"/>
        </w:rPr>
        <w:t>up to UE to choose the BW for RSSI measurement, the reported RSSI measurement results could be different significantly among UEs even measurement</w:t>
      </w:r>
      <w:r w:rsidR="00C73AE0">
        <w:rPr>
          <w:rFonts w:eastAsiaTheme="minorEastAsia"/>
          <w:lang w:val="en-US" w:eastAsia="zh-CN"/>
        </w:rPr>
        <w:t xml:space="preserve"> are</w:t>
      </w:r>
      <w:r w:rsidR="006A14CC">
        <w:rPr>
          <w:rFonts w:eastAsiaTheme="minorEastAsia"/>
          <w:lang w:val="en-US" w:eastAsia="zh-CN"/>
        </w:rPr>
        <w:t xml:space="preserve"> under same channel conditions (e.g. RSSI measurement over 20 RB vs 100 RB). </w:t>
      </w:r>
      <w:r w:rsidR="00C73AE0">
        <w:rPr>
          <w:rFonts w:eastAsiaTheme="minorEastAsia"/>
          <w:lang w:val="en-US" w:eastAsia="zh-CN"/>
        </w:rPr>
        <w:t>These</w:t>
      </w:r>
      <w:r w:rsidR="006A14CC">
        <w:rPr>
          <w:rFonts w:eastAsiaTheme="minorEastAsia"/>
          <w:lang w:val="en-US" w:eastAsia="zh-CN"/>
        </w:rPr>
        <w:t xml:space="preserve"> reported RSSI measurement could not give NW the clear understanding of the channel conditions. </w:t>
      </w:r>
    </w:p>
    <w:p w14:paraId="3689ECA1" w14:textId="77777777" w:rsidR="006A14CC" w:rsidRPr="00C73AE0" w:rsidRDefault="006A14CC" w:rsidP="00D53A4A">
      <w:pPr>
        <w:rPr>
          <w:rFonts w:eastAsiaTheme="minorEastAsia"/>
          <w:b/>
          <w:lang w:val="en-US" w:eastAsia="zh-CN"/>
        </w:rPr>
      </w:pPr>
      <w:r w:rsidRPr="00C73AE0">
        <w:rPr>
          <w:rFonts w:eastAsiaTheme="minorEastAsia"/>
          <w:b/>
          <w:lang w:val="en-US" w:eastAsia="zh-CN"/>
        </w:rPr>
        <w:t>Proposal 1: The RSSI measurement shall be performed over unified measurement BW.</w:t>
      </w:r>
    </w:p>
    <w:p w14:paraId="01C90014" w14:textId="7B0C482C" w:rsidR="00C73AE0" w:rsidRDefault="006A14CC" w:rsidP="00D53A4A">
      <w:pPr>
        <w:rPr>
          <w:rFonts w:eastAsiaTheme="minorEastAsia"/>
          <w:lang w:val="en-US" w:eastAsia="zh-CN"/>
        </w:rPr>
      </w:pPr>
      <w:r>
        <w:rPr>
          <w:rFonts w:eastAsiaTheme="minorEastAsia"/>
          <w:lang w:val="en-US" w:eastAsia="zh-CN"/>
        </w:rPr>
        <w:t>Based on option 1, it is reasonable to choose the LBT bandwidth for RSSI measurement as it is aligned with the definition in RAN1’s spec</w:t>
      </w:r>
      <w:r w:rsidR="00C73AE0">
        <w:rPr>
          <w:rFonts w:eastAsiaTheme="minorEastAsia"/>
          <w:lang w:val="en-US" w:eastAsia="zh-CN"/>
        </w:rPr>
        <w:t xml:space="preserve"> [2]. But </w:t>
      </w:r>
      <w:r w:rsidR="008C0738">
        <w:rPr>
          <w:rFonts w:eastAsiaTheme="minorEastAsia"/>
          <w:lang w:val="en-US" w:eastAsia="zh-CN"/>
        </w:rPr>
        <w:t xml:space="preserve">if </w:t>
      </w:r>
      <w:r w:rsidR="00C73AE0">
        <w:rPr>
          <w:rFonts w:eastAsiaTheme="minorEastAsia"/>
          <w:lang w:val="en-US" w:eastAsia="zh-CN"/>
        </w:rPr>
        <w:t xml:space="preserve">it is agreed that the RSSI measurement BW should be the LBT bandwidth, there are some other issues related to the reporting mapping. As was agreed in RAN4#94e-bis meeting that UE shall not normalize the RSSI measurement for reporting and the report mapping in LAA is reused, we doubt that whether the reporting mapping table is appropriate anymore. </w:t>
      </w:r>
    </w:p>
    <w:tbl>
      <w:tblPr>
        <w:tblStyle w:val="a7"/>
        <w:tblW w:w="0" w:type="auto"/>
        <w:tblLook w:val="04A0" w:firstRow="1" w:lastRow="0" w:firstColumn="1" w:lastColumn="0" w:noHBand="0" w:noVBand="1"/>
      </w:tblPr>
      <w:tblGrid>
        <w:gridCol w:w="9562"/>
      </w:tblGrid>
      <w:tr w:rsidR="00C73AE0" w14:paraId="5552D48C" w14:textId="77777777" w:rsidTr="00C73AE0">
        <w:tc>
          <w:tcPr>
            <w:tcW w:w="9562" w:type="dxa"/>
          </w:tcPr>
          <w:p w14:paraId="319A4E75" w14:textId="77777777" w:rsidR="003200DC" w:rsidRPr="00C73AE0" w:rsidRDefault="003200DC" w:rsidP="00C73AE0">
            <w:pPr>
              <w:numPr>
                <w:ilvl w:val="0"/>
                <w:numId w:val="23"/>
              </w:numPr>
              <w:rPr>
                <w:rFonts w:eastAsiaTheme="minorEastAsia"/>
                <w:lang w:val="en-US" w:eastAsia="zh-CN"/>
              </w:rPr>
            </w:pPr>
            <w:r w:rsidRPr="00C73AE0">
              <w:rPr>
                <w:rFonts w:eastAsiaTheme="minorEastAsia"/>
                <w:u w:val="single"/>
                <w:lang w:val="en-US" w:eastAsia="zh-CN"/>
              </w:rPr>
              <w:t xml:space="preserve">Issue 3-1-1: Normalization of the RSSI measurement report </w:t>
            </w:r>
          </w:p>
          <w:p w14:paraId="07C09C66" w14:textId="77777777" w:rsidR="003200DC" w:rsidRPr="00C73AE0" w:rsidRDefault="003200DC" w:rsidP="00C73AE0">
            <w:pPr>
              <w:numPr>
                <w:ilvl w:val="1"/>
                <w:numId w:val="23"/>
              </w:numPr>
              <w:rPr>
                <w:rFonts w:eastAsiaTheme="minorEastAsia"/>
                <w:lang w:val="en-US" w:eastAsia="zh-CN"/>
              </w:rPr>
            </w:pPr>
            <w:r w:rsidRPr="00C73AE0">
              <w:rPr>
                <w:rFonts w:eastAsiaTheme="minorEastAsia"/>
                <w:lang w:val="en-US" w:eastAsia="zh-CN"/>
              </w:rPr>
              <w:t>UE shall not normalize RSSI measurements for reporting purpose</w:t>
            </w:r>
          </w:p>
          <w:p w14:paraId="033CA9E2" w14:textId="77777777" w:rsidR="003200DC" w:rsidRPr="00C73AE0" w:rsidRDefault="003200DC" w:rsidP="00C73AE0">
            <w:pPr>
              <w:numPr>
                <w:ilvl w:val="0"/>
                <w:numId w:val="23"/>
              </w:numPr>
              <w:rPr>
                <w:rFonts w:eastAsiaTheme="minorEastAsia"/>
                <w:lang w:val="en-US" w:eastAsia="zh-CN"/>
              </w:rPr>
            </w:pPr>
            <w:r w:rsidRPr="00C73AE0">
              <w:rPr>
                <w:rFonts w:eastAsiaTheme="minorEastAsia"/>
                <w:u w:val="single"/>
                <w:lang w:val="en-US" w:eastAsia="zh-CN"/>
              </w:rPr>
              <w:t>Issue 3-1-2: RSSI measurement report mapping</w:t>
            </w:r>
          </w:p>
          <w:p w14:paraId="494DF8C0" w14:textId="77777777" w:rsidR="003200DC" w:rsidRPr="00C73AE0" w:rsidRDefault="003200DC" w:rsidP="00C73AE0">
            <w:pPr>
              <w:numPr>
                <w:ilvl w:val="0"/>
                <w:numId w:val="23"/>
              </w:numPr>
              <w:rPr>
                <w:rFonts w:eastAsiaTheme="minorEastAsia"/>
                <w:lang w:val="en-US" w:eastAsia="zh-CN"/>
              </w:rPr>
            </w:pPr>
            <w:r w:rsidRPr="00C73AE0">
              <w:rPr>
                <w:rFonts w:eastAsiaTheme="minorEastAsia"/>
                <w:lang w:val="en-US" w:eastAsia="zh-CN"/>
              </w:rPr>
              <w:t xml:space="preserve">RSSI measurement report mapping in NR-U is defined as: </w:t>
            </w:r>
          </w:p>
          <w:p w14:paraId="6BD13E60" w14:textId="4AC492A7" w:rsidR="00C73AE0" w:rsidRDefault="00C73AE0" w:rsidP="00D53A4A">
            <w:pPr>
              <w:rPr>
                <w:rFonts w:eastAsiaTheme="minorEastAsia"/>
                <w:lang w:val="en-US" w:eastAsia="zh-CN"/>
              </w:rPr>
            </w:pPr>
            <w:r w:rsidRPr="00C73AE0">
              <w:rPr>
                <w:rFonts w:eastAsiaTheme="minorEastAsia"/>
                <w:noProof/>
                <w:lang w:val="en-US" w:eastAsia="zh-CN"/>
              </w:rPr>
              <w:drawing>
                <wp:inline distT="0" distB="0" distL="0" distR="0" wp14:anchorId="723ADEE4" wp14:editId="55B02AF5">
                  <wp:extent cx="2993835" cy="895404"/>
                  <wp:effectExtent l="0" t="0" r="0" b="0"/>
                  <wp:docPr id="7" name="Picture 6">
                    <a:extLst xmlns:a="http://schemas.openxmlformats.org/drawingml/2006/main">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6A0FA60F-C716-4D42-BBD0-74DF5947C8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6A0FA60F-C716-4D42-BBD0-74DF5947C829}"/>
                              </a:ext>
                            </a:extLst>
                          </pic:cNvPr>
                          <pic:cNvPicPr>
                            <a:picLocks noChangeAspect="1"/>
                          </pic:cNvPicPr>
                        </pic:nvPicPr>
                        <pic:blipFill>
                          <a:blip r:embed="rId7"/>
                          <a:stretch>
                            <a:fillRect/>
                          </a:stretch>
                        </pic:blipFill>
                        <pic:spPr>
                          <a:xfrm>
                            <a:off x="0" y="0"/>
                            <a:ext cx="3011493" cy="900685"/>
                          </a:xfrm>
                          <a:prstGeom prst="rect">
                            <a:avLst/>
                          </a:prstGeom>
                        </pic:spPr>
                      </pic:pic>
                    </a:graphicData>
                  </a:graphic>
                </wp:inline>
              </w:drawing>
            </w:r>
          </w:p>
        </w:tc>
      </w:tr>
    </w:tbl>
    <w:p w14:paraId="5B78A10E" w14:textId="1714C028" w:rsidR="0037134C" w:rsidRDefault="00C73AE0" w:rsidP="00D53A4A">
      <w:pPr>
        <w:rPr>
          <w:rFonts w:eastAsiaTheme="minorEastAsia"/>
          <w:lang w:val="en-US" w:eastAsia="zh-CN"/>
        </w:rPr>
      </w:pPr>
      <w:r>
        <w:rPr>
          <w:rFonts w:eastAsiaTheme="minorEastAsia"/>
          <w:lang w:val="en-US" w:eastAsia="zh-CN"/>
        </w:rPr>
        <w:lastRenderedPageBreak/>
        <w:t xml:space="preserve"> </w:t>
      </w:r>
    </w:p>
    <w:p w14:paraId="2D25EC99" w14:textId="23FCDE7D" w:rsidR="0021307E" w:rsidRDefault="0021307E" w:rsidP="00D53A4A">
      <w:pPr>
        <w:rPr>
          <w:rFonts w:eastAsiaTheme="minorEastAsia"/>
          <w:lang w:val="en-US" w:eastAsia="zh-CN"/>
        </w:rPr>
      </w:pPr>
      <w:r>
        <w:rPr>
          <w:rFonts w:eastAsiaTheme="minorEastAsia"/>
          <w:lang w:val="en-US" w:eastAsia="zh-CN"/>
        </w:rPr>
        <w:t>It could be observed from the spec that the reporting mapping is for the results over 6RB (scaling is needed if the measurement BW is not 6RB). Thus, if the RSSI measurement is performed over 20 MHZ without normalization, the measured power could be much larger than what could be measured in LAA RSSI (6</w:t>
      </w:r>
      <w:r w:rsidR="00E91DD7">
        <w:rPr>
          <w:rFonts w:eastAsiaTheme="minorEastAsia"/>
          <w:lang w:val="en-US" w:eastAsia="zh-CN"/>
        </w:rPr>
        <w:t xml:space="preserve"> RB vs 106 RB with 15 KHz SCS). However, considering the restriction of the maximum IO of the operating band, the current mapping table maybe sufficient for RSSI measurement reporting.</w:t>
      </w:r>
    </w:p>
    <w:tbl>
      <w:tblPr>
        <w:tblStyle w:val="a7"/>
        <w:tblW w:w="0" w:type="auto"/>
        <w:tblLook w:val="04A0" w:firstRow="1" w:lastRow="0" w:firstColumn="1" w:lastColumn="0" w:noHBand="0" w:noVBand="1"/>
      </w:tblPr>
      <w:tblGrid>
        <w:gridCol w:w="9562"/>
      </w:tblGrid>
      <w:tr w:rsidR="0021307E" w14:paraId="5E631920" w14:textId="77777777" w:rsidTr="0021307E">
        <w:tc>
          <w:tcPr>
            <w:tcW w:w="9562" w:type="dxa"/>
          </w:tcPr>
          <w:p w14:paraId="001A616D" w14:textId="6A26609F" w:rsidR="0021307E" w:rsidRDefault="0021307E" w:rsidP="0021307E">
            <w:pPr>
              <w:rPr>
                <w:lang w:eastAsia="zh-CN"/>
              </w:rPr>
            </w:pPr>
            <w:r>
              <w:rPr>
                <w:lang w:eastAsia="zh-CN"/>
              </w:rPr>
              <w:t>TS 36.133</w:t>
            </w:r>
          </w:p>
          <w:p w14:paraId="1AC7DA9C" w14:textId="77777777" w:rsidR="0021307E" w:rsidRPr="00691C10" w:rsidRDefault="0021307E" w:rsidP="0021307E">
            <w:pPr>
              <w:rPr>
                <w:lang w:eastAsia="zh-CN"/>
              </w:rPr>
            </w:pPr>
            <w:r w:rsidRPr="00691C10">
              <w:rPr>
                <w:lang w:eastAsia="zh-CN"/>
              </w:rPr>
              <w:t xml:space="preserve">The RSSI measurement bandwidth assumed in defining the accuracy requirements in Table 9.1.18.5.2-1 is 6 RB. UE may measure according to </w:t>
            </w:r>
            <w:proofErr w:type="spellStart"/>
            <w:r w:rsidRPr="00691C10">
              <w:rPr>
                <w:i/>
                <w:iCs/>
                <w:lang w:eastAsia="zh-CN"/>
              </w:rPr>
              <w:t>AllowedMeasBandwidth</w:t>
            </w:r>
            <w:proofErr w:type="spellEnd"/>
            <w:r w:rsidRPr="00691C10">
              <w:rPr>
                <w:lang w:eastAsia="zh-CN"/>
              </w:rPr>
              <w:t>. UE which measures with a bandwidth other that 6RB shall scale the measured RSSI to report a nominal RSSI equivalent to 6RB measurement.</w:t>
            </w:r>
          </w:p>
          <w:p w14:paraId="1679EC18" w14:textId="77777777" w:rsidR="0021307E" w:rsidRPr="0021307E" w:rsidRDefault="0021307E" w:rsidP="00D53A4A">
            <w:pPr>
              <w:rPr>
                <w:rFonts w:eastAsiaTheme="minorEastAsia"/>
                <w:lang w:eastAsia="zh-CN"/>
              </w:rPr>
            </w:pPr>
          </w:p>
        </w:tc>
      </w:tr>
    </w:tbl>
    <w:p w14:paraId="3EDABEA0" w14:textId="77777777" w:rsidR="0021307E" w:rsidRDefault="0021307E" w:rsidP="00D53A4A">
      <w:pPr>
        <w:rPr>
          <w:rFonts w:eastAsiaTheme="minorEastAsia"/>
          <w:lang w:val="en-US" w:eastAsia="zh-CN"/>
        </w:rPr>
      </w:pPr>
    </w:p>
    <w:p w14:paraId="6C911351" w14:textId="6DF8EB9D" w:rsidR="0021307E" w:rsidRDefault="0021307E" w:rsidP="00D53A4A">
      <w:pPr>
        <w:rPr>
          <w:rFonts w:eastAsiaTheme="minorEastAsia"/>
          <w:lang w:val="en-US" w:eastAsia="zh-CN"/>
        </w:rPr>
      </w:pPr>
      <w:r>
        <w:rPr>
          <w:rFonts w:eastAsiaTheme="minorEastAsia"/>
          <w:lang w:val="en-US" w:eastAsia="zh-CN"/>
        </w:rPr>
        <w:t>For the measurement accuracy requirements, it should follow the same requirements for LAA where only the RF margin is considered.</w:t>
      </w:r>
    </w:p>
    <w:p w14:paraId="0173E3FE" w14:textId="53DD2C3B" w:rsidR="0021307E" w:rsidRDefault="0021307E" w:rsidP="00D53A4A">
      <w:pPr>
        <w:rPr>
          <w:rFonts w:eastAsiaTheme="minorEastAsia"/>
          <w:b/>
          <w:lang w:val="en-US" w:eastAsia="zh-CN"/>
        </w:rPr>
      </w:pPr>
      <w:r w:rsidRPr="00B37597">
        <w:rPr>
          <w:rFonts w:eastAsiaTheme="minorEastAsia"/>
          <w:b/>
          <w:lang w:val="en-US" w:eastAsia="zh-CN"/>
        </w:rPr>
        <w:t xml:space="preserve">Proposal </w:t>
      </w:r>
      <w:r w:rsidR="00E91DD7">
        <w:rPr>
          <w:rFonts w:eastAsiaTheme="minorEastAsia"/>
          <w:b/>
          <w:lang w:val="en-US" w:eastAsia="zh-CN"/>
        </w:rPr>
        <w:t>2</w:t>
      </w:r>
      <w:r w:rsidRPr="00B37597">
        <w:rPr>
          <w:rFonts w:eastAsiaTheme="minorEastAsia"/>
          <w:b/>
          <w:lang w:val="en-US" w:eastAsia="zh-CN"/>
        </w:rPr>
        <w:t xml:space="preserve">: </w:t>
      </w:r>
      <w:r w:rsidR="00B37597" w:rsidRPr="00B37597">
        <w:rPr>
          <w:rFonts w:eastAsiaTheme="minorEastAsia"/>
          <w:b/>
          <w:lang w:val="en-US" w:eastAsia="zh-CN"/>
        </w:rPr>
        <w:t>The RSSI measurement accuracy requirements shall follow the same requirements for LAA.</w:t>
      </w:r>
    </w:p>
    <w:p w14:paraId="36F025F8" w14:textId="2BCFD910" w:rsidR="00E91DD7" w:rsidRPr="00E91DD7" w:rsidRDefault="00E91DD7" w:rsidP="00D53A4A">
      <w:pPr>
        <w:rPr>
          <w:rFonts w:eastAsiaTheme="minorEastAsia"/>
          <w:lang w:val="en-US" w:eastAsia="zh-CN"/>
        </w:rPr>
      </w:pPr>
      <w:r w:rsidRPr="00E91DD7">
        <w:rPr>
          <w:rFonts w:eastAsiaTheme="minorEastAsia"/>
          <w:lang w:val="en-US" w:eastAsia="zh-CN"/>
        </w:rPr>
        <w:t>We have submit an accompanied CR to add the RSSI measurement table and accuracy requirement for RSSI/CO measurement [</w:t>
      </w:r>
      <w:r>
        <w:rPr>
          <w:rFonts w:eastAsiaTheme="minorEastAsia"/>
          <w:lang w:val="en-US" w:eastAsia="zh-CN"/>
        </w:rPr>
        <w:t>3</w:t>
      </w:r>
      <w:r w:rsidRPr="00E91DD7">
        <w:rPr>
          <w:rFonts w:eastAsiaTheme="minorEastAsia"/>
          <w:lang w:val="en-US" w:eastAsia="zh-CN"/>
        </w:rPr>
        <w:t>] based on the observation above.</w:t>
      </w:r>
    </w:p>
    <w:p w14:paraId="6FE304D3" w14:textId="17D2A366" w:rsidR="00DF0231" w:rsidRPr="002D2977" w:rsidRDefault="00DF0231" w:rsidP="00011988">
      <w:pPr>
        <w:pStyle w:val="1"/>
        <w:tabs>
          <w:tab w:val="clear" w:pos="432"/>
        </w:tabs>
        <w:ind w:left="0" w:firstLine="0"/>
        <w:rPr>
          <w:lang w:val="en-US"/>
        </w:rPr>
      </w:pPr>
      <w:r w:rsidRPr="002D2977">
        <w:rPr>
          <w:lang w:val="en-US"/>
        </w:rPr>
        <w:t>Conclusions</w:t>
      </w:r>
    </w:p>
    <w:p w14:paraId="63C41D34" w14:textId="77777777" w:rsidR="00D36E74" w:rsidRPr="00C73AE0" w:rsidRDefault="00D36E74" w:rsidP="00D36E74">
      <w:pPr>
        <w:rPr>
          <w:rFonts w:eastAsiaTheme="minorEastAsia"/>
          <w:b/>
          <w:lang w:val="en-US" w:eastAsia="zh-CN"/>
        </w:rPr>
      </w:pPr>
      <w:r w:rsidRPr="00C73AE0">
        <w:rPr>
          <w:rFonts w:eastAsiaTheme="minorEastAsia"/>
          <w:b/>
          <w:lang w:val="en-US" w:eastAsia="zh-CN"/>
        </w:rPr>
        <w:t>Proposal 1: The RSSI measurement shall be performed over unified measurement BW.</w:t>
      </w:r>
    </w:p>
    <w:p w14:paraId="4A8360D0" w14:textId="1F231676" w:rsidR="0021307E" w:rsidRPr="00AD133A" w:rsidRDefault="00D36E74" w:rsidP="00C0085C">
      <w:pPr>
        <w:rPr>
          <w:rFonts w:eastAsiaTheme="minorEastAsia"/>
          <w:b/>
          <w:lang w:val="en-US" w:eastAsia="zh-CN"/>
        </w:rPr>
      </w:pPr>
      <w:r w:rsidRPr="00B37597">
        <w:rPr>
          <w:rFonts w:eastAsiaTheme="minorEastAsia"/>
          <w:b/>
          <w:lang w:val="en-US" w:eastAsia="zh-CN"/>
        </w:rPr>
        <w:t xml:space="preserve">Proposal </w:t>
      </w:r>
      <w:r w:rsidR="00E91DD7">
        <w:rPr>
          <w:rFonts w:eastAsiaTheme="minorEastAsia"/>
          <w:b/>
          <w:lang w:val="en-US" w:eastAsia="zh-CN"/>
        </w:rPr>
        <w:t>2</w:t>
      </w:r>
      <w:r w:rsidRPr="00B37597">
        <w:rPr>
          <w:rFonts w:eastAsiaTheme="minorEastAsia"/>
          <w:b/>
          <w:lang w:val="en-US" w:eastAsia="zh-CN"/>
        </w:rPr>
        <w:t>: The RSSI measurement accuracy requirements shall follow the same requirements for LAA.</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14945CD2" w14:textId="7DC7FEBD" w:rsidR="007D0DF7" w:rsidRDefault="00DF0231">
      <w:r w:rsidRPr="002D2977">
        <w:rPr>
          <w:lang w:val="en-US"/>
        </w:rPr>
        <w:t xml:space="preserve">[1] </w:t>
      </w:r>
      <w:r w:rsidR="00E97466" w:rsidRPr="00E97466">
        <w:t>R4-2012293</w:t>
      </w:r>
      <w:r w:rsidR="00E97466">
        <w:t xml:space="preserve"> </w:t>
      </w:r>
      <w:r w:rsidR="00E97466" w:rsidRPr="00E97466">
        <w:t>WF on NR-U RRM (Part 3)</w:t>
      </w:r>
      <w:r w:rsidR="00E97466">
        <w:t>,</w:t>
      </w:r>
      <w:r w:rsidR="00E97466" w:rsidRPr="00E97466">
        <w:t xml:space="preserve"> Nokia, Nokia Shanghai Bell</w:t>
      </w:r>
      <w:r w:rsidR="0087326D" w:rsidRPr="0087326D">
        <w:t>.</w:t>
      </w:r>
    </w:p>
    <w:p w14:paraId="59D748A3" w14:textId="6AB22E20" w:rsidR="0059170C" w:rsidRDefault="00C73AE0">
      <w:r>
        <w:t>[2] TS 38.215</w:t>
      </w:r>
    </w:p>
    <w:p w14:paraId="5FC6FD6C" w14:textId="0EAB450D" w:rsidR="00E91DD7" w:rsidRDefault="00E91DD7">
      <w:r>
        <w:t xml:space="preserve">[3] </w:t>
      </w:r>
      <w:r w:rsidR="00313F83">
        <w:t>R4-2015525</w:t>
      </w:r>
      <w:bookmarkStart w:id="0" w:name="_GoBack"/>
      <w:bookmarkEnd w:id="0"/>
    </w:p>
    <w:sectPr w:rsidR="00E91DD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798C5" w14:textId="77777777" w:rsidR="00CF043F" w:rsidRDefault="00CF043F">
      <w:pPr>
        <w:spacing w:after="0"/>
      </w:pPr>
      <w:r>
        <w:separator/>
      </w:r>
    </w:p>
  </w:endnote>
  <w:endnote w:type="continuationSeparator" w:id="0">
    <w:p w14:paraId="5444819F" w14:textId="77777777" w:rsidR="00CF043F" w:rsidRDefault="00CF0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3200DC" w:rsidRDefault="003200D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3200DC" w:rsidRDefault="00320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3200DC" w:rsidRDefault="003200D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13F83">
      <w:rPr>
        <w:rStyle w:val="a5"/>
      </w:rPr>
      <w:t>2</w:t>
    </w:r>
    <w:r>
      <w:rPr>
        <w:rStyle w:val="a5"/>
      </w:rPr>
      <w:fldChar w:fldCharType="end"/>
    </w:r>
  </w:p>
  <w:p w14:paraId="4C6D8748" w14:textId="77777777" w:rsidR="003200DC" w:rsidRDefault="00320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A8291" w14:textId="77777777" w:rsidR="00CF043F" w:rsidRDefault="00CF043F">
      <w:pPr>
        <w:spacing w:after="0"/>
      </w:pPr>
      <w:r>
        <w:separator/>
      </w:r>
    </w:p>
  </w:footnote>
  <w:footnote w:type="continuationSeparator" w:id="0">
    <w:p w14:paraId="2B183585" w14:textId="77777777" w:rsidR="00CF043F" w:rsidRDefault="00CF04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71470D"/>
    <w:multiLevelType w:val="hybridMultilevel"/>
    <w:tmpl w:val="E3BEA3EE"/>
    <w:lvl w:ilvl="0" w:tplc="6EDA1FF0">
      <w:start w:val="1"/>
      <w:numFmt w:val="bullet"/>
      <w:lvlText w:val="•"/>
      <w:lvlJc w:val="left"/>
      <w:pPr>
        <w:tabs>
          <w:tab w:val="num" w:pos="720"/>
        </w:tabs>
        <w:ind w:left="720" w:hanging="360"/>
      </w:pPr>
      <w:rPr>
        <w:rFonts w:ascii="Arial" w:hAnsi="Arial" w:hint="default"/>
      </w:rPr>
    </w:lvl>
    <w:lvl w:ilvl="1" w:tplc="B7DE34E6">
      <w:numFmt w:val="bullet"/>
      <w:lvlText w:val="•"/>
      <w:lvlJc w:val="left"/>
      <w:pPr>
        <w:tabs>
          <w:tab w:val="num" w:pos="1440"/>
        </w:tabs>
        <w:ind w:left="1440" w:hanging="360"/>
      </w:pPr>
      <w:rPr>
        <w:rFonts w:ascii="Arial" w:hAnsi="Arial" w:hint="default"/>
      </w:rPr>
    </w:lvl>
    <w:lvl w:ilvl="2" w:tplc="D4A2080C" w:tentative="1">
      <w:start w:val="1"/>
      <w:numFmt w:val="bullet"/>
      <w:lvlText w:val="•"/>
      <w:lvlJc w:val="left"/>
      <w:pPr>
        <w:tabs>
          <w:tab w:val="num" w:pos="2160"/>
        </w:tabs>
        <w:ind w:left="2160" w:hanging="360"/>
      </w:pPr>
      <w:rPr>
        <w:rFonts w:ascii="Arial" w:hAnsi="Arial" w:hint="default"/>
      </w:rPr>
    </w:lvl>
    <w:lvl w:ilvl="3" w:tplc="19B8F22C" w:tentative="1">
      <w:start w:val="1"/>
      <w:numFmt w:val="bullet"/>
      <w:lvlText w:val="•"/>
      <w:lvlJc w:val="left"/>
      <w:pPr>
        <w:tabs>
          <w:tab w:val="num" w:pos="2880"/>
        </w:tabs>
        <w:ind w:left="2880" w:hanging="360"/>
      </w:pPr>
      <w:rPr>
        <w:rFonts w:ascii="Arial" w:hAnsi="Arial" w:hint="default"/>
      </w:rPr>
    </w:lvl>
    <w:lvl w:ilvl="4" w:tplc="2094534A" w:tentative="1">
      <w:start w:val="1"/>
      <w:numFmt w:val="bullet"/>
      <w:lvlText w:val="•"/>
      <w:lvlJc w:val="left"/>
      <w:pPr>
        <w:tabs>
          <w:tab w:val="num" w:pos="3600"/>
        </w:tabs>
        <w:ind w:left="3600" w:hanging="360"/>
      </w:pPr>
      <w:rPr>
        <w:rFonts w:ascii="Arial" w:hAnsi="Arial" w:hint="default"/>
      </w:rPr>
    </w:lvl>
    <w:lvl w:ilvl="5" w:tplc="CB5E65AC" w:tentative="1">
      <w:start w:val="1"/>
      <w:numFmt w:val="bullet"/>
      <w:lvlText w:val="•"/>
      <w:lvlJc w:val="left"/>
      <w:pPr>
        <w:tabs>
          <w:tab w:val="num" w:pos="4320"/>
        </w:tabs>
        <w:ind w:left="4320" w:hanging="360"/>
      </w:pPr>
      <w:rPr>
        <w:rFonts w:ascii="Arial" w:hAnsi="Arial" w:hint="default"/>
      </w:rPr>
    </w:lvl>
    <w:lvl w:ilvl="6" w:tplc="F62A30B4" w:tentative="1">
      <w:start w:val="1"/>
      <w:numFmt w:val="bullet"/>
      <w:lvlText w:val="•"/>
      <w:lvlJc w:val="left"/>
      <w:pPr>
        <w:tabs>
          <w:tab w:val="num" w:pos="5040"/>
        </w:tabs>
        <w:ind w:left="5040" w:hanging="360"/>
      </w:pPr>
      <w:rPr>
        <w:rFonts w:ascii="Arial" w:hAnsi="Arial" w:hint="default"/>
      </w:rPr>
    </w:lvl>
    <w:lvl w:ilvl="7" w:tplc="D23CC394" w:tentative="1">
      <w:start w:val="1"/>
      <w:numFmt w:val="bullet"/>
      <w:lvlText w:val="•"/>
      <w:lvlJc w:val="left"/>
      <w:pPr>
        <w:tabs>
          <w:tab w:val="num" w:pos="5760"/>
        </w:tabs>
        <w:ind w:left="5760" w:hanging="360"/>
      </w:pPr>
      <w:rPr>
        <w:rFonts w:ascii="Arial" w:hAnsi="Arial" w:hint="default"/>
      </w:rPr>
    </w:lvl>
    <w:lvl w:ilvl="8" w:tplc="BDB8C9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EA650A"/>
    <w:multiLevelType w:val="hybridMultilevel"/>
    <w:tmpl w:val="FAFAF696"/>
    <w:lvl w:ilvl="0" w:tplc="9CF26680">
      <w:start w:val="1"/>
      <w:numFmt w:val="bullet"/>
      <w:lvlText w:val="•"/>
      <w:lvlJc w:val="left"/>
      <w:pPr>
        <w:tabs>
          <w:tab w:val="num" w:pos="720"/>
        </w:tabs>
        <w:ind w:left="720" w:hanging="360"/>
      </w:pPr>
      <w:rPr>
        <w:rFonts w:ascii="Arial" w:hAnsi="Arial" w:hint="default"/>
      </w:rPr>
    </w:lvl>
    <w:lvl w:ilvl="1" w:tplc="B01CC0E4">
      <w:numFmt w:val="bullet"/>
      <w:lvlText w:val="•"/>
      <w:lvlJc w:val="left"/>
      <w:pPr>
        <w:tabs>
          <w:tab w:val="num" w:pos="1440"/>
        </w:tabs>
        <w:ind w:left="1440" w:hanging="360"/>
      </w:pPr>
      <w:rPr>
        <w:rFonts w:ascii="Arial" w:hAnsi="Arial" w:hint="default"/>
      </w:rPr>
    </w:lvl>
    <w:lvl w:ilvl="2" w:tplc="9D7401C6" w:tentative="1">
      <w:start w:val="1"/>
      <w:numFmt w:val="bullet"/>
      <w:lvlText w:val="•"/>
      <w:lvlJc w:val="left"/>
      <w:pPr>
        <w:tabs>
          <w:tab w:val="num" w:pos="2160"/>
        </w:tabs>
        <w:ind w:left="2160" w:hanging="360"/>
      </w:pPr>
      <w:rPr>
        <w:rFonts w:ascii="Arial" w:hAnsi="Arial" w:hint="default"/>
      </w:rPr>
    </w:lvl>
    <w:lvl w:ilvl="3" w:tplc="72F6CDBE" w:tentative="1">
      <w:start w:val="1"/>
      <w:numFmt w:val="bullet"/>
      <w:lvlText w:val="•"/>
      <w:lvlJc w:val="left"/>
      <w:pPr>
        <w:tabs>
          <w:tab w:val="num" w:pos="2880"/>
        </w:tabs>
        <w:ind w:left="2880" w:hanging="360"/>
      </w:pPr>
      <w:rPr>
        <w:rFonts w:ascii="Arial" w:hAnsi="Arial" w:hint="default"/>
      </w:rPr>
    </w:lvl>
    <w:lvl w:ilvl="4" w:tplc="ADB2F936" w:tentative="1">
      <w:start w:val="1"/>
      <w:numFmt w:val="bullet"/>
      <w:lvlText w:val="•"/>
      <w:lvlJc w:val="left"/>
      <w:pPr>
        <w:tabs>
          <w:tab w:val="num" w:pos="3600"/>
        </w:tabs>
        <w:ind w:left="3600" w:hanging="360"/>
      </w:pPr>
      <w:rPr>
        <w:rFonts w:ascii="Arial" w:hAnsi="Arial" w:hint="default"/>
      </w:rPr>
    </w:lvl>
    <w:lvl w:ilvl="5" w:tplc="1A128656" w:tentative="1">
      <w:start w:val="1"/>
      <w:numFmt w:val="bullet"/>
      <w:lvlText w:val="•"/>
      <w:lvlJc w:val="left"/>
      <w:pPr>
        <w:tabs>
          <w:tab w:val="num" w:pos="4320"/>
        </w:tabs>
        <w:ind w:left="4320" w:hanging="360"/>
      </w:pPr>
      <w:rPr>
        <w:rFonts w:ascii="Arial" w:hAnsi="Arial" w:hint="default"/>
      </w:rPr>
    </w:lvl>
    <w:lvl w:ilvl="6" w:tplc="2946B898" w:tentative="1">
      <w:start w:val="1"/>
      <w:numFmt w:val="bullet"/>
      <w:lvlText w:val="•"/>
      <w:lvlJc w:val="left"/>
      <w:pPr>
        <w:tabs>
          <w:tab w:val="num" w:pos="5040"/>
        </w:tabs>
        <w:ind w:left="5040" w:hanging="360"/>
      </w:pPr>
      <w:rPr>
        <w:rFonts w:ascii="Arial" w:hAnsi="Arial" w:hint="default"/>
      </w:rPr>
    </w:lvl>
    <w:lvl w:ilvl="7" w:tplc="5512F052" w:tentative="1">
      <w:start w:val="1"/>
      <w:numFmt w:val="bullet"/>
      <w:lvlText w:val="•"/>
      <w:lvlJc w:val="left"/>
      <w:pPr>
        <w:tabs>
          <w:tab w:val="num" w:pos="5760"/>
        </w:tabs>
        <w:ind w:left="5760" w:hanging="360"/>
      </w:pPr>
      <w:rPr>
        <w:rFonts w:ascii="Arial" w:hAnsi="Arial" w:hint="default"/>
      </w:rPr>
    </w:lvl>
    <w:lvl w:ilvl="8" w:tplc="0786E8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2"/>
  </w:num>
  <w:num w:numId="2">
    <w:abstractNumId w:val="0"/>
  </w:num>
  <w:num w:numId="3">
    <w:abstractNumId w:val="19"/>
  </w:num>
  <w:num w:numId="4">
    <w:abstractNumId w:val="22"/>
  </w:num>
  <w:num w:numId="5">
    <w:abstractNumId w:val="16"/>
  </w:num>
  <w:num w:numId="6">
    <w:abstractNumId w:val="5"/>
  </w:num>
  <w:num w:numId="7">
    <w:abstractNumId w:val="14"/>
  </w:num>
  <w:num w:numId="8">
    <w:abstractNumId w:val="1"/>
  </w:num>
  <w:num w:numId="9">
    <w:abstractNumId w:val="4"/>
  </w:num>
  <w:num w:numId="10">
    <w:abstractNumId w:val="3"/>
  </w:num>
  <w:num w:numId="11">
    <w:abstractNumId w:val="7"/>
  </w:num>
  <w:num w:numId="12">
    <w:abstractNumId w:val="9"/>
  </w:num>
  <w:num w:numId="13">
    <w:abstractNumId w:val="8"/>
  </w:num>
  <w:num w:numId="14">
    <w:abstractNumId w:val="6"/>
  </w:num>
  <w:num w:numId="15">
    <w:abstractNumId w:val="18"/>
  </w:num>
  <w:num w:numId="16">
    <w:abstractNumId w:val="11"/>
  </w:num>
  <w:num w:numId="17">
    <w:abstractNumId w:val="10"/>
  </w:num>
  <w:num w:numId="18">
    <w:abstractNumId w:val="15"/>
  </w:num>
  <w:num w:numId="19">
    <w:abstractNumId w:val="20"/>
  </w:num>
  <w:num w:numId="20">
    <w:abstractNumId w:val="17"/>
  </w:num>
  <w:num w:numId="21">
    <w:abstractNumId w:val="21"/>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988"/>
    <w:rsid w:val="000131D4"/>
    <w:rsid w:val="0004558E"/>
    <w:rsid w:val="00063E08"/>
    <w:rsid w:val="00067B89"/>
    <w:rsid w:val="000A1878"/>
    <w:rsid w:val="000A2ED7"/>
    <w:rsid w:val="000A4BCB"/>
    <w:rsid w:val="000A7A19"/>
    <w:rsid w:val="000C154C"/>
    <w:rsid w:val="000D2930"/>
    <w:rsid w:val="000E0A8A"/>
    <w:rsid w:val="000E2C03"/>
    <w:rsid w:val="000E730F"/>
    <w:rsid w:val="0010016B"/>
    <w:rsid w:val="00100360"/>
    <w:rsid w:val="001138DB"/>
    <w:rsid w:val="001270A1"/>
    <w:rsid w:val="00130AFC"/>
    <w:rsid w:val="00145487"/>
    <w:rsid w:val="00164F56"/>
    <w:rsid w:val="00172199"/>
    <w:rsid w:val="0017747E"/>
    <w:rsid w:val="00185388"/>
    <w:rsid w:val="001E7174"/>
    <w:rsid w:val="001F437B"/>
    <w:rsid w:val="0020033A"/>
    <w:rsid w:val="00202867"/>
    <w:rsid w:val="0021307E"/>
    <w:rsid w:val="002221AC"/>
    <w:rsid w:val="00222AF7"/>
    <w:rsid w:val="002328DD"/>
    <w:rsid w:val="002339ED"/>
    <w:rsid w:val="002428D6"/>
    <w:rsid w:val="00245810"/>
    <w:rsid w:val="00254006"/>
    <w:rsid w:val="00254F38"/>
    <w:rsid w:val="002736F0"/>
    <w:rsid w:val="00282D3C"/>
    <w:rsid w:val="00294B79"/>
    <w:rsid w:val="002A5E54"/>
    <w:rsid w:val="002A6E27"/>
    <w:rsid w:val="002B3EF2"/>
    <w:rsid w:val="002B45C3"/>
    <w:rsid w:val="002E668C"/>
    <w:rsid w:val="002F579F"/>
    <w:rsid w:val="0030638F"/>
    <w:rsid w:val="00311CF9"/>
    <w:rsid w:val="003139FE"/>
    <w:rsid w:val="00313F83"/>
    <w:rsid w:val="003200DC"/>
    <w:rsid w:val="00336712"/>
    <w:rsid w:val="00336939"/>
    <w:rsid w:val="00356FB6"/>
    <w:rsid w:val="00362718"/>
    <w:rsid w:val="0036592F"/>
    <w:rsid w:val="003664ED"/>
    <w:rsid w:val="0037134C"/>
    <w:rsid w:val="003814AB"/>
    <w:rsid w:val="003A5E2B"/>
    <w:rsid w:val="003B681E"/>
    <w:rsid w:val="003C61AB"/>
    <w:rsid w:val="003F0451"/>
    <w:rsid w:val="003F762D"/>
    <w:rsid w:val="00401C1C"/>
    <w:rsid w:val="00406366"/>
    <w:rsid w:val="00430F24"/>
    <w:rsid w:val="00432636"/>
    <w:rsid w:val="00435EBD"/>
    <w:rsid w:val="00451B80"/>
    <w:rsid w:val="00461C12"/>
    <w:rsid w:val="00466D02"/>
    <w:rsid w:val="00477263"/>
    <w:rsid w:val="0049501A"/>
    <w:rsid w:val="004A678E"/>
    <w:rsid w:val="004A7CF2"/>
    <w:rsid w:val="004C4868"/>
    <w:rsid w:val="004D644C"/>
    <w:rsid w:val="004F0167"/>
    <w:rsid w:val="00507437"/>
    <w:rsid w:val="0051050C"/>
    <w:rsid w:val="00520DD2"/>
    <w:rsid w:val="005235DB"/>
    <w:rsid w:val="0052623A"/>
    <w:rsid w:val="00530EB0"/>
    <w:rsid w:val="005375AA"/>
    <w:rsid w:val="00545EC2"/>
    <w:rsid w:val="0054734A"/>
    <w:rsid w:val="00551CD8"/>
    <w:rsid w:val="00575302"/>
    <w:rsid w:val="0059170C"/>
    <w:rsid w:val="005A456B"/>
    <w:rsid w:val="005B1B84"/>
    <w:rsid w:val="005C28A6"/>
    <w:rsid w:val="005E4CCD"/>
    <w:rsid w:val="005F5231"/>
    <w:rsid w:val="00663F0E"/>
    <w:rsid w:val="006A14CC"/>
    <w:rsid w:val="006A79AC"/>
    <w:rsid w:val="006D43CD"/>
    <w:rsid w:val="006F27CD"/>
    <w:rsid w:val="00700A0D"/>
    <w:rsid w:val="00701598"/>
    <w:rsid w:val="00702FA5"/>
    <w:rsid w:val="00712608"/>
    <w:rsid w:val="00714064"/>
    <w:rsid w:val="007200C7"/>
    <w:rsid w:val="00723883"/>
    <w:rsid w:val="00732D90"/>
    <w:rsid w:val="00736D84"/>
    <w:rsid w:val="00757DEF"/>
    <w:rsid w:val="0077159B"/>
    <w:rsid w:val="007902A8"/>
    <w:rsid w:val="0079721F"/>
    <w:rsid w:val="007A0C7C"/>
    <w:rsid w:val="007A37DA"/>
    <w:rsid w:val="007B7142"/>
    <w:rsid w:val="007C04D0"/>
    <w:rsid w:val="007D0DF7"/>
    <w:rsid w:val="007D3409"/>
    <w:rsid w:val="007E5F97"/>
    <w:rsid w:val="007E67EC"/>
    <w:rsid w:val="007F2E6A"/>
    <w:rsid w:val="00804945"/>
    <w:rsid w:val="00806052"/>
    <w:rsid w:val="00824571"/>
    <w:rsid w:val="00837558"/>
    <w:rsid w:val="008446CE"/>
    <w:rsid w:val="008577CA"/>
    <w:rsid w:val="0087326D"/>
    <w:rsid w:val="00873C1C"/>
    <w:rsid w:val="008766C3"/>
    <w:rsid w:val="00884051"/>
    <w:rsid w:val="0088604D"/>
    <w:rsid w:val="0089002D"/>
    <w:rsid w:val="008921D4"/>
    <w:rsid w:val="00892EAE"/>
    <w:rsid w:val="008A1C4E"/>
    <w:rsid w:val="008B4F73"/>
    <w:rsid w:val="008C0738"/>
    <w:rsid w:val="008D55C5"/>
    <w:rsid w:val="008E2591"/>
    <w:rsid w:val="00901436"/>
    <w:rsid w:val="00907365"/>
    <w:rsid w:val="00911B28"/>
    <w:rsid w:val="00914A03"/>
    <w:rsid w:val="0091568D"/>
    <w:rsid w:val="00915DEA"/>
    <w:rsid w:val="00920F6A"/>
    <w:rsid w:val="0092204F"/>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02C"/>
    <w:rsid w:val="00A34913"/>
    <w:rsid w:val="00A35F07"/>
    <w:rsid w:val="00A42E3A"/>
    <w:rsid w:val="00A43D41"/>
    <w:rsid w:val="00A82803"/>
    <w:rsid w:val="00A92B06"/>
    <w:rsid w:val="00AB04CE"/>
    <w:rsid w:val="00AC2C97"/>
    <w:rsid w:val="00AD133A"/>
    <w:rsid w:val="00AD65F4"/>
    <w:rsid w:val="00AD69AA"/>
    <w:rsid w:val="00AE165A"/>
    <w:rsid w:val="00AE6BE0"/>
    <w:rsid w:val="00AF5966"/>
    <w:rsid w:val="00B03811"/>
    <w:rsid w:val="00B10C6E"/>
    <w:rsid w:val="00B23292"/>
    <w:rsid w:val="00B2746E"/>
    <w:rsid w:val="00B343A3"/>
    <w:rsid w:val="00B37597"/>
    <w:rsid w:val="00B41E6D"/>
    <w:rsid w:val="00B71C35"/>
    <w:rsid w:val="00B73A82"/>
    <w:rsid w:val="00B76F4D"/>
    <w:rsid w:val="00B911CA"/>
    <w:rsid w:val="00BB2A32"/>
    <w:rsid w:val="00BC449A"/>
    <w:rsid w:val="00BC47AB"/>
    <w:rsid w:val="00BD2AB1"/>
    <w:rsid w:val="00BE1FD4"/>
    <w:rsid w:val="00BE677A"/>
    <w:rsid w:val="00BE6A2E"/>
    <w:rsid w:val="00BF00A7"/>
    <w:rsid w:val="00BF33D9"/>
    <w:rsid w:val="00C0085C"/>
    <w:rsid w:val="00C11B10"/>
    <w:rsid w:val="00C166E3"/>
    <w:rsid w:val="00C338CA"/>
    <w:rsid w:val="00C42942"/>
    <w:rsid w:val="00C50A0A"/>
    <w:rsid w:val="00C50D3A"/>
    <w:rsid w:val="00C61374"/>
    <w:rsid w:val="00C638D8"/>
    <w:rsid w:val="00C73AE0"/>
    <w:rsid w:val="00C83525"/>
    <w:rsid w:val="00CA1729"/>
    <w:rsid w:val="00CA1DAE"/>
    <w:rsid w:val="00CA764E"/>
    <w:rsid w:val="00CE0DA0"/>
    <w:rsid w:val="00CF043F"/>
    <w:rsid w:val="00D14FDC"/>
    <w:rsid w:val="00D24B94"/>
    <w:rsid w:val="00D24E6D"/>
    <w:rsid w:val="00D3643B"/>
    <w:rsid w:val="00D36E74"/>
    <w:rsid w:val="00D41D2D"/>
    <w:rsid w:val="00D53A4A"/>
    <w:rsid w:val="00D65E2F"/>
    <w:rsid w:val="00D82643"/>
    <w:rsid w:val="00DB10D2"/>
    <w:rsid w:val="00DB1DD4"/>
    <w:rsid w:val="00DB61B3"/>
    <w:rsid w:val="00DD1DFF"/>
    <w:rsid w:val="00DE5557"/>
    <w:rsid w:val="00DF0231"/>
    <w:rsid w:val="00E04C43"/>
    <w:rsid w:val="00E06181"/>
    <w:rsid w:val="00E16D37"/>
    <w:rsid w:val="00E17F78"/>
    <w:rsid w:val="00E22D0F"/>
    <w:rsid w:val="00E5666B"/>
    <w:rsid w:val="00E577DD"/>
    <w:rsid w:val="00E72064"/>
    <w:rsid w:val="00E775B2"/>
    <w:rsid w:val="00E91110"/>
    <w:rsid w:val="00E9184C"/>
    <w:rsid w:val="00E91DD7"/>
    <w:rsid w:val="00E97466"/>
    <w:rsid w:val="00EA4E79"/>
    <w:rsid w:val="00EA5149"/>
    <w:rsid w:val="00EB02DF"/>
    <w:rsid w:val="00EE4EEA"/>
    <w:rsid w:val="00EE6F45"/>
    <w:rsid w:val="00EF1F3E"/>
    <w:rsid w:val="00EF66B2"/>
    <w:rsid w:val="00F0497C"/>
    <w:rsid w:val="00F076D1"/>
    <w:rsid w:val="00F10653"/>
    <w:rsid w:val="00F225E5"/>
    <w:rsid w:val="00F22DF5"/>
    <w:rsid w:val="00F303F4"/>
    <w:rsid w:val="00F413E7"/>
    <w:rsid w:val="00F43475"/>
    <w:rsid w:val="00F559B5"/>
    <w:rsid w:val="00F714A7"/>
    <w:rsid w:val="00F769B2"/>
    <w:rsid w:val="00FA1D27"/>
    <w:rsid w:val="00FA25AA"/>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799">
      <w:bodyDiv w:val="1"/>
      <w:marLeft w:val="0"/>
      <w:marRight w:val="0"/>
      <w:marTop w:val="0"/>
      <w:marBottom w:val="0"/>
      <w:divBdr>
        <w:top w:val="none" w:sz="0" w:space="0" w:color="auto"/>
        <w:left w:val="none" w:sz="0" w:space="0" w:color="auto"/>
        <w:bottom w:val="none" w:sz="0" w:space="0" w:color="auto"/>
        <w:right w:val="none" w:sz="0" w:space="0" w:color="auto"/>
      </w:divBdr>
    </w:div>
    <w:div w:id="30614000">
      <w:bodyDiv w:val="1"/>
      <w:marLeft w:val="0"/>
      <w:marRight w:val="0"/>
      <w:marTop w:val="0"/>
      <w:marBottom w:val="0"/>
      <w:divBdr>
        <w:top w:val="none" w:sz="0" w:space="0" w:color="auto"/>
        <w:left w:val="none" w:sz="0" w:space="0" w:color="auto"/>
        <w:bottom w:val="none" w:sz="0" w:space="0" w:color="auto"/>
        <w:right w:val="none" w:sz="0" w:space="0" w:color="auto"/>
      </w:divBdr>
    </w:div>
    <w:div w:id="4417935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12292330">
      <w:bodyDiv w:val="1"/>
      <w:marLeft w:val="0"/>
      <w:marRight w:val="0"/>
      <w:marTop w:val="0"/>
      <w:marBottom w:val="0"/>
      <w:divBdr>
        <w:top w:val="none" w:sz="0" w:space="0" w:color="auto"/>
        <w:left w:val="none" w:sz="0" w:space="0" w:color="auto"/>
        <w:bottom w:val="none" w:sz="0" w:space="0" w:color="auto"/>
        <w:right w:val="none" w:sz="0" w:space="0" w:color="auto"/>
      </w:divBdr>
      <w:divsChild>
        <w:div w:id="218244758">
          <w:marLeft w:val="360"/>
          <w:marRight w:val="0"/>
          <w:marTop w:val="200"/>
          <w:marBottom w:val="0"/>
          <w:divBdr>
            <w:top w:val="none" w:sz="0" w:space="0" w:color="auto"/>
            <w:left w:val="none" w:sz="0" w:space="0" w:color="auto"/>
            <w:bottom w:val="none" w:sz="0" w:space="0" w:color="auto"/>
            <w:right w:val="none" w:sz="0" w:space="0" w:color="auto"/>
          </w:divBdr>
        </w:div>
        <w:div w:id="323246215">
          <w:marLeft w:val="1080"/>
          <w:marRight w:val="0"/>
          <w:marTop w:val="100"/>
          <w:marBottom w:val="0"/>
          <w:divBdr>
            <w:top w:val="none" w:sz="0" w:space="0" w:color="auto"/>
            <w:left w:val="none" w:sz="0" w:space="0" w:color="auto"/>
            <w:bottom w:val="none" w:sz="0" w:space="0" w:color="auto"/>
            <w:right w:val="none" w:sz="0" w:space="0" w:color="auto"/>
          </w:divBdr>
        </w:div>
        <w:div w:id="1904638808">
          <w:marLeft w:val="360"/>
          <w:marRight w:val="0"/>
          <w:marTop w:val="200"/>
          <w:marBottom w:val="0"/>
          <w:divBdr>
            <w:top w:val="none" w:sz="0" w:space="0" w:color="auto"/>
            <w:left w:val="none" w:sz="0" w:space="0" w:color="auto"/>
            <w:bottom w:val="none" w:sz="0" w:space="0" w:color="auto"/>
            <w:right w:val="none" w:sz="0" w:space="0" w:color="auto"/>
          </w:divBdr>
        </w:div>
        <w:div w:id="402147647">
          <w:marLeft w:val="1080"/>
          <w:marRight w:val="0"/>
          <w:marTop w:val="100"/>
          <w:marBottom w:val="0"/>
          <w:divBdr>
            <w:top w:val="none" w:sz="0" w:space="0" w:color="auto"/>
            <w:left w:val="none" w:sz="0" w:space="0" w:color="auto"/>
            <w:bottom w:val="none" w:sz="0" w:space="0" w:color="auto"/>
            <w:right w:val="none" w:sz="0" w:space="0" w:color="auto"/>
          </w:divBdr>
        </w:div>
      </w:divsChild>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69370478">
      <w:bodyDiv w:val="1"/>
      <w:marLeft w:val="0"/>
      <w:marRight w:val="0"/>
      <w:marTop w:val="0"/>
      <w:marBottom w:val="0"/>
      <w:divBdr>
        <w:top w:val="none" w:sz="0" w:space="0" w:color="auto"/>
        <w:left w:val="none" w:sz="0" w:space="0" w:color="auto"/>
        <w:bottom w:val="none" w:sz="0" w:space="0" w:color="auto"/>
        <w:right w:val="none" w:sz="0" w:space="0" w:color="auto"/>
      </w:divBdr>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81943979">
      <w:bodyDiv w:val="1"/>
      <w:marLeft w:val="0"/>
      <w:marRight w:val="0"/>
      <w:marTop w:val="0"/>
      <w:marBottom w:val="0"/>
      <w:divBdr>
        <w:top w:val="none" w:sz="0" w:space="0" w:color="auto"/>
        <w:left w:val="none" w:sz="0" w:space="0" w:color="auto"/>
        <w:bottom w:val="none" w:sz="0" w:space="0" w:color="auto"/>
        <w:right w:val="none" w:sz="0" w:space="0" w:color="auto"/>
      </w:divBdr>
    </w:div>
    <w:div w:id="406223289">
      <w:bodyDiv w:val="1"/>
      <w:marLeft w:val="0"/>
      <w:marRight w:val="0"/>
      <w:marTop w:val="0"/>
      <w:marBottom w:val="0"/>
      <w:divBdr>
        <w:top w:val="none" w:sz="0" w:space="0" w:color="auto"/>
        <w:left w:val="none" w:sz="0" w:space="0" w:color="auto"/>
        <w:bottom w:val="none" w:sz="0" w:space="0" w:color="auto"/>
        <w:right w:val="none" w:sz="0" w:space="0" w:color="auto"/>
      </w:divBdr>
      <w:divsChild>
        <w:div w:id="1475247787">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36089940">
      <w:bodyDiv w:val="1"/>
      <w:marLeft w:val="0"/>
      <w:marRight w:val="0"/>
      <w:marTop w:val="0"/>
      <w:marBottom w:val="0"/>
      <w:divBdr>
        <w:top w:val="none" w:sz="0" w:space="0" w:color="auto"/>
        <w:left w:val="none" w:sz="0" w:space="0" w:color="auto"/>
        <w:bottom w:val="none" w:sz="0" w:space="0" w:color="auto"/>
        <w:right w:val="none" w:sz="0" w:space="0" w:color="auto"/>
      </w:divBdr>
      <w:divsChild>
        <w:div w:id="106657237">
          <w:marLeft w:val="1080"/>
          <w:marRight w:val="0"/>
          <w:marTop w:val="10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0573099">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21432648">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82980785">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0743563">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2225648">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90853575">
      <w:bodyDiv w:val="1"/>
      <w:marLeft w:val="0"/>
      <w:marRight w:val="0"/>
      <w:marTop w:val="0"/>
      <w:marBottom w:val="0"/>
      <w:divBdr>
        <w:top w:val="none" w:sz="0" w:space="0" w:color="auto"/>
        <w:left w:val="none" w:sz="0" w:space="0" w:color="auto"/>
        <w:bottom w:val="none" w:sz="0" w:space="0" w:color="auto"/>
        <w:right w:val="none" w:sz="0" w:space="0" w:color="auto"/>
      </w:divBdr>
      <w:divsChild>
        <w:div w:id="789670359">
          <w:marLeft w:val="360"/>
          <w:marRight w:val="0"/>
          <w:marTop w:val="200"/>
          <w:marBottom w:val="0"/>
          <w:divBdr>
            <w:top w:val="none" w:sz="0" w:space="0" w:color="auto"/>
            <w:left w:val="none" w:sz="0" w:space="0" w:color="auto"/>
            <w:bottom w:val="none" w:sz="0" w:space="0" w:color="auto"/>
            <w:right w:val="none" w:sz="0" w:space="0" w:color="auto"/>
          </w:divBdr>
        </w:div>
        <w:div w:id="404378865">
          <w:marLeft w:val="1080"/>
          <w:marRight w:val="0"/>
          <w:marTop w:val="100"/>
          <w:marBottom w:val="0"/>
          <w:divBdr>
            <w:top w:val="none" w:sz="0" w:space="0" w:color="auto"/>
            <w:left w:val="none" w:sz="0" w:space="0" w:color="auto"/>
            <w:bottom w:val="none" w:sz="0" w:space="0" w:color="auto"/>
            <w:right w:val="none" w:sz="0" w:space="0" w:color="auto"/>
          </w:divBdr>
        </w:div>
        <w:div w:id="2124886293">
          <w:marLeft w:val="360"/>
          <w:marRight w:val="0"/>
          <w:marTop w:val="200"/>
          <w:marBottom w:val="0"/>
          <w:divBdr>
            <w:top w:val="none" w:sz="0" w:space="0" w:color="auto"/>
            <w:left w:val="none" w:sz="0" w:space="0" w:color="auto"/>
            <w:bottom w:val="none" w:sz="0" w:space="0" w:color="auto"/>
            <w:right w:val="none" w:sz="0" w:space="0" w:color="auto"/>
          </w:divBdr>
        </w:div>
        <w:div w:id="1343243010">
          <w:marLeft w:val="1080"/>
          <w:marRight w:val="0"/>
          <w:marTop w:val="1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12059434">
      <w:bodyDiv w:val="1"/>
      <w:marLeft w:val="0"/>
      <w:marRight w:val="0"/>
      <w:marTop w:val="0"/>
      <w:marBottom w:val="0"/>
      <w:divBdr>
        <w:top w:val="none" w:sz="0" w:space="0" w:color="auto"/>
        <w:left w:val="none" w:sz="0" w:space="0" w:color="auto"/>
        <w:bottom w:val="none" w:sz="0" w:space="0" w:color="auto"/>
        <w:right w:val="none" w:sz="0" w:space="0" w:color="auto"/>
      </w:divBdr>
    </w:div>
    <w:div w:id="137156823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04486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33752418">
      <w:bodyDiv w:val="1"/>
      <w:marLeft w:val="0"/>
      <w:marRight w:val="0"/>
      <w:marTop w:val="0"/>
      <w:marBottom w:val="0"/>
      <w:divBdr>
        <w:top w:val="none" w:sz="0" w:space="0" w:color="auto"/>
        <w:left w:val="none" w:sz="0" w:space="0" w:color="auto"/>
        <w:bottom w:val="none" w:sz="0" w:space="0" w:color="auto"/>
        <w:right w:val="none" w:sz="0" w:space="0" w:color="auto"/>
      </w:divBdr>
      <w:divsChild>
        <w:div w:id="2055277474">
          <w:marLeft w:val="360"/>
          <w:marRight w:val="0"/>
          <w:marTop w:val="2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67406142">
      <w:bodyDiv w:val="1"/>
      <w:marLeft w:val="0"/>
      <w:marRight w:val="0"/>
      <w:marTop w:val="0"/>
      <w:marBottom w:val="0"/>
      <w:divBdr>
        <w:top w:val="none" w:sz="0" w:space="0" w:color="auto"/>
        <w:left w:val="none" w:sz="0" w:space="0" w:color="auto"/>
        <w:bottom w:val="none" w:sz="0" w:space="0" w:color="auto"/>
        <w:right w:val="none" w:sz="0" w:space="0" w:color="auto"/>
      </w:divBdr>
      <w:divsChild>
        <w:div w:id="1299913981">
          <w:marLeft w:val="360"/>
          <w:marRight w:val="0"/>
          <w:marTop w:val="200"/>
          <w:marBottom w:val="0"/>
          <w:divBdr>
            <w:top w:val="none" w:sz="0" w:space="0" w:color="auto"/>
            <w:left w:val="none" w:sz="0" w:space="0" w:color="auto"/>
            <w:bottom w:val="none" w:sz="0" w:space="0" w:color="auto"/>
            <w:right w:val="none" w:sz="0" w:space="0" w:color="auto"/>
          </w:divBdr>
        </w:div>
        <w:div w:id="1855460887">
          <w:marLeft w:val="1080"/>
          <w:marRight w:val="0"/>
          <w:marTop w:val="100"/>
          <w:marBottom w:val="0"/>
          <w:divBdr>
            <w:top w:val="none" w:sz="0" w:space="0" w:color="auto"/>
            <w:left w:val="none" w:sz="0" w:space="0" w:color="auto"/>
            <w:bottom w:val="none" w:sz="0" w:space="0" w:color="auto"/>
            <w:right w:val="none" w:sz="0" w:space="0" w:color="auto"/>
          </w:divBdr>
        </w:div>
        <w:div w:id="2004159571">
          <w:marLeft w:val="360"/>
          <w:marRight w:val="0"/>
          <w:marTop w:val="200"/>
          <w:marBottom w:val="0"/>
          <w:divBdr>
            <w:top w:val="none" w:sz="0" w:space="0" w:color="auto"/>
            <w:left w:val="none" w:sz="0" w:space="0" w:color="auto"/>
            <w:bottom w:val="none" w:sz="0" w:space="0" w:color="auto"/>
            <w:right w:val="none" w:sz="0" w:space="0" w:color="auto"/>
          </w:divBdr>
        </w:div>
        <w:div w:id="1853568063">
          <w:marLeft w:val="360"/>
          <w:marRight w:val="0"/>
          <w:marTop w:val="200"/>
          <w:marBottom w:val="0"/>
          <w:divBdr>
            <w:top w:val="none" w:sz="0" w:space="0" w:color="auto"/>
            <w:left w:val="none" w:sz="0" w:space="0" w:color="auto"/>
            <w:bottom w:val="none" w:sz="0" w:space="0" w:color="auto"/>
            <w:right w:val="none" w:sz="0" w:space="0" w:color="auto"/>
          </w:divBdr>
        </w:div>
      </w:divsChild>
    </w:div>
    <w:div w:id="1887912788">
      <w:bodyDiv w:val="1"/>
      <w:marLeft w:val="0"/>
      <w:marRight w:val="0"/>
      <w:marTop w:val="0"/>
      <w:marBottom w:val="0"/>
      <w:divBdr>
        <w:top w:val="none" w:sz="0" w:space="0" w:color="auto"/>
        <w:left w:val="none" w:sz="0" w:space="0" w:color="auto"/>
        <w:bottom w:val="none" w:sz="0" w:space="0" w:color="auto"/>
        <w:right w:val="none" w:sz="0" w:space="0" w:color="auto"/>
      </w:divBdr>
      <w:divsChild>
        <w:div w:id="1414283688">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4964701">
      <w:bodyDiv w:val="1"/>
      <w:marLeft w:val="0"/>
      <w:marRight w:val="0"/>
      <w:marTop w:val="0"/>
      <w:marBottom w:val="0"/>
      <w:divBdr>
        <w:top w:val="none" w:sz="0" w:space="0" w:color="auto"/>
        <w:left w:val="none" w:sz="0" w:space="0" w:color="auto"/>
        <w:bottom w:val="none" w:sz="0" w:space="0" w:color="auto"/>
        <w:right w:val="none" w:sz="0" w:space="0" w:color="auto"/>
      </w:divBdr>
    </w:div>
    <w:div w:id="19923646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5008</TotalTime>
  <Pages>1</Pages>
  <Words>593</Words>
  <Characters>3385</Characters>
  <Application>Microsoft Office Word</Application>
  <DocSecurity>0</DocSecurity>
  <Lines>28</Lines>
  <Paragraphs>7</Paragraphs>
  <ScaleCrop>false</ScaleCrop>
  <Company>HUAWEI</Company>
  <LinksUpToDate>false</LinksUpToDate>
  <CharactersWithSpaces>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cp:revision>
  <dcterms:created xsi:type="dcterms:W3CDTF">2020-06-28T04:14:00Z</dcterms:created>
  <dcterms:modified xsi:type="dcterms:W3CDTF">2020-10-23T11:59:00Z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(3)u56XD5qfiy5BxW4dWcOg1fdRjRiZefPaHBHObB+N7rOpQZT8e1g7lDQSILpX/DdHan4Rpfym
przhQBHrG3rTjkvA8ElvNMd0A6/D8OQJ0wPxqoJf1CV9GC5ggfES4sD+dMpT7S2D/tVlw7WD
z9OjrRWx9sfxP1sVFij3iIncxUFImF4AN5mvEDzo5+qWuTjp1ROE13RLvYvsuyGsytrpnfUK
CJifIOv5hV01VPo79j</vt:lpwstr>
  </property>
  <property fmtid="{D5CDD505-2E9C-101B-9397-08002B2CF9AE}" pid="3" name="_2015_ms_pID_7253431">
    <vt:lpwstr>MffQOmiQ1W30eGfmzV5YHUq2KkmwMA20xN0NoSooaQEE6/EegiOQUU
LMZGQa/kKKp82nSl8SU03hacrJsKkpDUWJ5qBZZkmDdR9DCChrsJ1IK02JBWFsjAKYSDLw56
M/RDfx1ZQxXyeJ7OsmQNLl0+UtmlRaTTF9vV3HSEm5kpeUkwVYwe1G34hCaZFcRmq2jpVJPc
sCjzIeRcUBPBo6UlVurTahRe02XS6eFl2Hhj</vt:lpwstr>
  </property>
  <property fmtid="{D5CDD505-2E9C-101B-9397-08002B2CF9AE}" pid="4" name="_2015_ms_pID_7253432">
    <vt:lpwstr>fAogaJF3NBLKdRPGKhgJ5KQ=</vt:lpwstr>
  </property>
</Properties>
</file>