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There are no discussion papers and no common issues across multiple CRs were identified by the moderator. Hence the discussion will be arranged by Tdoc with  all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2"/>
        <w:rPr>
          <w:lang w:val="en-US"/>
          <w:rPrChange w:id="0" w:author="MK" w:date="2020-11-02T13:07:00Z">
            <w:rPr/>
          </w:rPrChange>
        </w:rPr>
      </w:pPr>
      <w:r w:rsidRPr="00CA28FF">
        <w:rPr>
          <w:lang w:val="en-US"/>
          <w:rPrChange w:id="1" w:author="MK" w:date="2020-11-02T13:07:00Z">
            <w:rPr/>
          </w:rPrChange>
        </w:rPr>
        <w:t>Companies’ contributions summary</w:t>
      </w:r>
      <w:r w:rsidR="00442C1F" w:rsidRPr="00CA28FF">
        <w:rPr>
          <w:lang w:val="en-US"/>
          <w:rPrChange w:id="2" w:author="MK" w:date="2020-11-02T13:07:00Z">
            <w:rPr/>
          </w:rPrChange>
        </w:rPr>
        <w:t xml:space="preserve"> (excluding cat A CRs)</w:t>
      </w:r>
    </w:p>
    <w:tbl>
      <w:tblPr>
        <w:tblStyle w:val="af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euCA</w:t>
            </w:r>
          </w:p>
        </w:tc>
        <w:tc>
          <w:tcPr>
            <w:tcW w:w="6511" w:type="dxa"/>
            <w:vAlign w:val="bottom"/>
          </w:tcPr>
          <w:p w14:paraId="23E5CF1A" w14:textId="7A80DC20" w:rsidR="00442C1F" w:rsidRPr="004A7544" w:rsidRDefault="00442C1F" w:rsidP="00442C1F">
            <w:pPr>
              <w:spacing w:before="120" w:after="120"/>
            </w:pPr>
            <w:r>
              <w:t>Proposes rel16 accuracy tests for early measurement reporting in euCA</w:t>
            </w:r>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HiSilicon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3" w:name="OLE_LINK2"/>
            <w:r>
              <w:rPr>
                <w:noProof/>
                <w:lang w:eastAsia="zh-CN"/>
              </w:rPr>
              <w:t>PSSCH-RSRP</w:t>
            </w:r>
            <w:bookmarkEnd w:id="3"/>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CR: Correction of eMTC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r>
              <w:rPr>
                <w:i/>
              </w:rPr>
              <w:t>numberPRB-Pairs</w:t>
            </w:r>
            <w:r>
              <w:rPr>
                <w:iCs/>
              </w:rPr>
              <w:t xml:space="preserve"> and </w:t>
            </w:r>
            <w:r>
              <w:rPr>
                <w:i/>
              </w:rPr>
              <w:t>mPDCCH-NumRepetition</w:t>
            </w:r>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CR: Correction of eMTC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r>
              <w:rPr>
                <w:i/>
              </w:rPr>
              <w:t>numberPRB-Pairs</w:t>
            </w:r>
            <w:r>
              <w:rPr>
                <w:iCs/>
              </w:rPr>
              <w:t xml:space="preserve"> and </w:t>
            </w:r>
            <w:r>
              <w:rPr>
                <w:i/>
              </w:rPr>
              <w:t>mPDCCH-NumRepetition</w:t>
            </w:r>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Correction to test parameters for FDD and TDD intra-frequency RSRP for Cat-M1 UE in CEModeA</w:t>
            </w:r>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2"/>
        <w:rPr>
          <w:lang w:val="en-US"/>
          <w:rPrChange w:id="4" w:author="MK" w:date="2020-11-02T13:07:00Z">
            <w:rPr/>
          </w:rPrChange>
        </w:rPr>
      </w:pPr>
      <w:r w:rsidRPr="00CA28FF">
        <w:rPr>
          <w:lang w:val="en-US"/>
          <w:rPrChange w:id="5" w:author="MK" w:date="2020-11-02T13:0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6" w:author="MK" w:date="2020-11-02T13:07:00Z">
              <w:r w:rsidDel="00CA28FF">
                <w:rPr>
                  <w:rFonts w:eastAsiaTheme="minorEastAsia" w:hint="eastAsia"/>
                  <w:color w:val="0070C0"/>
                  <w:lang w:val="en-US" w:eastAsia="zh-CN"/>
                </w:rPr>
                <w:delText>Company A</w:delText>
              </w:r>
            </w:del>
            <w:ins w:id="7" w:author="MK" w:date="2020-11-02T13:07:00Z">
              <w:r w:rsidR="00CA28FF">
                <w:rPr>
                  <w:rFonts w:eastAsiaTheme="minorEastAsia"/>
                  <w:color w:val="0070C0"/>
                  <w:lang w:val="en-US" w:eastAsia="zh-CN"/>
                </w:rPr>
                <w:t>Erics</w:t>
              </w:r>
            </w:ins>
            <w:ins w:id="8" w:author="MK" w:date="2020-11-02T13:08:00Z">
              <w:r w:rsidR="00CA28FF">
                <w:rPr>
                  <w:rFonts w:eastAsiaTheme="minorEastAsia"/>
                  <w:color w:val="0070C0"/>
                  <w:lang w:val="en-US" w:eastAsia="zh-CN"/>
                </w:rPr>
                <w:t xml:space="preserve">son: </w:t>
              </w:r>
            </w:ins>
            <w:ins w:id="9" w:author="MK" w:date="2020-11-02T13:10:00Z">
              <w:r w:rsidR="00507923">
                <w:rPr>
                  <w:rFonts w:eastAsiaTheme="minorEastAsia"/>
                  <w:color w:val="0070C0"/>
                  <w:lang w:val="en-US" w:eastAsia="zh-CN"/>
                </w:rPr>
                <w:t xml:space="preserve">We support </w:t>
              </w:r>
            </w:ins>
            <w:ins w:id="10" w:author="MK" w:date="2020-11-02T13:11:00Z">
              <w:r w:rsidR="00507923">
                <w:rPr>
                  <w:rFonts w:eastAsiaTheme="minorEastAsia"/>
                  <w:color w:val="0070C0"/>
                  <w:lang w:val="en-US" w:eastAsia="zh-CN"/>
                </w:rPr>
                <w:t xml:space="preserve">to define </w:t>
              </w:r>
            </w:ins>
            <w:ins w:id="11" w:author="MK" w:date="2020-11-02T13:10:00Z">
              <w:r w:rsidR="00507923" w:rsidRPr="00507923">
                <w:rPr>
                  <w:rFonts w:eastAsiaTheme="minorEastAsia"/>
                  <w:color w:val="0070C0"/>
                  <w:lang w:val="en-US" w:eastAsia="zh-CN"/>
                </w:rPr>
                <w:t xml:space="preserve">tests </w:t>
              </w:r>
            </w:ins>
            <w:ins w:id="12"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ins w:id="13" w:author="MK" w:date="2020-11-02T13:10:00Z">
              <w:r w:rsidR="00507923" w:rsidRPr="00507923">
                <w:rPr>
                  <w:rFonts w:eastAsiaTheme="minorEastAsia"/>
                  <w:color w:val="0070C0"/>
                  <w:lang w:val="en-US" w:eastAsia="zh-CN"/>
                </w:rPr>
                <w:t>euCA</w:t>
              </w:r>
            </w:ins>
            <w:ins w:id="14"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7976E3A3" w14:textId="2ECDCB34" w:rsidR="00983338" w:rsidRDefault="00983338" w:rsidP="00E203D6">
            <w:pPr>
              <w:spacing w:after="120"/>
              <w:rPr>
                <w:rFonts w:eastAsiaTheme="minorEastAsia"/>
                <w:color w:val="0070C0"/>
                <w:lang w:val="en-US" w:eastAsia="zh-CN"/>
              </w:rPr>
            </w:pPr>
            <w:del w:id="15" w:author="Huawei" w:date="2020-11-04T09:31:00Z">
              <w:r w:rsidDel="00E203D6">
                <w:rPr>
                  <w:rFonts w:eastAsiaTheme="minorEastAsia" w:hint="eastAsia"/>
                  <w:color w:val="0070C0"/>
                  <w:lang w:val="en-US" w:eastAsia="zh-CN"/>
                </w:rPr>
                <w:delText>Company</w:delText>
              </w:r>
              <w:r w:rsidDel="00E203D6">
                <w:rPr>
                  <w:rFonts w:eastAsiaTheme="minorEastAsia"/>
                  <w:color w:val="0070C0"/>
                  <w:lang w:val="en-US" w:eastAsia="zh-CN"/>
                </w:rPr>
                <w:delText xml:space="preserve"> B</w:delText>
              </w:r>
            </w:del>
            <w:ins w:id="16" w:author="Huawei" w:date="2020-11-04T09:31:00Z">
              <w:r w:rsidR="00E203D6">
                <w:rPr>
                  <w:rFonts w:eastAsiaTheme="minorEastAsia"/>
                  <w:color w:val="0070C0"/>
                  <w:lang w:val="en-US" w:eastAsia="zh-CN"/>
                </w:rPr>
                <w:t xml:space="preserve">Huawei: </w:t>
              </w:r>
            </w:ins>
            <w:ins w:id="17" w:author="Huawei" w:date="2020-11-04T09:36:00Z">
              <w:r w:rsidR="00E203D6">
                <w:rPr>
                  <w:rFonts w:eastAsiaTheme="minorEastAsia"/>
                  <w:color w:val="0070C0"/>
                  <w:lang w:val="en-US" w:eastAsia="zh-CN"/>
                </w:rPr>
                <w:t>We suggest to define test cases for non-overlapping carriers only. The performance for serving</w:t>
              </w:r>
            </w:ins>
            <w:ins w:id="18" w:author="Huawei" w:date="2020-11-04T09:37:00Z">
              <w:r w:rsidR="00E203D6">
                <w:rPr>
                  <w:rFonts w:eastAsiaTheme="minorEastAsia"/>
                  <w:color w:val="0070C0"/>
                  <w:lang w:val="en-US" w:eastAsia="zh-CN"/>
                </w:rPr>
                <w:t xml:space="preserve"> cell and overlapping carriers can be verified to some extent by existing cell reselection test cases. </w:t>
              </w:r>
            </w:ins>
            <w:ins w:id="19" w:author="Huawei" w:date="2020-11-04T09:38:00Z">
              <w:r w:rsidR="00E203D6">
                <w:rPr>
                  <w:rFonts w:eastAsiaTheme="minorEastAsia"/>
                  <w:color w:val="0070C0"/>
                  <w:lang w:val="en-US" w:eastAsia="zh-CN"/>
                </w:rPr>
                <w:t>Another question is – do we need to define test for TDD?</w:t>
              </w:r>
            </w:ins>
          </w:p>
        </w:tc>
      </w:tr>
      <w:tr w:rsidR="00983338" w:rsidRPr="00571777"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3693E3EE" w14:textId="77777777" w:rsidR="00983338" w:rsidRDefault="00983338" w:rsidP="00983338">
            <w:pPr>
              <w:spacing w:after="120"/>
              <w:rPr>
                <w:rFonts w:eastAsiaTheme="minorEastAsia"/>
                <w:color w:val="0070C0"/>
                <w:lang w:val="en-US" w:eastAsia="zh-CN"/>
              </w:rPr>
            </w:pPr>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04615F99"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1D2C2C45" w:rsidR="00983338" w:rsidRDefault="00983338" w:rsidP="00B33E1C">
            <w:pPr>
              <w:spacing w:after="120"/>
              <w:rPr>
                <w:rFonts w:eastAsiaTheme="minorEastAsia" w:hint="eastAsia"/>
                <w:color w:val="0070C0"/>
                <w:lang w:val="en-US" w:eastAsia="zh-CN"/>
              </w:rPr>
            </w:pPr>
            <w:del w:id="20" w:author="Huawei" w:date="2020-11-04T09:49:00Z">
              <w:r w:rsidDel="00C552DA">
                <w:rPr>
                  <w:rFonts w:eastAsiaTheme="minorEastAsia" w:hint="eastAsia"/>
                  <w:color w:val="0070C0"/>
                  <w:lang w:val="en-US" w:eastAsia="zh-CN"/>
                </w:rPr>
                <w:delText>Company A</w:delText>
              </w:r>
            </w:del>
            <w:ins w:id="21" w:author="Huawei" w:date="2020-11-04T09:49:00Z">
              <w:r w:rsidR="00C552DA">
                <w:rPr>
                  <w:rFonts w:eastAsiaTheme="minorEastAsia"/>
                  <w:color w:val="0070C0"/>
                  <w:lang w:val="en-US" w:eastAsia="zh-CN"/>
                </w:rPr>
                <w:t xml:space="preserve">Huawei: the CR changes the </w:t>
              </w:r>
            </w:ins>
            <w:ins w:id="22" w:author="Huawei" w:date="2020-11-04T09:50:00Z">
              <w:r w:rsidR="00C552DA">
                <w:rPr>
                  <w:rFonts w:eastAsiaTheme="minorEastAsia"/>
                  <w:color w:val="0070C0"/>
                  <w:lang w:val="en-US" w:eastAsia="zh-CN"/>
                </w:rPr>
                <w:t>MPDCCH aggregation level and repetition level for some tests. We understand the parameter setting in the existing tests are</w:t>
              </w:r>
            </w:ins>
            <w:ins w:id="23" w:author="Huawei" w:date="2020-11-04T09:51:00Z">
              <w:r w:rsidR="00B33E1C">
                <w:rPr>
                  <w:rFonts w:eastAsiaTheme="minorEastAsia"/>
                  <w:color w:val="0070C0"/>
                  <w:lang w:val="en-US" w:eastAsia="zh-CN"/>
                </w:rPr>
                <w:t xml:space="preserve"> particularly</w:t>
              </w:r>
            </w:ins>
            <w:ins w:id="24" w:author="Huawei" w:date="2020-11-04T09:50:00Z">
              <w:r w:rsidR="00C552DA">
                <w:rPr>
                  <w:rFonts w:eastAsiaTheme="minorEastAsia"/>
                  <w:color w:val="0070C0"/>
                  <w:lang w:val="en-US" w:eastAsia="zh-CN"/>
                </w:rPr>
                <w:t xml:space="preserve"> </w:t>
              </w:r>
            </w:ins>
            <w:ins w:id="25" w:author="Huawei" w:date="2020-11-04T09:51:00Z">
              <w:r w:rsidR="00B33E1C">
                <w:rPr>
                  <w:rFonts w:eastAsiaTheme="minorEastAsia"/>
                  <w:color w:val="0070C0"/>
                  <w:lang w:val="en-US" w:eastAsia="zh-CN"/>
                </w:rPr>
                <w:t xml:space="preserve">designed, so they should not be changed </w:t>
              </w:r>
            </w:ins>
            <w:ins w:id="26" w:author="Huawei" w:date="2020-11-04T09:52:00Z">
              <w:r w:rsidR="00B33E1C">
                <w:rPr>
                  <w:rFonts w:eastAsiaTheme="minorEastAsia"/>
                  <w:color w:val="0070C0"/>
                  <w:lang w:val="en-US" w:eastAsia="zh-CN"/>
                </w:rPr>
                <w:t>unless there is clear technical issue. Moreover, the SNR levels in the tests are dependent on the AL and RL of MPDCCH, and we cannot just change the MPDCCH parameters while leaving the SNR levels unchanged.</w:t>
              </w:r>
            </w:ins>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77777777"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250557CA" w:rsidR="00983338" w:rsidRDefault="00983338" w:rsidP="00983338">
            <w:pPr>
              <w:spacing w:after="120"/>
              <w:rPr>
                <w:rFonts w:eastAsiaTheme="minorEastAsia"/>
                <w:color w:val="0070C0"/>
                <w:lang w:val="en-US" w:eastAsia="zh-CN"/>
              </w:rPr>
            </w:pPr>
            <w:del w:id="27" w:author="Huawei" w:date="2020-11-04T10:01:00Z">
              <w:r w:rsidDel="00511ABC">
                <w:rPr>
                  <w:rFonts w:eastAsiaTheme="minorEastAsia" w:hint="eastAsia"/>
                  <w:color w:val="0070C0"/>
                  <w:lang w:val="en-US" w:eastAsia="zh-CN"/>
                </w:rPr>
                <w:delText>Company A</w:delText>
              </w:r>
            </w:del>
            <w:ins w:id="28" w:author="Huawei" w:date="2020-11-04T10:01:00Z">
              <w:r w:rsidR="00511ABC">
                <w:rPr>
                  <w:rFonts w:eastAsiaTheme="minorEastAsia"/>
                  <w:color w:val="0070C0"/>
                  <w:lang w:val="en-US" w:eastAsia="zh-CN"/>
                </w:rPr>
                <w:t>Huawei: same comment as above.</w:t>
              </w:r>
            </w:ins>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Moderator (Ericsson) : I noticed that Qualcomm has not reserved a Tdoc for a release 16 cat A CR, which looks to me like it would be needed (since the test exists in rel16 36.133). If this was a mistake in the Tdoc request (I suspect so) no problem, once/if the rel13 CR is agreeable I will request a Tdoc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 : Qualcomm clarified that the cat A CR is R4-2016551 submitted to different AI 6.1.3.2 which was then allocated to #225 email thread. I proposed to Andrey that the cat A CR 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0E41E9D0" w:rsidR="00983338" w:rsidRDefault="00983338" w:rsidP="00511ABC">
            <w:pPr>
              <w:spacing w:after="120"/>
              <w:rPr>
                <w:rFonts w:eastAsiaTheme="minorEastAsia"/>
                <w:color w:val="0070C0"/>
                <w:lang w:val="en-US" w:eastAsia="zh-CN"/>
              </w:rPr>
            </w:pPr>
            <w:del w:id="29" w:author="Huawei" w:date="2020-11-04T10:07:00Z">
              <w:r w:rsidDel="00511ABC">
                <w:rPr>
                  <w:rFonts w:eastAsiaTheme="minorEastAsia" w:hint="eastAsia"/>
                  <w:color w:val="0070C0"/>
                  <w:lang w:val="en-US" w:eastAsia="zh-CN"/>
                </w:rPr>
                <w:delText>Company</w:delText>
              </w:r>
              <w:r w:rsidDel="00511ABC">
                <w:rPr>
                  <w:rFonts w:eastAsiaTheme="minorEastAsia"/>
                  <w:color w:val="0070C0"/>
                  <w:lang w:val="en-US" w:eastAsia="zh-CN"/>
                </w:rPr>
                <w:delText xml:space="preserve"> A</w:delText>
              </w:r>
            </w:del>
            <w:ins w:id="30" w:author="Huawei" w:date="2020-11-04T10:07:00Z">
              <w:r w:rsidR="00511ABC">
                <w:rPr>
                  <w:rFonts w:eastAsiaTheme="minorEastAsia"/>
                  <w:color w:val="0070C0"/>
                  <w:lang w:val="en-US" w:eastAsia="zh-CN"/>
                </w:rPr>
                <w:t>Huawei: The reason for change is not very clear to us. In</w:t>
              </w:r>
            </w:ins>
            <w:ins w:id="31" w:author="Huawei" w:date="2020-11-04T10:08:00Z">
              <w:r w:rsidR="00511ABC">
                <w:rPr>
                  <w:rFonts w:eastAsiaTheme="minorEastAsia"/>
                  <w:color w:val="0070C0"/>
                  <w:lang w:val="en-US" w:eastAsia="zh-CN"/>
                </w:rPr>
                <w:t xml:space="preserve"> the cover sheet, it states that side condition for </w:t>
              </w:r>
              <w:r w:rsidR="00511ABC" w:rsidRPr="00511ABC">
                <w:rPr>
                  <w:rFonts w:eastAsiaTheme="minorEastAsia"/>
                  <w:color w:val="0070C0"/>
                  <w:lang w:val="en-US" w:eastAsia="zh-CN"/>
                </w:rPr>
                <w:t xml:space="preserve">UE Cat M1 </w:t>
              </w:r>
              <w:r w:rsidR="00511ABC">
                <w:rPr>
                  <w:rFonts w:eastAsiaTheme="minorEastAsia"/>
                  <w:color w:val="0070C0"/>
                  <w:lang w:val="en-US" w:eastAsia="zh-CN"/>
                </w:rPr>
                <w:t xml:space="preserve">as </w:t>
              </w:r>
              <w:r w:rsidR="00511ABC" w:rsidRPr="00511ABC">
                <w:rPr>
                  <w:rFonts w:eastAsiaTheme="minorEastAsia"/>
                  <w:color w:val="0070C0"/>
                  <w:lang w:val="en-US" w:eastAsia="zh-CN"/>
                </w:rPr>
                <w:t>specified in TS 36.133 Table B.1.3-1</w:t>
              </w:r>
              <w:r w:rsidR="00511ABC">
                <w:rPr>
                  <w:rFonts w:eastAsiaTheme="minorEastAsia"/>
                  <w:color w:val="0070C0"/>
                  <w:lang w:val="en-US" w:eastAsia="zh-CN"/>
                </w:rPr>
                <w:t xml:space="preserve"> is </w:t>
              </w:r>
            </w:ins>
            <w:ins w:id="32" w:author="Huawei" w:date="2020-11-04T10:10:00Z">
              <w:r w:rsidR="00511ABC">
                <w:rPr>
                  <w:rFonts w:ascii="Arial" w:eastAsia="Times New Roman" w:hAnsi="Arial" w:cs="Arial"/>
                  <w:noProof/>
                </w:rPr>
                <w:t>≥</w:t>
              </w:r>
            </w:ins>
            <w:ins w:id="33" w:author="Huawei" w:date="2020-11-04T10:08:00Z">
              <w:r w:rsidR="00511ABC">
                <w:rPr>
                  <w:rFonts w:eastAsiaTheme="minorEastAsia"/>
                  <w:color w:val="0070C0"/>
                  <w:lang w:val="en-US" w:eastAsia="zh-CN"/>
                </w:rPr>
                <w:t xml:space="preserve">-6dB. In this sense, the Es/Iot </w:t>
              </w:r>
            </w:ins>
            <w:ins w:id="34" w:author="Huawei" w:date="2020-11-04T10:09:00Z">
              <w:r w:rsidR="00511ABC">
                <w:rPr>
                  <w:rFonts w:eastAsiaTheme="minorEastAsia"/>
                  <w:color w:val="0070C0"/>
                  <w:lang w:val="en-US" w:eastAsia="zh-CN"/>
                </w:rPr>
                <w:t>levels in the current test cases are correct (aligned with the side condition). Maybe we missed some point here, and some clarification would be helpful.</w:t>
              </w:r>
            </w:ins>
          </w:p>
        </w:tc>
        <w:bookmarkStart w:id="35" w:name="_GoBack"/>
        <w:bookmarkEnd w:id="35"/>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68CDCE67" w14:textId="632DC1F1" w:rsidR="00983338" w:rsidRPr="00983338" w:rsidRDefault="00983338" w:rsidP="005B4802">
      <w:pPr>
        <w:rPr>
          <w:iCs/>
          <w:color w:val="0070C0"/>
          <w:lang w:val="en-US" w:eastAsia="zh-CN"/>
        </w:rPr>
      </w:pPr>
      <w:r>
        <w:rPr>
          <w:iCs/>
          <w:color w:val="0070C0"/>
          <w:lang w:val="en-US" w:eastAsia="zh-CN"/>
        </w:rPr>
        <w:t>See conclusions for CRs in section 1.4.2</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77777777" w:rsidR="00735ED5" w:rsidRPr="00805BE8" w:rsidRDefault="00735ED5">
            <w:pPr>
              <w:rPr>
                <w:b/>
                <w:bCs/>
                <w:color w:val="0070C0"/>
                <w:lang w:val="en-US" w:eastAsia="zh-CN"/>
              </w:rPr>
            </w:pP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7777777" w:rsidR="00735ED5" w:rsidRPr="00805BE8" w:rsidRDefault="00735ED5" w:rsidP="00735ED5">
            <w:pPr>
              <w:rPr>
                <w:b/>
                <w:bCs/>
                <w:color w:val="0070C0"/>
                <w:lang w:val="en-US" w:eastAsia="zh-CN"/>
              </w:rPr>
            </w:pP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77777777" w:rsidR="00735ED5" w:rsidRPr="00805BE8" w:rsidRDefault="00735ED5" w:rsidP="00735ED5">
            <w:pPr>
              <w:rPr>
                <w:b/>
                <w:bCs/>
                <w:color w:val="0070C0"/>
                <w:lang w:val="en-US" w:eastAsia="zh-CN"/>
              </w:rPr>
            </w:pP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77777777" w:rsidR="00735ED5" w:rsidRPr="00805BE8" w:rsidRDefault="00735ED5" w:rsidP="00735ED5">
            <w:pPr>
              <w:rPr>
                <w:b/>
                <w:bCs/>
                <w:color w:val="0070C0"/>
                <w:lang w:val="en-US" w:eastAsia="zh-CN"/>
              </w:rPr>
            </w:pP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77777777" w:rsidR="00735ED5" w:rsidRPr="00805BE8" w:rsidRDefault="00735ED5" w:rsidP="00735ED5">
            <w:pPr>
              <w:rPr>
                <w:b/>
                <w:bCs/>
                <w:color w:val="0070C0"/>
                <w:lang w:val="en-US" w:eastAsia="zh-CN"/>
              </w:rPr>
            </w:pP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77777777" w:rsidR="00735ED5" w:rsidRPr="00805BE8" w:rsidRDefault="00735ED5" w:rsidP="00735ED5">
            <w:pPr>
              <w:rPr>
                <w:b/>
                <w:bCs/>
                <w:color w:val="0070C0"/>
                <w:lang w:val="en-US" w:eastAsia="zh-CN"/>
              </w:rPr>
            </w:pP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77777777" w:rsidR="00735ED5" w:rsidRPr="00805BE8" w:rsidRDefault="00735ED5" w:rsidP="00735ED5">
            <w:pPr>
              <w:rPr>
                <w:b/>
                <w:bCs/>
                <w:color w:val="0070C0"/>
                <w:lang w:val="en-US" w:eastAsia="zh-CN"/>
              </w:rPr>
            </w:pP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77777777" w:rsidR="00735ED5" w:rsidRPr="00805BE8" w:rsidRDefault="00735ED5" w:rsidP="00735ED5">
            <w:pPr>
              <w:rPr>
                <w:b/>
                <w:bCs/>
                <w:color w:val="0070C0"/>
                <w:lang w:val="en-US" w:eastAsia="zh-CN"/>
              </w:rPr>
            </w:pP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R4-2016013 (R16 shadow of R4-2016012</w:t>
            </w:r>
          </w:p>
        </w:tc>
        <w:tc>
          <w:tcPr>
            <w:tcW w:w="8400" w:type="dxa"/>
          </w:tcPr>
          <w:p w14:paraId="2A7B8588" w14:textId="77777777" w:rsidR="00735ED5" w:rsidRPr="00805BE8" w:rsidRDefault="00735ED5" w:rsidP="00735ED5">
            <w:pPr>
              <w:rPr>
                <w:b/>
                <w:bCs/>
                <w:color w:val="0070C0"/>
                <w:lang w:val="en-US" w:eastAsia="zh-CN"/>
              </w:rPr>
            </w:pPr>
          </w:p>
        </w:tc>
      </w:tr>
      <w:tr w:rsidR="00735ED5" w:rsidRPr="00004165" w14:paraId="274D3279" w14:textId="77777777" w:rsidTr="00735ED5">
        <w:tc>
          <w:tcPr>
            <w:tcW w:w="1231" w:type="dxa"/>
          </w:tcPr>
          <w:p w14:paraId="38F1EB1E" w14:textId="550F40AF"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77777777" w:rsidR="00735ED5" w:rsidRPr="00805BE8" w:rsidRDefault="00735ED5" w:rsidP="00735ED5">
            <w:pPr>
              <w:rPr>
                <w:b/>
                <w:bCs/>
                <w:color w:val="0070C0"/>
                <w:lang w:val="en-US" w:eastAsia="zh-CN"/>
              </w:rPr>
            </w:pPr>
          </w:p>
        </w:tc>
      </w:tr>
      <w:tr w:rsidR="00735ED5" w:rsidRPr="00004165" w14:paraId="4A2D72D8" w14:textId="77777777" w:rsidTr="00735ED5">
        <w:tc>
          <w:tcPr>
            <w:tcW w:w="1231" w:type="dxa"/>
          </w:tcPr>
          <w:p w14:paraId="27DFD864" w14:textId="0FA66109"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77777777" w:rsidR="00735ED5" w:rsidRPr="00805BE8" w:rsidRDefault="00735ED5" w:rsidP="00735ED5">
            <w:pPr>
              <w:rPr>
                <w:b/>
                <w:bCs/>
                <w:color w:val="0070C0"/>
                <w:lang w:val="en-US" w:eastAsia="zh-CN"/>
              </w:rPr>
            </w:pPr>
          </w:p>
        </w:tc>
      </w:tr>
      <w:tr w:rsidR="00735ED5" w:rsidRPr="00004165" w14:paraId="5DD795C9" w14:textId="77777777" w:rsidTr="00735ED5">
        <w:tc>
          <w:tcPr>
            <w:tcW w:w="1231" w:type="dxa"/>
          </w:tcPr>
          <w:p w14:paraId="6F5E0D99" w14:textId="32976813"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lastRenderedPageBreak/>
              <w:t>R4-2016550 (R15 shadow of R4-2016548)</w:t>
            </w:r>
          </w:p>
        </w:tc>
        <w:tc>
          <w:tcPr>
            <w:tcW w:w="8400" w:type="dxa"/>
          </w:tcPr>
          <w:p w14:paraId="063C9973" w14:textId="77777777" w:rsidR="00735ED5" w:rsidRPr="00805BE8" w:rsidRDefault="00735ED5" w:rsidP="00735ED5">
            <w:pPr>
              <w:rPr>
                <w:b/>
                <w:bCs/>
                <w:color w:val="0070C0"/>
                <w:lang w:val="en-US" w:eastAsia="zh-CN"/>
              </w:rPr>
            </w:pPr>
          </w:p>
        </w:tc>
      </w:tr>
      <w:tr w:rsidR="00880498" w:rsidRPr="00004165" w14:paraId="03D3DADA" w14:textId="77777777" w:rsidTr="00735ED5">
        <w:tc>
          <w:tcPr>
            <w:tcW w:w="1231" w:type="dxa"/>
          </w:tcPr>
          <w:p w14:paraId="4FE5F580" w14:textId="430A3387" w:rsidR="00880498" w:rsidRPr="00735ED5" w:rsidRDefault="00880498" w:rsidP="00880498">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77777777" w:rsidR="00880498" w:rsidRPr="00805BE8" w:rsidRDefault="00880498" w:rsidP="00880498">
            <w:pPr>
              <w:rPr>
                <w:b/>
                <w:bCs/>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2"/>
        <w:rPr>
          <w:lang w:val="en-US"/>
          <w:rPrChange w:id="36" w:author="MK" w:date="2020-11-02T13:07:00Z">
            <w:rPr/>
          </w:rPrChange>
        </w:rPr>
      </w:pPr>
      <w:r w:rsidRPr="00CA28FF">
        <w:rPr>
          <w:lang w:val="en-US"/>
          <w:rPrChange w:id="37" w:author="MK" w:date="2020-11-02T13:07:00Z">
            <w:rPr/>
          </w:rPrChange>
        </w:rPr>
        <w:t>Discussion on 2nd round</w:t>
      </w:r>
      <w:r w:rsidR="00CB0305" w:rsidRPr="00CA28FF">
        <w:rPr>
          <w:lang w:val="en-US"/>
          <w:rPrChange w:id="38" w:author="MK" w:date="2020-11-02T13:07:00Z">
            <w:rPr/>
          </w:rPrChange>
        </w:rPr>
        <w:t xml:space="preserve"> (if applicable)</w:t>
      </w:r>
    </w:p>
    <w:p w14:paraId="40BC43D2" w14:textId="77777777" w:rsidR="00035C50" w:rsidRPr="00CA28FF" w:rsidRDefault="00035C50" w:rsidP="00035C50">
      <w:pPr>
        <w:rPr>
          <w:lang w:val="en-US" w:eastAsia="zh-CN"/>
          <w:rPrChange w:id="39" w:author="MK" w:date="2020-11-02T13:07:00Z">
            <w:rPr>
              <w:lang w:val="sv-SE" w:eastAsia="zh-CN"/>
            </w:rPr>
          </w:rPrChange>
        </w:rPr>
      </w:pPr>
    </w:p>
    <w:p w14:paraId="74A74C10" w14:textId="2F85E740" w:rsidR="00035C50" w:rsidRPr="00CA28FF" w:rsidRDefault="00035C50" w:rsidP="00CB0305">
      <w:pPr>
        <w:pStyle w:val="2"/>
        <w:rPr>
          <w:lang w:val="en-US"/>
          <w:rPrChange w:id="40" w:author="MK" w:date="2020-11-02T13:07:00Z">
            <w:rPr/>
          </w:rPrChange>
        </w:rPr>
      </w:pPr>
      <w:r w:rsidRPr="00CA28FF">
        <w:rPr>
          <w:lang w:val="en-US"/>
          <w:rPrChange w:id="41" w:author="MK" w:date="2020-11-02T13:07:00Z">
            <w:rPr/>
          </w:rPrChange>
        </w:rPr>
        <w:t>Summary on 2nd round</w:t>
      </w:r>
      <w:r w:rsidR="00CB0305" w:rsidRPr="00CA28FF">
        <w:rPr>
          <w:lang w:val="en-US"/>
          <w:rPrChange w:id="42"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9EA9" w14:textId="77777777" w:rsidR="001C5E97" w:rsidRDefault="001C5E97">
      <w:r>
        <w:separator/>
      </w:r>
    </w:p>
  </w:endnote>
  <w:endnote w:type="continuationSeparator" w:id="0">
    <w:p w14:paraId="0FED8ED9" w14:textId="77777777" w:rsidR="001C5E97" w:rsidRDefault="001C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EEF6F" w14:textId="77777777" w:rsidR="001C5E97" w:rsidRDefault="001C5E97">
      <w:r>
        <w:separator/>
      </w:r>
    </w:p>
  </w:footnote>
  <w:footnote w:type="continuationSeparator" w:id="0">
    <w:p w14:paraId="1B4C09ED" w14:textId="77777777" w:rsidR="001C5E97" w:rsidRDefault="001C5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E97"/>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ABC"/>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3E1C"/>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2D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3D6"/>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747F8-00C0-4FAB-BB95-B16C72E44593}">
  <ds:schemaRefs>
    <ds:schemaRef ds:uri="http://schemas.microsoft.com/sharepoint/v3/contenttype/forms"/>
  </ds:schemaRefs>
</ds:datastoreItem>
</file>

<file path=customXml/itemProps3.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9DCF762-C374-4715-A595-85E07A92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5</Pages>
  <Words>940</Words>
  <Characters>5362</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2020-11-01T21:39:00Z</dcterms:created>
  <dcterms:modified xsi:type="dcterms:W3CDTF">2020-11-04T02:10:00Z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(2)EdEecUvLvvF1xYl9a+0hmik3GgJn2sL8STMVpBE/jRwLptTH58UxwF9Y524BZVgG5u3fP+cM
une5dO4alLrH9sP3llaKme0viBKntYuNOoI/bsnkfGF+PXQocb7SczTxXqIOiyJnMYMpPh4X
AB3NNKcUi6jFavryimoLm++taaw2K+4AdvDaanIw5YC4CZbexnpOQDZ0vv50cYL0FmZ3lmoy
dFZhjsA6HdTm4n/NDm</vt:lpwstr>
  </property>
  <property fmtid="{D5CDD505-2E9C-101B-9397-08002B2CF9AE}" pid="15" name="_2015_ms_pID_7253431">
    <vt:lpwstr>cFMdeBiQN1N7Ldd5KQswrHSaC+maBLLxa2Z+RXf+xybkWCET3zSiZ/
Z/v9GSDgHOoI2h5H0uO2rAyTujoAj14HQPHBZ8yuQTdxRWklPsL2WaQL5D4cn7vdKeY/wrgA
lKYuiKaUNswyUTcmKAzSmP85in8RKSQEn+U0f6Y0etlkGf/CAUB1IociKLBSfYOQ8HuoFHiz
4fTyDC4dVOqLpyo9</vt:lpwstr>
  </property>
</Properties>
</file>